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29.pdf" ContentType="application/pdf"/>
  <Override PartName="/word/media/rId34.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40"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which serves here only as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17988"/>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17988"/>
                    </a:xfrm>
                    <a:prstGeom prst="rect">
                      <a:avLst/>
                    </a:prstGeom>
                    <a:noFill/>
                    <a:ln w="9525">
                      <a:noFill/>
                      <a:headEnd/>
                      <a:tailEnd/>
                    </a:ln>
                  </pic:spPr>
                </pic:pic>
              </a:graphicData>
            </a:graphic>
          </wp:inline>
        </w:drawing>
      </w:r>
    </w:p>
    <w:p>
      <w:pPr>
        <w:pStyle w:val="ImageCaption"/>
      </w:pPr>
      <w:r>
        <w:t xml:space="preserve">Wall time to solve (log scale, 30s cap), all five solvers, per scraped</w:t>
      </w:r>
      <w:r>
        <w:t xml:space="preserve"> </w:t>
      </w:r>
      <m:oMath>
        <m:r>
          <m:t>15</m:t>
        </m:r>
        <m:r>
          <m:rPr>
            <m:sty m:val="p"/>
          </m:rPr>
          <m:t>×</m:t>
        </m:r>
        <m:r>
          <m:t>15</m:t>
        </m:r>
      </m:oMath>
      <w:r>
        <w:t xml:space="preserve"> </w:t>
      </w:r>
      <w:r>
        <w:t xml:space="preserve">grid, sorted by xfill’s time. Hatched bars mark a timeout; the naive baselines (crossword-composer, savin_crossword) time out on most grids, the same pattern reported by count in Section </w:t>
      </w:r>
      <w:hyperlink w:anchor="sec:naive">
        <w:r>
          <w:rPr>
            <w:rStyle w:val="Hyperlink"/>
          </w:rPr>
          <w:t xml:space="preserve">5.4</w:t>
        </w:r>
      </w:hyperlink>
      <w:r>
        <w:t xml:space="preserve">. Label above the xfill/orca-solver pair is orca-solver time / xfill time; only</w:t>
      </w:r>
      <w:r>
        <w:t xml:space="preserve"> </w:t>
      </w:r>
      <w:r>
        <w:rPr>
          <w:rStyle w:val="VerbatimChar"/>
        </w:rPr>
        <w:t xml:space="preserve">grid_479</w:t>
      </w:r>
      <w:r>
        <w:t xml:space="preserve"> </w:t>
      </w:r>
      <w:r>
        <w:t xml:space="preserve">favors orca-solver.</w:t>
      </w:r>
    </w:p>
    <w:bookmarkEnd w:id="27"/>
    <w:bookmarkEnd w:id="28"/>
    <w:bookmarkStart w:id="33"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10 scraped grids (of 12) both xfill and orca-solver solve, xfill is faster on 9, with a median speedup of</w:t>
      </w:r>
      <w:r>
        <w:t xml:space="preserve"> </w:t>
      </w:r>
      <m:oMath>
        <m:r>
          <m:t>428</m:t>
        </m:r>
        <m:r>
          <m:rPr>
            <m:sty m:val="p"/>
          </m:rPr>
          <m:t>×</m:t>
        </m:r>
      </m:oMath>
      <w:r>
        <w:t xml:space="preserve"> </w:t>
      </w:r>
      <w:r>
        <w:t xml:space="preserve">and a geometric mean of</w:t>
      </w:r>
      <w:r>
        <w:t xml:space="preserve"> </w:t>
      </w:r>
      <m:oMath>
        <m:r>
          <m:t>108</m:t>
        </m:r>
        <m:r>
          <m:rPr>
            <m:sty m:val="p"/>
          </m:rPr>
          <m:t>×</m:t>
        </m:r>
      </m:oMath>
      <w:r>
        <w:t xml:space="preserve">, driven by grids where xfill finishes in single-digit milliseconds against 3–13 seconds for orca-solver.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 a reminder that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Across the full 20-grid sample, both solve 16, agree on one correct UNSAT proof, and are jointly stuck on 2, with orca-solver never uniquely solving a grid xfill cannot – this sample is too easy to separate the two architectures on success alone,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Start w:id="32" w:name="fig:cumulative"/>
    <w:p>
      <w:pPr>
        <w:pStyle w:val="CaptionedFigure"/>
      </w:pPr>
      <w:r>
        <w:drawing>
          <wp:inline>
            <wp:extent cx="5003800" cy="3009900"/>
            <wp:effectExtent b="0" l="0" r="0" t="0"/>
            <wp:docPr descr="" title="" id="30" name="Picture"/>
            <a:graphic>
              <a:graphicData uri="http://schemas.openxmlformats.org/drawingml/2006/picture">
                <pic:pic>
                  <pic:nvPicPr>
                    <pic:cNvPr descr="../benchmarks/urtc2026_testbench/results/figures/fig2_15x15_cumulative.pdf" id="31" name="Picture"/>
                    <pic:cNvPicPr>
                      <a:picLocks noChangeArrowheads="1" noChangeAspect="1"/>
                    </pic:cNvPicPr>
                  </pic:nvPicPr>
                  <pic:blipFill>
                    <a:blip r:embed="rId29"/>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2"/>
    <w:bookmarkEnd w:id="33"/>
    <w:bookmarkStart w:id="38"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7" w:name="fig:ablation"/>
    <w:p>
      <w:pPr>
        <w:pStyle w:val="CaptionedFigure"/>
      </w:pPr>
      <w:r>
        <w:drawing>
          <wp:inline>
            <wp:extent cx="5334000" cy="2286000"/>
            <wp:effectExtent b="0" l="0" r="0" t="0"/>
            <wp:docPr descr="" title="" id="35" name="Picture"/>
            <a:graphic>
              <a:graphicData uri="http://schemas.openxmlformats.org/drawingml/2006/picture">
                <pic:pic>
                  <pic:nvPicPr>
                    <pic:cNvPr descr="../benchmarks/urtc2026_testbench/results/figures/fig4_ablation.pdf" id="36" name="Picture"/>
                    <pic:cNvPicPr>
                      <a:picLocks noChangeArrowheads="1" noChangeAspect="1"/>
                    </pic:cNvPicPr>
                  </pic:nvPicPr>
                  <pic:blipFill>
                    <a:blip r:embed="rId34"/>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7"/>
    <w:bookmarkEnd w:id="38"/>
    <w:bookmarkStart w:id="39"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on this subset, so we do not claim one – the same standard of evidence Section </w:t>
      </w:r>
      <w:hyperlink w:anchor="sec:negative">
        <w:r>
          <w:rPr>
            <w:rStyle w:val="Hyperlink"/>
          </w:rPr>
          <w:t xml:space="preserve">4</w:t>
        </w:r>
      </w:hyperlink>
      <w:r>
        <w:t xml:space="preserve"> </w:t>
      </w:r>
      <w:r>
        <w:t xml:space="preserve">applies to the branching heuristics it rules out.</w:t>
      </w:r>
    </w:p>
    <w:bookmarkEnd w:id="39"/>
    <w:bookmarkEnd w:id="40"/>
    <w:bookmarkStart w:id="41" w:name="discussion"/>
    <w:p>
      <w:pPr>
        <w:pStyle w:val="Heading1"/>
      </w:pPr>
      <w:r>
        <w:t xml:space="preserve">Discussion</w:t>
      </w:r>
    </w:p>
    <w:p>
      <w:pPr>
        <w:pStyle w:val="FirstParagraph"/>
      </w:pPr>
      <w:r>
        <w:t xml:space="preserve">The architectural comparison and the mechanism ablation share the same underlying cause. Restart portfolios benefit from heavy-tailed runtimes: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 single hard instance, and only nets out as an improvement once averaged over a broader, typical corpus.</w:t>
      </w:r>
    </w:p>
    <w:bookmarkEnd w:id="41"/>
    <w:bookmarkStart w:id="42"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it needs only a wdeg-style weight table and a restart loop, both already common in CSP and lazy-clause-generation solvers. We also reported a negative result from the same codebase – five heuristics rendered indistinguishable by a precondition that kept them from ever executing – as a reusable caution for comparing branching heuristics by benchmark score alone.</w:t>
      </w:r>
    </w:p>
    <w:bookmarkEnd w:id="42"/>
    <w:bookmarkStart w:id="44" w:name="acknowledgment"/>
    <w:p>
      <w:pPr>
        <w:pStyle w:val="Heading1"/>
      </w:pPr>
      <w:r>
        <w:t xml:space="preserve">Acknowledgment</w:t>
      </w:r>
    </w:p>
    <w:p>
      <w:pPr>
        <w:pStyle w:val="FirstParagraph"/>
      </w:pPr>
      <w:r>
        <w:t xml:space="preserve">[Advisor/funding acknowledgments.]</w:t>
      </w:r>
    </w:p>
    <w:p>
      <w:pPr>
        <w:pStyle w:val="BodyText"/>
      </w:pPr>
      <w:r>
        <w:t xml:space="preserve">12</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[Online]. Available:</w:t>
      </w:r>
      <w:r>
        <w:t xml:space="preserve"> </w:t>
      </w:r>
      <w:hyperlink r:id="rId43">
        <w:r>
          <w:rPr>
            <w:rStyle w:val="Hyperlink"/>
          </w:rPr>
          <w:t xml:space="preserve">https://crosswordgrids.com/15x15-crossword-grids/</w:t>
        </w:r>
      </w:hyperlink>
      <w:r>
        <w:t xml:space="preserve">. Accessed: Jul. 31, 2026.</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34" Target="media/rId34.pdf" /><Relationship Type="http://schemas.openxmlformats.org/officeDocument/2006/relationships/image" Id="rId14" Target="media/rId14.pdf" /><Relationship Type="http://schemas.openxmlformats.org/officeDocument/2006/relationships/hyperlink" Id="rId43"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43"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2026-08-05T21:15:35Z</dcterms:created>
  <dcterms:modified xsi:type="dcterms:W3CDTF">2026-08-05T21:15:35Z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