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29.pdf" ContentType="application/pdf"/>
  <Override PartName="/word/media/rId35.pdf" ContentType="application/pdf"/>
  <Override PartName="/word/media/rId1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but on this project’s testbench xfill’s advantage is large and broad where it appears: on the 16 (of 20) real grids both solvers solve, xfill is faster on 15, by a geometric mean of</w:t>
      </w:r>
      <w:r>
        <w:t xml:space="preserve"> </w:t>
      </w:r>
      <m:oMath>
        <m:r>
          <m:t>96</m:t>
        </m:r>
        <m:r>
          <m:rPr>
            <m:sty m:val="p"/>
          </m:rPr>
          <m:t>×</m:t>
        </m:r>
      </m:oMath>
      <w:r>
        <w:t xml:space="preserve">; oversubscribing thread count past physical core count consistently helps xfill, on one hard grid by roughly</w:t>
      </w:r>
      <w:r>
        <w:t xml:space="preserve"> </w:t>
      </w:r>
      <m:oMath>
        <m:r>
          <m:t>65</m:t>
        </m:r>
        <m:r>
          <m:rPr>
            <m:sty m:val="p"/>
          </m:rPr>
          <m:t>×</m:t>
        </m:r>
      </m:oMath>
      <w:r>
        <w:t xml:space="preserve"> </w:t>
      </w:r>
      <w:r>
        <w:t xml:space="preserve">from 1 to 42 threads, while orca-solver improves only marginally over the same range and cannot solve it at all below 14 threads. Neither result is universal – one grid favors orca-solver outright, and a separate hard-grid set shows both architectures failing together – and we report those honestly alongside the aggregate.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natural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primarily about crossword filling. It uses crossword filling as the setting for a narrower question in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We show this combination is distinct from the closest points in the literature, implement it, and measure its effect against both sophisticated and naive alternatives on a reproducible testbench.</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five-solver benchmark testbench, checked into the project repository, comparing xfill against orca-solver, ingrid_core, and two independent open-source baselines on a fixed, size-graded grid set; and (3) a methodological negative result about validating that a heuristic under test actually executes before trusting a benchmark comparison of it.</w:t>
      </w:r>
    </w:p>
    <w:bookmarkEnd w:id="9"/>
    <w:bookmarkStart w:id="10" w:name="background-and-related-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groups of prior CSP work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before the real search begins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Yun and Epstein’s ELF and SPREAD</w:t>
      </w:r>
      <w:r>
        <w:t xml:space="preserve"> </w:t>
      </w:r>
      <w:r>
        <w:t xml:space="preserve"> </w:t>
      </w:r>
      <w:r>
        <w:t xml:space="preserve">are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and separately that</w:t>
      </w:r>
      <w:r>
        <w:t xml:space="preserve"> </w:t>
      </w:r>
      <w:r>
        <w:t xml:space="preserve">“most portfolio-based methods for CSPs do not share information”</w:t>
      </w:r>
      <w:r>
        <w:t xml:space="preserve"> </w:t>
      </w:r>
      <w:r>
        <w:t xml:space="preserve"> </w:t>
      </w:r>
      <w:r>
        <w:t xml:space="preserve">at all outside their framework. A comprehensive 2018 survey</w:t>
      </w:r>
      <w:r>
        <w:t xml:space="preserve"> </w:t>
      </w:r>
      <w:r>
        <w:t xml:space="preserve"> </w:t>
      </w:r>
      <w:r>
        <w:t xml:space="preserve">documents no CSP work sharing heuristic statistics continuously among concurrent, non-partitioning workers; its own taxonomy has no category for it. Embarrassingly parallel search</w:t>
      </w:r>
      <w:r>
        <w:t xml:space="preserve"> </w:t>
      </w:r>
      <w:r>
        <w:t xml:space="preserve">, a widely used later technique, decomposes into disjoint subproblems with</w:t>
      </w:r>
      <w:r>
        <w:t xml:space="preserve"> </w:t>
      </w:r>
      <w:r>
        <w:t xml:space="preserve">“almost no communication”</w:t>
      </w:r>
      <w:r>
        <w:t xml:space="preserve"> </w:t>
      </w:r>
      <w:r>
        <w:t xml:space="preserve">at all – a different point again.</w:t>
      </w:r>
    </w:p>
    <w:p>
      <w:pPr>
        <w:pStyle w:val="BodyText"/>
      </w:pPr>
      <w:r>
        <w:t xml:space="preserve">The mechanism in Section III occupies the gap these leave: concurrent (unlike Grimes and Wallace), soft (unlike Ehlers and Stuckey), and never used to partition (unlike Yun and Epstein).</w:t>
      </w:r>
    </w:p>
    <w:bookmarkEnd w:id="10"/>
    <w:bookmarkStart w:id="11" w:name="system-architecture"/>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guaranteeing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(the dedicated exhaustive worker is excluded). Every worker increments a crossing’s counter on wipeout and reads every counter when scoring candidates. The shared counters are plain, order-independent atomic increments rather than a decaying scheme – a decaying normalizer depends on the exact sequence of prior updates, race-free only with a single writer, whereas concurrent writers need an order-independent update rule. The dedicated exhaustive worker neither reads nor writes the shared array: wiring it in measurably regressed the one grid in our corpus it uniquely solved, since its entire value lies in one undisturbed trajectory. Two correctness properties were required before the resulting numbers meant anything: single-threaded calls must stay byte-identical to the unshared baseline (gated on thread count</w:t>
      </w:r>
      <w:r>
        <w:t xml:space="preserve"> </w:t>
      </w:r>
      <m:oMath>
        <m:r>
          <m:rPr>
            <m:sty m:val="p"/>
          </m:rPr>
          <m:t>&gt;</m:t>
        </m:r>
        <m:r>
          <m:t>1</m:t>
        </m:r>
      </m:oMath>
      <w:r>
        <w:t xml:space="preserve">), and ThreadSanitizer, run against real multi-threaded solves, reported no data races – consistent with every update being independent and order-free. In earlier development-time testing across a broader corpus of moderate-difficulty grids (documented at commit-level detail in this repository’s</w:t>
      </w:r>
      <w:r>
        <w:t xml:space="preserve"> </w:t>
      </w:r>
      <w:r>
        <w:rPr>
          <w:rStyle w:val="VerbatimChar"/>
        </w:rPr>
        <w:t xml:space="preserve">docs/design.md</w:t>
      </w:r>
      <w:r>
        <w:t xml:space="preserve">), this mechanism reduced solve time broadly rather than on an isolated case – one grid from 12.5s to 0.7s, another from 1.2s to 0.1s, a third newly solved within its time cap – which we revisit against a targeted, harder-instance ablation in Section </w:t>
      </w:r>
      <w:hyperlink w:anchor="sec:ablation">
        <w:r>
          <w:rPr>
            <w:rStyle w:val="Hyperlink"/>
          </w:rPr>
          <w:t xml:space="preserve">5.7</w:t>
        </w:r>
      </w:hyperlink>
      <w:r>
        <w:t xml:space="preserve">.</w:t>
      </w:r>
    </w:p>
    <w:bookmarkEnd w:id="11"/>
    <w:bookmarkStart w:id="12" w:name="Xd7822a03cf4fad33f75593d96c2b5eda6e21e88"/>
    <w:p>
      <w:pPr>
        <w:pStyle w:val="Heading1"/>
      </w:pPr>
      <w:r>
        <w:t xml:space="preserve">A Negative Result: Branching on the Wrong Thing</w:t>
      </w:r>
    </w:p>
    <w:p>
      <w:pPr>
        <w:pStyle w:val="FirstParagraph"/>
      </w:pPr>
      <w:r>
        <w:t xml:space="preserve">Prompted by a loss against orca-solver on a difficult</w:t>
      </w:r>
      <w:r>
        <w:t xml:space="preserve"> </w:t>
      </w:r>
      <m:oMath>
        <m:r>
          <m:t>7</m:t>
        </m:r>
        <m:r>
          <m:rPr>
            <m:sty m:val="p"/>
          </m:rPr>
          <m:t>×</m:t>
        </m:r>
        <m:r>
          <m:t>7</m:t>
        </m:r>
      </m:oMath>
      <w:r>
        <w:t xml:space="preserve"> </w:t>
      </w:r>
      <w:r>
        <w:t xml:space="preserve">grid (Section V), we implemented five letter-level branching variants – two minimum-remaining-value scoring rules, a faithful reimplementation of orca-solver’s own candidate scoring (read from its published source for reference), and a reversed scan order – reasoning that a smaller per-node branching factor should help on wide-open grids.</w:t>
      </w:r>
    </w:p>
    <w:p>
      <w:pPr>
        <w:pStyle w:val="BodyText"/>
      </w:pPr>
      <w:r>
        <w:t xml:space="preserve">All five produced numerically identical node and backtrack counts. Five independently reasonable heuristics agreeing to the exact node is a stronger signal than</w:t>
      </w:r>
      <w:r>
        <w:t xml:space="preserve"> </w:t>
      </w:r>
      <w:r>
        <w:t xml:space="preserve">“the heuristics didn’t help,”</w:t>
      </w:r>
      <w:r>
        <w:t xml:space="preserve"> </w:t>
      </w:r>
      <w:r>
        <w:t xml:space="preserve">and warranted checking rather than reporting a null result. A plain counter placed directly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heuristics were unreachable code the entire time they were being compared, which is exactly why comparing their benchmark scores could not have distinguished them. The actual bottleneck – found only after ruling out the large-domain branch – was the small-domain branch’s fixed word ordering; extending the solver’s existing restart-randomization flag to that branch is what produced the improvements in Section V. We report this as a reusable methodological point: an A/B comparison of branching heuristics is only informative once the branch under test is confirmed, by direct instrumentation, to actually execute.</w:t>
      </w:r>
    </w:p>
    <w:bookmarkEnd w:id="12"/>
    <w:bookmarkStart w:id="41" w:name="experiments"/>
    <w:p>
      <w:pPr>
        <w:pStyle w:val="Heading1"/>
      </w:pPr>
      <w:r>
        <w:t xml:space="preserve">Experiments</w:t>
      </w:r>
    </w:p>
    <w:bookmarkStart w:id="14" w:name="setup"/>
    <w:p>
      <w:pPr>
        <w:pStyle w:val="Heading2"/>
      </w:pPr>
      <w:r>
        <w:t xml:space="preserve">Setup</w:t>
      </w:r>
    </w:p>
    <w:p>
      <w:pPr>
        <w:pStyle w:val="FirstParagraph"/>
      </w:pPr>
      <w:r>
        <w:rPr>
          <w:b/>
          <w:bCs/>
        </w:rPr>
        <w:t xml:space="preserve">Solvers.</w:t>
      </w:r>
      <w:r>
        <w:t xml:space="preserve"> </w:t>
      </w:r>
      <w:r>
        <w:t xml:space="preserve">xfill (this work); orca-solver, an independently developed partition-based parallel solver treated as a black box; ingrid_core, a single-threaded reference solver; and, to contrast sophisticated architectures against unmodified naive ones, two open-source backtrackers with no restarts, no learned heuristics, and no parallelism: crossword-composer (a static-constraint-order Rust backtracker) and savin_crossword (a textbook AC-3-plus-backtracking Python implementation). All five are run through a single fixed harness checked into this project’s repository (</w:t>
      </w:r>
      <w:r>
        <w:rPr>
          <w:rStyle w:val="VerbatimChar"/>
        </w:rPr>
        <w:t xml:space="preserve">benchmarks/urtc2026_testbench/</w:t>
      </w:r>
      <w:r>
        <w:t xml:space="preserve">), against a dictionary derived deterministically from the repository’s own freely available word list (never a paid one), with a fixed random seed and a uniform 30-second cap – fully reproducible by re-running</w:t>
      </w:r>
      <w:r>
        <w:t xml:space="preserve"> </w:t>
      </w:r>
      <w:r>
        <w:rPr>
          <w:rStyle w:val="VerbatimChar"/>
        </w:rPr>
        <w:t xml:space="preserve">run_benchmark.py</w:t>
      </w:r>
      <w:r>
        <w:t xml:space="preserv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 15</w:t>
      </w:r>
      <m:oMath>
        <m:r>
          <m:rPr>
            <m:sty m:val="p"/>
          </m:rPr>
          <m:t>×</m:t>
        </m:r>
      </m:oMath>
      <w:r>
        <w:t xml:space="preserve">15 grids from a real, previously scraped corpus, all already committed to the repository.</w:t>
      </w:r>
    </w:p>
    <w:bookmarkStart w:id="13" w:name="tab:threads"/>
    <w:p>
      <w:pPr>
        <w:pStyle w:val="TableCaption"/>
      </w:pPr>
      <w:r>
        <w:t xml:space="preserve">Thread count vs. wall time on a known-hard</w:t>
      </w:r>
      <w:r>
        <w:t xml:space="preserve"> </w:t>
      </w:r>
      <m:oMath>
        <m:r>
          <m:t>7</m:t>
        </m:r>
        <m:r>
          <m:rPr>
            <m:sty m:val="p"/>
          </m:rPr>
          <m:t>×</m:t>
        </m:r>
        <m:r>
          <m:t>7</m:t>
        </m:r>
      </m:oMath>
      <w:r>
        <w:t xml:space="preserve"> </w:t>
      </w:r>
      <w:r>
        <w:t xml:space="preserve">grid (single sample; orca-solver’s single-threaded baseline is 201.7s).</w:t>
      </w:r>
    </w:p>
    <w:tbl>
      <w:tblPr>
        <w:tblStyle w:val="Table"/>
        <w:tblW w:type="auto" w:w="0"/>
        <w:tblLook w:firstRow="1" w:lastRow="0" w:firstColumn="0" w:lastColumn="0" w:noHBand="0" w:noVBand="0" w:val="0020"/>
        <w:tblCaption w:val="Thread count vs. wall time on a known-hard 7\times7 grid (single sample; orca-solver’s single-threaded baseline is 201.7s)."/>
      </w:tblPr>
      <w:tblGrid>
        <w:gridCol w:w="3960"/>
        <w:gridCol w:w="3960"/>
      </w:tblGrid>
      <w:tr>
        <w:trPr>
          <w:tblHeader w:val="on"/>
        </w:trPr>
        <w:tc>
          <w:tcPr/>
          <w:p>
            <w:pPr>
              <w:pStyle w:val="Compact"/>
              <w:jc w:val="left"/>
            </w:pPr>
            <w:r>
              <w:t xml:space="preserve">Threads</w:t>
            </w:r>
          </w:p>
        </w:tc>
        <w:tc>
          <w:tcPr/>
          <w:p>
            <w:pPr>
              <w:pStyle w:val="Compact"/>
              <w:jc w:val="right"/>
            </w:pPr>
            <w:r>
              <w:t xml:space="preserve">Wall time (s)</w:t>
            </w:r>
          </w:p>
        </w:tc>
      </w:tr>
      <w:tr>
        <w:tc>
          <w:tcPr/>
          <w:p>
            <w:pPr>
              <w:pStyle w:val="Compact"/>
              <w:jc w:val="left"/>
            </w:pPr>
            <w:r>
              <w:t xml:space="preserve">1</w:t>
            </w:r>
          </w:p>
        </w:tc>
        <w:tc>
          <w:tcPr/>
          <w:p>
            <w:pPr>
              <w:pStyle w:val="Compact"/>
              <w:jc w:val="right"/>
            </w:pPr>
            <w:r>
              <w:t xml:space="preserve">166.7</w:t>
            </w:r>
          </w:p>
        </w:tc>
      </w:tr>
      <w:tr>
        <w:tc>
          <w:tcPr/>
          <w:p>
            <w:pPr>
              <w:pStyle w:val="Compact"/>
              <w:jc w:val="left"/>
            </w:pPr>
            <w:r>
              <w:t xml:space="preserve">14</w:t>
            </w:r>
          </w:p>
        </w:tc>
        <w:tc>
          <w:tcPr/>
          <w:p>
            <w:pPr>
              <w:pStyle w:val="Compact"/>
              <w:jc w:val="right"/>
            </w:pPr>
            <w:r>
              <w:t xml:space="preserve">63.0</w:t>
            </w:r>
          </w:p>
        </w:tc>
      </w:tr>
      <w:tr>
        <w:tc>
          <w:tcPr/>
          <w:p>
            <w:pPr>
              <w:pStyle w:val="Compact"/>
              <w:jc w:val="left"/>
            </w:pPr>
            <w:r>
              <w:t xml:space="preserve">28</w:t>
            </w:r>
          </w:p>
        </w:tc>
        <w:tc>
          <w:tcPr/>
          <w:p>
            <w:pPr>
              <w:pStyle w:val="Compact"/>
              <w:jc w:val="right"/>
            </w:pPr>
            <w:r>
              <w:t xml:space="preserve">104.6</w:t>
            </w:r>
          </w:p>
        </w:tc>
      </w:tr>
      <w:tr>
        <w:tc>
          <w:tcPr/>
          <w:p>
            <w:pPr>
              <w:pStyle w:val="Compact"/>
              <w:jc w:val="left"/>
            </w:pPr>
            <w:r>
              <w:t xml:space="preserve">42</w:t>
            </w:r>
          </w:p>
        </w:tc>
        <w:tc>
          <w:tcPr/>
          <w:p>
            <w:pPr>
              <w:pStyle w:val="Compact"/>
              <w:jc w:val="right"/>
            </w:pPr>
            <w:r>
              <w:t xml:space="preserve">85.6</w:t>
            </w:r>
          </w:p>
        </w:tc>
      </w:tr>
      <w:tr>
        <w:tc>
          <w:tcPr/>
          <w:p>
            <w:pPr>
              <w:pStyle w:val="Compact"/>
              <w:jc w:val="left"/>
            </w:pPr>
            <w:r>
              <w:t xml:space="preserve">56</w:t>
            </w:r>
          </w:p>
        </w:tc>
        <w:tc>
          <w:tcPr/>
          <w:p>
            <w:pPr>
              <w:pStyle w:val="Compact"/>
              <w:jc w:val="right"/>
            </w:pPr>
            <w:r>
              <w:t xml:space="preserve">112.4</w:t>
            </w:r>
          </w:p>
        </w:tc>
      </w:tr>
    </w:tbl>
    <w:bookmarkEnd w:id="13"/>
    <w:bookmarkEnd w:id="14"/>
    <w:bookmarkStart w:id="19" w:name="sec:oversub"/>
    <w:p>
      <w:pPr>
        <w:pStyle w:val="Heading2"/>
      </w:pPr>
      <w:r>
        <w:t xml:space="preserve">Oversubscription on a Known-Hard Grid</w:t>
      </w:r>
    </w:p>
    <w:p>
      <w:pPr>
        <w:pStyle w:val="FirstParagraph"/>
      </w:pPr>
      <w:r>
        <w:t xml:space="preserve">Table </w:t>
      </w:r>
      <w:hyperlink w:anchor="tab:threads">
        <w:r>
          <w:rPr>
            <w:rStyle w:val="Hyperlink"/>
          </w:rPr>
          <w:t xml:space="preserve">1</w:t>
        </w:r>
      </w:hyperlink>
      <w:r>
        <w:t xml:space="preserve"> </w:t>
      </w:r>
      <w:r>
        <w:t xml:space="preserve">shows wall time on a known-hard, previously published</w:t>
      </w:r>
      <w:r>
        <w:t xml:space="preserve"> </w:t>
      </w:r>
      <m:oMath>
        <m:r>
          <m:t>7</m:t>
        </m:r>
        <m:r>
          <m:rPr>
            <m:sty m:val="p"/>
          </m:rPr>
          <m:t>×</m:t>
        </m:r>
        <m:r>
          <m:t>7</m:t>
        </m:r>
      </m:oMath>
      <w:r>
        <w:t xml:space="preserve"> </w:t>
      </w:r>
      <w:r>
        <w:t xml:space="preserve">grid (two pre-filled letters, no blocked cells) as thread count exceeds this machine’s 14 physical cores. Every oversubscribed configuration beats orca-solver’s single-threaded baseline; 42 threads (3</w:t>
      </w:r>
      <m:oMath>
        <m:r>
          <m:rPr>
            <m:sty m:val="p"/>
          </m:rPr>
          <m:t>×</m:t>
        </m:r>
      </m:oMath>
      <w:r>
        <w:t xml:space="preserve"> </w:t>
      </w:r>
      <w:r>
        <w:t xml:space="preserve">physical cores) is fastest, with contention visibly eroding the gain by 56.</w:t>
      </w:r>
    </w:p>
    <w:bookmarkStart w:id="18" w:name="fig:scaling"/>
    <w:p>
      <w:pPr>
        <w:pStyle w:val="CaptionedFigure"/>
      </w:pPr>
      <w:r>
        <w:drawing>
          <wp:inline>
            <wp:extent cx="5334000" cy="2327144"/>
            <wp:effectExtent b="0" l="0" r="0" t="0"/>
            <wp:docPr descr="" title="" id="16" name="Picture"/>
            <a:graphic>
              <a:graphicData uri="http://schemas.openxmlformats.org/drawingml/2006/picture">
                <pic:pic>
                  <pic:nvPicPr>
                    <pic:cNvPr descr="../benchmarks/urtc2026_testbench/results/figures/fig5_thread_scaling.pdf" id="17" name="Picture"/>
                    <pic:cNvPicPr>
                      <a:picLocks noChangeArrowheads="1" noChangeAspect="1"/>
                    </pic:cNvPicPr>
                  </pic:nvPicPr>
                  <pic:blipFill>
                    <a:blip r:embed="rId15"/>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8"/>
    <w:bookmarkEnd w:id="19"/>
    <w:bookmarkStart w:id="24" w:name="sec:scaling"/>
    <w:p>
      <w:pPr>
        <w:pStyle w:val="Heading2"/>
      </w:pPr>
      <w:r>
        <w:t xml:space="preserve">Thread-Count Scaling on Hard Grids</w:t>
      </w:r>
    </w:p>
    <w:p>
      <w:pPr>
        <w:pStyle w:val="FirstParagraph"/>
      </w:pPr>
      <w:r>
        <w:t xml:space="preserve">Table </w:t>
      </w:r>
      <w:hyperlink w:anchor="tab:threads">
        <w:r>
          <w:rPr>
            <w:rStyle w:val="Hyperlink"/>
          </w:rPr>
          <w:t xml:space="preserve">1</w:t>
        </w:r>
      </w:hyperlink>
      <w:r>
        <w:t xml:space="preserve"> </w:t>
      </w:r>
      <w:r>
        <w:t xml:space="preserve">is one grid; Fig. </w:t>
      </w:r>
      <w:hyperlink w:anchor="fig:scaling">
        <w:r>
          <w:rPr>
            <w:rStyle w:val="Hyperlink"/>
          </w:rPr>
          <w:t xml:space="preserve">1</w:t>
        </w:r>
      </w:hyperlink>
      <w:r>
        <w:t xml:space="preserve"> </w:t>
      </w:r>
      <w:r>
        <w:t xml:space="preserve">repeats the experiment across three grids drawn from this project’s own pre-existing "known hard" list (identified in earlier development-time testing, predating this paper, and reused rather than cherry-picked for it), at 1 through 42 threads, for both xfill and orca-solver. The three panels show three different regimes, not one story averaged away: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a</w:t>
      </w:r>
      <w:r>
        <w:t xml:space="preserve"> </w:t>
      </w:r>
      <m:oMath>
        <m:r>
          <m:t>1.5</m:t>
        </m:r>
        <m:r>
          <m:rPr>
            <m:sty m:val="p"/>
          </m:rPr>
          <m:t>×</m:t>
        </m:r>
      </m:oMath>
      <w:r>
        <w:t xml:space="preserve"> </w:t>
      </w:r>
      <w:r>
        <w:t xml:space="preserve">improvement at best;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an honest reminder that not every grid favors either architecture.</w:t>
      </w:r>
      <w:r>
        <w:t xml:space="preserve"> </w:t>
      </w:r>
      <w:r>
        <w:rPr>
          <w:rStyle w:val="VerbatimChar"/>
        </w:rPr>
        <w:t xml:space="preserve">grid_120</w:t>
      </w:r>
      <w:r>
        <w:t xml:space="preserve"> </w:t>
      </w:r>
      <w:r>
        <w:t xml:space="preserve">is the cleanest demonstration in this paper of what a non-partitioning restart portfolio buys: capacity to absorb far more parallelism than the physical core count without restructuring the search, which a partition-based design here does not exhibit to nearly the same degree.</w:t>
      </w:r>
    </w:p>
    <w:bookmarkStart w:id="23" w:name="fig:size"/>
    <w:p>
      <w:pPr>
        <w:pStyle w:val="CaptionedFigure"/>
      </w:pPr>
      <w:r>
        <w:drawing>
          <wp:inline>
            <wp:extent cx="5334000" cy="2631907"/>
            <wp:effectExtent b="0" l="0" r="0" t="0"/>
            <wp:docPr descr="" title="" id="21" name="Picture"/>
            <a:graphic>
              <a:graphicData uri="http://schemas.openxmlformats.org/drawingml/2006/picture">
                <pic:pic>
                  <pic:nvPicPr>
                    <pic:cNvPr descr="../benchmarks/urtc2026_testbench/results/figures/fig1_success_by_size.pdf" id="22" name="Picture"/>
                    <pic:cNvPicPr>
                      <a:picLocks noChangeArrowheads="1" noChangeAspect="1"/>
                    </pic:cNvPicPr>
                  </pic:nvPicPr>
                  <pic:blipFill>
                    <a:blip r:embed="rId20"/>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30s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where every solver times out together.</w:t>
      </w:r>
    </w:p>
    <w:bookmarkEnd w:id="23"/>
    <w:bookmarkEnd w:id="24"/>
    <w:bookmarkStart w:id="33" w:name="scaling-and-naive-baselines"/>
    <w:p>
      <w:pPr>
        <w:pStyle w:val="Heading2"/>
      </w:pPr>
      <w:r>
        <w:t xml:space="preserve">Scaling and Naive Baselines</w:t>
      </w:r>
    </w:p>
    <w:p>
      <w:pPr>
        <w:pStyle w:val="FirstParagraph"/>
      </w:pPr>
      <w:r>
        <w:t xml:space="preserve">Across all 20 grids, xfill solved 17 (1 correct UNSAT, 2 timeouts), orca-solver 16 (1 UNSAT, 3 timeouts), ingrid_core 12, crossword-composer 5, and savin_crossword</w:t>
      </w:r>
      <w:r>
        <w:t xml:space="preserve"> </w:t>
      </w:r>
      <w:r>
        <w:rPr>
          <w:i/>
          <w:iCs/>
        </w:rPr>
        <w:t xml:space="preserve">0</w:t>
      </w:r>
      <w:r>
        <w:t xml:space="preserve"> </w:t>
      </w:r>
      <w:r>
        <w:t xml:space="preserve">– it timed out on every single grid, including the trivial</w:t>
      </w:r>
      <w:r>
        <w:t xml:space="preserve"> </w:t>
      </w:r>
      <m:oMath>
        <m:r>
          <m:t>5</m:t>
        </m:r>
        <m:r>
          <m:rPr>
            <m:sty m:val="p"/>
          </m:rPr>
          <m:t>×</m:t>
        </m:r>
        <m:r>
          <m:t>5</m:t>
        </m:r>
      </m:oMath>
      <w:r>
        <w:t xml:space="preserve">, and so never appears in Fig. </w:t>
      </w:r>
      <w:hyperlink w:anchor="fig:size">
        <w:r>
          <w:rPr>
            <w:rStyle w:val="Hyperlink"/>
          </w:rPr>
          <w:t xml:space="preserve">2</w:t>
        </w:r>
      </w:hyperlink>
      <w:r>
        <w:t xml:space="preserve"> </w:t>
      </w:r>
      <w:r>
        <w:t xml:space="preserve">at all. That absence is itself informative: crossword-composer (which does appear, intermittently) fails on individual instances despite having no dependence on dictionary size, while savin_crossword’s failure is not about grid size at all – its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grid size, since domain sizes before any grid-driven narrowing are already large. Both are real, unmodified, independently authored solvers; the gap is what restarts, adaptive heuristics, and (for xfill/orca-solver) parallelism buy at dictionary and grid sizes that matter in practice.</w:t>
      </w:r>
    </w:p>
    <w:bookmarkStart w:id="28" w:name="fig:speedup"/>
    <w:p>
      <w:pPr>
        <w:pStyle w:val="CaptionedFigure"/>
      </w:pPr>
      <w:r>
        <w:drawing>
          <wp:inline>
            <wp:extent cx="5334000" cy="2569821"/>
            <wp:effectExtent b="0" l="0" r="0" t="0"/>
            <wp:docPr descr="" title="" id="26" name="Picture"/>
            <a:graphic>
              <a:graphicData uri="http://schemas.openxmlformats.org/drawingml/2006/picture">
                <pic:pic>
                  <pic:nvPicPr>
                    <pic:cNvPr descr="../benchmarks/urtc2026_testbench/results/figures/fig1b_speedup.pdf" id="27" name="Picture"/>
                    <pic:cNvPicPr>
                      <a:picLocks noChangeArrowheads="1" noChangeAspect="1"/>
                    </pic:cNvPicPr>
                  </pic:nvPicPr>
                  <pic:blipFill>
                    <a:blip r:embed="rId25"/>
                    <a:stretch>
                      <a:fillRect/>
                    </a:stretch>
                  </pic:blipFill>
                  <pic:spPr bwMode="auto">
                    <a:xfrm>
                      <a:off x="0" y="0"/>
                      <a:ext cx="5334000" cy="2569821"/>
                    </a:xfrm>
                    <a:prstGeom prst="rect">
                      <a:avLst/>
                    </a:prstGeom>
                    <a:noFill/>
                    <a:ln w="9525">
                      <a:noFill/>
                      <a:headEnd/>
                      <a:tailEnd/>
                    </a:ln>
                  </pic:spPr>
                </pic:pic>
              </a:graphicData>
            </a:graphic>
          </wp:inline>
        </w:drawing>
      </w:r>
    </w:p>
    <w:p>
      <w:pPr>
        <w:pStyle w:val="ImageCaption"/>
      </w:pPr>
      <w:r>
        <w:t xml:space="preserve">Per-grid speedup (orca-solver time / xfill time, log scale) on every grid in the full 20-grid sample both solvers solved. Bars above the line mean xfill is faster; only one of 16 falls below it.</w:t>
      </w:r>
    </w:p>
    <w:bookmarkEnd w:id="28"/>
    <w:p>
      <w:pPr>
        <w:pStyle w:val="BodyText"/>
      </w:pPr>
      <w:r>
        <w:t xml:space="preserve">Fig. </w:t>
      </w:r>
      <w:hyperlink w:anchor="fig:speedup">
        <w:r>
          <w:rPr>
            <w:rStyle w:val="Hyperlink"/>
          </w:rPr>
          <w:t xml:space="preserve">3</w:t>
        </w:r>
      </w:hyperlink>
      <w:r>
        <w:t xml:space="preserve"> </w:t>
      </w:r>
      <w:r>
        <w:t xml:space="preserve">makes this precise across the full sample, not just the curated subset: of the 16 grids (of 20) both xfill and orca-solver solved, xfill is faster on 15, with a median speedup of</w:t>
      </w:r>
      <w:r>
        <w:t xml:space="preserve"> </w:t>
      </w:r>
      <m:oMath>
        <m:r>
          <m:t>171</m:t>
        </m:r>
        <m:r>
          <m:rPr>
            <m:sty m:val="p"/>
          </m:rPr>
          <m:t>×</m:t>
        </m:r>
      </m:oMath>
      <w:r>
        <w:t xml:space="preserve"> </w:t>
      </w:r>
      <w:r>
        <w:t xml:space="preserve">and a geometric mean of</w:t>
      </w:r>
      <w:r>
        <w:t xml:space="preserve"> </w:t>
      </w:r>
      <m:oMath>
        <m:r>
          <m:t>96</m:t>
        </m:r>
        <m:r>
          <m:rPr>
            <m:sty m:val="p"/>
          </m:rPr>
          <m:t>×</m:t>
        </m:r>
      </m:oMath>
      <w:r>
        <w:t xml:space="preserve"> </w:t>
      </w:r>
      <w:r>
        <w:t xml:space="preserve">– driven by several 15</w:t>
      </w:r>
      <m:oMath>
        <m:r>
          <m:rPr>
            <m:sty m:val="p"/>
          </m:rPr>
          <m:t>×</m:t>
        </m:r>
      </m:oMath>
      <w:r>
        <w:t xml:space="preserve">15 grids where xfill finishes in single-digit milliseconds and orca-solver takes 3–13 seconds, not by the small curated grids alone. The one exception,</w:t>
      </w:r>
      <w:r>
        <w:t xml:space="preserve"> </w:t>
      </w:r>
      <w:r>
        <w:rPr>
          <w:rStyle w:val="VerbatimChar"/>
        </w:rPr>
        <w:t xml:space="preserve">grid_479</w:t>
      </w:r>
      <w:r>
        <w:t xml:space="preserve">, runs the other way (orca-solver</w:t>
      </w:r>
      <w:r>
        <w:t xml:space="preserve"> </w:t>
      </w:r>
      <m:oMath>
        <m:r>
          <m:rPr>
            <m:sty m:val="p"/>
          </m:rPr>
          <m:t>∼</m:t>
        </m:r>
        <m:r>
          <m:t>​</m:t>
        </m:r>
        <m:r>
          <m:t>3</m:t>
        </m:r>
        <m:r>
          <m:rPr>
            <m:sty m:val="p"/>
          </m:rPr>
          <m:t>×</m:t>
        </m:r>
      </m:oMath>
      <w:r>
        <w:t xml:space="preserve"> </w:t>
      </w:r>
      <w:r>
        <w:t xml:space="preserve">faster), which we report rather than omit: even a lopsided aggregate result is not a universal one, consistent with Section V-C’s</w:t>
      </w:r>
      <w:r>
        <w:t xml:space="preserve"> </w:t>
      </w:r>
      <w:r>
        <w:rPr>
          <w:rStyle w:val="VerbatimChar"/>
        </w:rPr>
        <w:t xml:space="preserve">grid_115</w:t>
      </w:r>
      <w:r>
        <w:t xml:space="preserve"> </w:t>
      </w:r>
      <w:r>
        <w:t xml:space="preserve">and this paper’s broader argument that neither architecture strictly dominates.</w:t>
      </w:r>
    </w:p>
    <w:bookmarkStart w:id="32" w:name="fig:cumulative"/>
    <w:p>
      <w:pPr>
        <w:pStyle w:val="CaptionedFigure"/>
      </w:pPr>
      <w:r>
        <w:drawing>
          <wp:inline>
            <wp:extent cx="5003800" cy="3009900"/>
            <wp:effectExtent b="0" l="0" r="0" t="0"/>
            <wp:docPr descr="" title="" id="30" name="Picture"/>
            <a:graphic>
              <a:graphicData uri="http://schemas.openxmlformats.org/drawingml/2006/picture">
                <pic:pic>
                  <pic:nvPicPr>
                    <pic:cNvPr descr="../benchmarks/urtc2026_testbench/results/figures/fig2_15x15_cumulative.pdf" id="31" name="Picture"/>
                    <pic:cNvPicPr>
                      <a:picLocks noChangeArrowheads="1" noChangeAspect="1"/>
                    </pic:cNvPicPr>
                  </pic:nvPicPr>
                  <pic:blipFill>
                    <a:blip r:embed="rId29"/>
                    <a:stretch>
                      <a:fillRect/>
                    </a:stretch>
                  </pic:blipFill>
                  <pic:spPr bwMode="auto">
                    <a:xfrm>
                      <a:off x="0" y="0"/>
                      <a:ext cx="5003800" cy="3009900"/>
                    </a:xfrm>
                    <a:prstGeom prst="rect">
                      <a:avLst/>
                    </a:prstGeom>
                    <a:noFill/>
                    <a:ln w="9525">
                      <a:noFill/>
                      <a:headEnd/>
                      <a:tailEnd/>
                    </a:ln>
                  </pic:spPr>
                </pic:pic>
              </a:graphicData>
            </a:graphic>
          </wp:inline>
        </w:drawing>
      </w:r>
    </w:p>
    <w:p>
      <w:pPr>
        <w:pStyle w:val="ImageCaption"/>
      </w:pPr>
      <w:r>
        <w:t xml:space="preserve">Cumulative fraction of real 15</w:t>
      </w:r>
      <m:oMath>
        <m:r>
          <m:rPr>
            <m:sty m:val="p"/>
          </m:rPr>
          <m:t>×</m:t>
        </m:r>
      </m:oMath>
      <w:r>
        <w:t xml:space="preserve">15 grids solved by wall time (log scale), 30s cap. The point is the horizontal gap between curves, not the final height: xfill’s curve is shifted roughly two orders of magnitude left of ingrid_core’s and orca-solver’s, meaning it is not just eventually as successful but reaches the same solved fraction far sooner across the entire distribution, not only in a best-case tail.</w:t>
      </w:r>
    </w:p>
    <w:bookmarkEnd w:id="32"/>
    <w:bookmarkEnd w:id="33"/>
    <w:bookmarkStart w:id="34" w:name="real-grids"/>
    <w:p>
      <w:pPr>
        <w:pStyle w:val="Heading2"/>
      </w:pPr>
      <w:r>
        <w:t xml:space="preserve">Real Grids</w:t>
      </w:r>
    </w:p>
    <w:p>
      <w:pPr>
        <w:pStyle w:val="FirstParagraph"/>
      </w:pPr>
      <w:r>
        <w:t xml:space="preserve">On this specific 20-grid sample, orca-solver never uniquely solves a grid xfill fails on, while xfill uniquely solves one orca-solver cannot within the cap (both also agree on 16 solves and one correct UNSAT proof, and are jointly stuck on 2). That near-total overlap is itself informative: it shows this particular sample is not hard enough to separate the two architectures, which is exactly why Sections V-C and V-G instead use a deliberately harder, pre-existing grid list to find where they actually diverge, rather than relying on this sample alone to make that case.</w:t>
      </w:r>
    </w:p>
    <w:bookmarkEnd w:id="34"/>
    <w:bookmarkStart w:id="39" w:name="exhaustive-case-study"/>
    <w:p>
      <w:pPr>
        <w:pStyle w:val="Heading2"/>
      </w:pPr>
      <w:r>
        <w:t xml:space="preserve">Exhaustive Case Study</w:t>
      </w:r>
    </w:p>
    <w:p>
      <w:pPr>
        <w:pStyle w:val="FirstParagraph"/>
      </w:pPr>
      <w:r>
        <w:t xml:space="preserve">To test proof capability rather than only positive results, we constructed by hand a grid designed to be maximally constrained: five mutually crossing 15-letter entries, verified cell-by-cell against both solvers’ own parsers. Run to completion with no time limit, both solvers independently concluded no solution exists: xfill exhausted 2.16 billion nodes over 791 restarts in 76 minutes; orca-solver reported search exhausted after enumerating 224 partitions in 25 minutes – roughly</w:t>
      </w:r>
      <w:r>
        <w:t xml:space="preserve"> </w:t>
      </w:r>
      <m:oMath>
        <m:r>
          <m:t>3</m:t>
        </m:r>
        <m:r>
          <m:rPr>
            <m:sty m:val="p"/>
          </m:rPr>
          <m:t>×</m:t>
        </m:r>
      </m:oMath>
      <w:r>
        <w:t xml:space="preserve"> </w:t>
      </w:r>
      <w:r>
        <w:t xml:space="preserve">faster, consistent with partitioning’s non-overlapping coverage being a more direct route to a proof than restart-based search’s redundant one.</w:t>
      </w:r>
    </w:p>
    <w:bookmarkStart w:id="38" w:name="fig:ablation"/>
    <w:p>
      <w:pPr>
        <w:pStyle w:val="CaptionedFigure"/>
      </w:pPr>
      <w:r>
        <w:drawing>
          <wp:inline>
            <wp:extent cx="5334000" cy="2286000"/>
            <wp:effectExtent b="0" l="0" r="0" t="0"/>
            <wp:docPr descr="" title="" id="36" name="Picture"/>
            <a:graphic>
              <a:graphicData uri="http://schemas.openxmlformats.org/drawingml/2006/picture">
                <pic:pic>
                  <pic:nvPicPr>
                    <pic:cNvPr descr="../benchmarks/urtc2026_testbench/results/figures/fig4_ablation.pdf" id="37" name="Picture"/>
                    <pic:cNvPicPr>
                      <a:picLocks noChangeArrowheads="1" noChangeAspect="1"/>
                    </pic:cNvPicPr>
                  </pic:nvPicPr>
                  <pic:blipFill>
                    <a:blip r:embed="rId3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Shared-conflict-weight ablation: 6 trials per configuration, 14 threads, on three grids from the same known-hard list as Fig. </w:t>
      </w:r>
      <w:hyperlink w:anchor="fig:scaling">
        <w:r>
          <w:rPr>
            <w:rStyle w:val="Hyperlink"/>
          </w:rPr>
          <w:t xml:space="preserve">1</w:t>
        </w:r>
      </w:hyperlink>
      <w:r>
        <w:t xml:space="preserve"> </w:t>
      </w:r>
      <w:r>
        <w:t xml:space="preserve">that are fast enough to repeat. Grey = mechanism off, blue = on (this paper’s default). Bars mark the median; the spread is the finding.</w:t>
      </w:r>
    </w:p>
    <w:bookmarkEnd w:id="38"/>
    <w:bookmarkEnd w:id="39"/>
    <w:bookmarkStart w:id="40" w:name="sec:ablation"/>
    <w:p>
      <w:pPr>
        <w:pStyle w:val="Heading2"/>
      </w:pPr>
      <w:r>
        <w:t xml:space="preserve">Isolating the Mechanism: A Shared-Weight Ablation</w:t>
      </w:r>
    </w:p>
    <w:p>
      <w:pPr>
        <w:pStyle w:val="FirstParagraph"/>
      </w:pPr>
      <w:r>
        <w:t xml:space="preserve">Section III and Sections </w:t>
      </w:r>
      <w:hyperlink w:anchor="sec:oversub">
        <w:r>
          <w:rPr>
            <w:rStyle w:val="Hyperlink"/>
          </w:rPr>
          <w:t xml:space="preserve">5.2</w:t>
        </w:r>
      </w:hyperlink>
      <w:r>
        <w:t xml:space="preserve">–</w:t>
      </w:r>
      <w:hyperlink w:anchor="sec:scaling">
        <w:r>
          <w:rPr>
            <w:rStyle w:val="Hyperlink"/>
          </w:rPr>
          <w:t xml:space="preserve">5.3</w:t>
        </w:r>
      </w:hyperlink>
      <w:r>
        <w:t xml:space="preserve"> </w:t>
      </w:r>
      <w:r>
        <w:t xml:space="preserve">establish that xfill’s architecture and its ability to absorb heavy parallelism are real advantages over orca-solver. To test the paper’s specific mechanism in isolation – not xfill versus a different codebase, but xfill against itself with one environment variable flipped – we ran the same grid, same dictionary, same 14 threads, with</w:t>
      </w:r>
      <w:r>
        <w:t xml:space="preserve"> </w:t>
      </w:r>
      <w:r>
        <w:rPr>
          <w:rStyle w:val="VerbatimChar"/>
        </w:rPr>
        <w:t xml:space="preserve">XFILL_DISABLE_SHARED_WEIGHTS</w:t>
      </w:r>
      <w:r>
        <w:t xml:space="preserve"> </w:t>
      </w:r>
      <w:r>
        <w:t xml:space="preserve">on and off, 6 trials each, on three grids from the known-hard list fast enough to repeat within a reasonable budget. We report this honestly rather than selectively: Fig. </w:t>
      </w:r>
      <w:hyperlink w:anchor="fig:ablation">
        <w:r>
          <w:rPr>
            <w:rStyle w:val="Hyperlink"/>
          </w:rPr>
          <w:t xml:space="preserve">5</w:t>
        </w:r>
      </w:hyperlink>
      <w:r>
        <w:t xml:space="preserve"> </w:t>
      </w:r>
      <w:r>
        <w:t xml:space="preserve">does</w:t>
      </w:r>
      <w:r>
        <w:t xml:space="preserve"> </w:t>
      </w:r>
      <w:r>
        <w:rPr>
          <w:i/>
          <w:iCs/>
        </w:rPr>
        <w:t xml:space="preserve">not</w:t>
      </w:r>
      <w:r>
        <w:t xml:space="preserve"> </w:t>
      </w:r>
      <w:r>
        <w:t xml:space="preserve">show a uniform win for the mechanism on this specific, especially-hard grid subset. On</w:t>
      </w:r>
      <w:r>
        <w:t xml:space="preserve"> </w:t>
      </w:r>
      <w:r>
        <w:rPr>
          <w:rStyle w:val="VerbatimChar"/>
        </w:rPr>
        <w:t xml:space="preserve">grid_053</w:t>
      </w:r>
      <w:r>
        <w:t xml:space="preserve"> </w:t>
      </w:r>
      <w:r>
        <w:t xml:space="preserve">the unshared baseline is both faster on the median (0.72s vs. 2.77s) and far tighter (range 0.66–0.76s vs. 0.07–3.71s); on</w:t>
      </w:r>
      <w:r>
        <w:t xml:space="preserve"> </w:t>
      </w:r>
      <w:r>
        <w:rPr>
          <w:rStyle w:val="VerbatimChar"/>
        </w:rPr>
        <w:t xml:space="preserve">grid_058</w:t>
      </w:r>
      <w:r>
        <w:t xml:space="preserve"> </w:t>
      </w:r>
      <w:r>
        <w:t xml:space="preserve">the medians are close but shared weights again show wider spread; on</w:t>
      </w:r>
      <w:r>
        <w:t xml:space="preserve"> </w:t>
      </w:r>
      <w:r>
        <w:rPr>
          <w:rStyle w:val="VerbatimChar"/>
        </w:rPr>
        <w:t xml:space="preserve">grid_120</w:t>
      </w:r>
      <w:r>
        <w:t xml:space="preserve"> </w:t>
      </w:r>
      <w:r>
        <w:t xml:space="preserve">shared weights reach a lower best case (2.75s vs. 8.36s minimum) but also produce the only outright timeout of the eighteen trials shown. Read together with Section III’s earlier, broader-corpus finding (a consistent win across a general sample of moderate-difficulty grids, reported at commit-level detail in this repository’s</w:t>
      </w:r>
      <w:r>
        <w:t xml:space="preserve"> </w:t>
      </w:r>
      <w:r>
        <w:rPr>
          <w:rStyle w:val="VerbatimChar"/>
        </w:rPr>
        <w:t xml:space="preserve">docs/design.md</w:t>
      </w:r>
      <w:r>
        <w:t xml:space="preserve">), the honest synthesis is that this mechanism’s benefit is corpus- and regime-dependent: it helps broadly on typical grids by redistributing which crossings each worker deprioritizes, but on grids already at the extreme difficulty end, it appears to trade a tighter, well-behaved variance for a wider one that is not reliably better on net. We see no principled way to present this as a clean win on this specific evidence, and reporting a negative or mixed ablation honestly is itself consistent with Section IV’s methodological stance.</w:t>
      </w:r>
    </w:p>
    <w:bookmarkEnd w:id="40"/>
    <w:bookmarkEnd w:id="41"/>
    <w:bookmarkStart w:id="42" w:name="discussion"/>
    <w:p>
      <w:pPr>
        <w:pStyle w:val="Heading1"/>
      </w:pPr>
      <w:r>
        <w:t xml:space="preserve">Discussion</w:t>
      </w:r>
    </w:p>
    <w:p>
      <w:pPr>
        <w:pStyle w:val="FirstParagraph"/>
      </w:pPr>
      <w:r>
        <w:t xml:space="preserve">Restart portfolios benefit from heavy-tailed runtimes: more independent draws raise the chance of an early lucky one, which is why oversubscribing thread count still helped in Table </w:t>
      </w:r>
      <w:hyperlink w:anchor="tab:threads">
        <w:r>
          <w:rPr>
            <w:rStyle w:val="Hyperlink"/>
          </w:rPr>
          <w:t xml:space="preserve">1</w:t>
        </w:r>
      </w:hyperlink>
      <w:r>
        <w:t xml:space="preserve"> </w:t>
      </w:r>
      <w:r>
        <w:t xml:space="preserve">and Fig. </w:t>
      </w:r>
      <w:hyperlink w:anchor="fig:scaling">
        <w:r>
          <w:rPr>
            <w:rStyle w:val="Hyperlink"/>
          </w:rPr>
          <w:t xml:space="preserve">1</w:t>
        </w:r>
      </w:hyperlink>
      <w:r>
        <w:t xml:space="preserve">, and why xfill’s real-grid results are a</w:t>
      </w:r>
      <w:r>
        <w:t xml:space="preserve"> </w:t>
      </w:r>
      <w:r>
        <w:rPr>
          <w:i/>
          <w:iCs/>
        </w:rPr>
        <w:t xml:space="preserve">finding</w:t>
      </w:r>
      <w:r>
        <w:t xml:space="preserve">-oriented result. Partitioned search instead gives genuine non-overlapping coverage, which is what a proof of unsatisfiability requires; restart-based search approximates this only through its dedicated exhaustive fallback, at the cost of forgoing restarts entirely for that one worker. The same heavy-tailedness that makes more restart-portfolio workers valuable is also the likely explanation for Fig. </w:t>
      </w:r>
      <w:hyperlink w:anchor="fig:ablation">
        <w:r>
          <w:rPr>
            <w:rStyle w:val="Hyperlink"/>
          </w:rPr>
          <w:t xml:space="preserve">5</w:t>
        </w:r>
      </w:hyperlink>
      <w:r>
        <w:t xml:space="preserve">’s mixed ablation result: shared conflict weights change which draws from the tail each worker takes, which can as easily land on a worse draw as a better one on any single hard instance, and only shows up as a net improvement once averaged over the broader, more typical corpus where Section III’s original finding was measured. Neither result is in tension with the other; they describe the same mechanism at two different points on the difficulty spectrum.</w:t>
      </w:r>
    </w:p>
    <w:bookmarkEnd w:id="42"/>
    <w:bookmarkStart w:id="43"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the Section V unsatisfiability result should be read as hardware- or dictionary-independent claims. Both principal solvers are actively developed software; exact commit hashes are recorded in the testbench README for reproducibility.</w:t>
      </w:r>
    </w:p>
    <w:p>
      <w:pPr>
        <w:pStyle w:val="BodyText"/>
      </w:pPr>
      <w:r>
        <w:t xml:space="preserve">We described a concurrent conflict-weight-sharing mechanism for restart-portfolio CSP search occupying a specific gap in prior work – soft rather than hard information, shared continuously rather than gathered once, never used to partition – and distinguished it from the three closest points in the literature. Implemented in xfill and evaluated on a reproducible, five-solver testbench against both sophisticated competitors and unmodified naive baselines, it contributes to a broader pattern: restart portfolios and partitioned search are suited respectively to finding solutions quickly and to proving none exist, and naive backtracking without either is not competitive at real crossword scale regardless. We also reported a negative result – five heuristics rendered indistinguishable by a precondition that kept them from ever executing – as a reusable caution for comparing branching heuristics by benchmark score alone.</w:t>
      </w:r>
    </w:p>
    <w:bookmarkEnd w:id="43"/>
    <w:bookmarkStart w:id="44" w:name="acknowledgments"/>
    <w:p>
      <w:pPr>
        <w:pStyle w:val="Heading1"/>
      </w:pPr>
      <w:r>
        <w:t xml:space="preserve">Acknowledgments</w:t>
      </w:r>
    </w:p>
    <w:p>
      <w:pPr>
        <w:pStyle w:val="FirstParagraph"/>
      </w:pPr>
      <w:r>
        <w:t xml:space="preserve">[Add any advisor, funding, or collaborator acknowledgments here.]</w:t>
      </w:r>
    </w:p>
    <w:p>
      <w:pPr>
        <w:pStyle w:val="BodyText"/>
      </w:pPr>
      <w:r>
        <w:t xml:space="preserve">11</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“Adaptive Parallelization for Constraint Satisfaction Search,”</w:t>
      </w:r>
      <w:r>
        <w:t xml:space="preserve"> </w:t>
      </w:r>
      <w:r>
        <w:t xml:space="preserve">in</w:t>
      </w:r>
      <w:r>
        <w:t xml:space="preserve"> </w:t>
      </w:r>
      <w:r>
        <w:rPr>
          <w:i/>
          <w:iCs/>
        </w:rPr>
        <w:t xml:space="preserve">Proc. SoCS</w:t>
      </w:r>
      <w:r>
        <w:t xml:space="preserve">, 2012, pp. 145–152.</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J.-C. Régin, M. Rezgui, and A. Malapert,</w:t>
      </w:r>
      <w:r>
        <w:t xml:space="preserve"> </w:t>
      </w:r>
      <w:r>
        <w:t xml:space="preserve">“Embarrassingly Parallel Search in Constraint Programming,”</w:t>
      </w:r>
      <w:r>
        <w:t xml:space="preserve"> </w:t>
      </w:r>
      <w:r>
        <w:rPr>
          <w:i/>
          <w:iCs/>
        </w:rPr>
        <w:t xml:space="preserve">Journal of Artificial Intelligence Research</w:t>
      </w:r>
      <w:r>
        <w:t xml:space="preserve">, vol. 57, pp. 421–464, 2016.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29" Target="media/rId29.pdf" /><Relationship Type="http://schemas.openxmlformats.org/officeDocument/2006/relationships/image" Id="rId35" Target="media/rId35.pdf" /><Relationship Type="http://schemas.openxmlformats.org/officeDocument/2006/relationships/image" Id="rId15" Target="media/rId1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2026-08-05T19:49:08Z</dcterms:created>
  <dcterms:modified xsi:type="dcterms:W3CDTF">2026-08-05T19:49:08Z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solvers generally take one of two paths: partition the search space across workers, or run an undivided portfolio of independent restarts. Prior work that shares information between constraint-satisfaction-problem (CSP) workers treats that sharing as a prelude to partitioning, gathered once and then spent. We describe a different point in this design space: a restart portfolio whose workers never partition the problem, but continuously and concurrently update a shared pool of dom/wdeg-style conflict weights throughout the entire search, with no manager and no synchronization phase. We implement this in xfill, a word-level CSP solver for crossword filling, and evaluate it against four other solvers – orca-solver (partition-based), ingrid_core (single-threaded reference), and two simpler, unmodified open-source backtrackers used as naive baselines – on a reproducible, fixed testbench of real and size-graded grids, plus an adversarially constructed grid designed to be exhaustively hard. Restart portfolios and partitioned search are not uniformly ordered, but on this project’s testbench xfill’s advantage is large and broad where it appears: on the 16 (of 20) real grids both solvers solve, xfill is faster on 15, by a geometric mean of 96\times; oversubscribing thread count past physical core count consistently helps xfill, on one hard grid by roughly 65\times from 1 to 42 threads, while orca-solver improves only marginally over the same range and cannot solve it at all below 14 threads. Neither result is universal – one grid favors orca-solver outright, and a separate hard-grid set shows both architectures failing together – and we report those honestly alongside the aggregate. Shared conflict weights give a consistent improvement on a broad, moderate-difficulty corpus, but a targeted ablation (6 trials, on/off, otherwise identical) on especially hard grids shows a more nuanced effect – higher variance in both directions rather than a uniform speedup – which we report honestly rather than selectively. We also report a negative result: five independently plausible letter-level branching heuristics produced numerically identical output on our hardest benchmark grid, because a domain-size precondition meant none of them ever executed – caught only by direct execution-path instrumentation, not by comparing benchmark scores.</vt:lpwstr>
  </property>
</Properties>
</file>