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5.3</w:t>
        </w:r>
      </w:hyperlink>
      <w:r>
        <w:t xml:space="preserve">), we implemented five letter-level branching variants – two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exhaustive">
        <w:r>
          <w:rPr>
            <w:rStyle w:val="Hyperlink"/>
          </w:rPr>
          <w:t xml:space="preserve">5.7</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5.3</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Start w:id="35"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5.7</w:t>
        </w:r>
      </w:hyperlink>
      <w:r>
        <w:t xml:space="preserve">’s proof of unsatisfiability required.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5.7</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hyperlink r:id="rId39">
        <w:r>
          <w:rPr>
            <w:rStyle w:val="Hyperlink"/>
          </w:rPr>
          <w:t xml:space="preserve">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9" Target="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2026-08-07T06:34:23Z</dcterms:created>
  <dcterms:modified xsi:type="dcterms:W3CDTF">2026-08-07T06:34:23Z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