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9.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t xml:space="preserve">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filling—assigning a dictionary word to every slot in a grid so every crossing letter agrees—is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w:t>
      </w:r>
    </w:p>
    <w:p>
      <w:pPr>
        <w:pStyle w:val="BodyText"/>
      </w:pPr>
      <w:r>
        <w:t xml:space="preserve">This paper is not about crossword filling. It uses crossword filling as a setting to answer one question about parallel constraint search: when multiple workers run concurrently, is there value in sharing</w:t>
      </w:r>
      <w:r>
        <w:t xml:space="preserve"> </w:t>
      </w:r>
      <w:r>
        <w:rPr>
          <w:i/>
          <w:iCs/>
        </w:rPr>
        <w:t xml:space="preserve">soft</w:t>
      </w:r>
      <w:r>
        <w:t xml:space="preserve"> </w:t>
      </w:r>
      <w:r>
        <w:t xml:space="preserve">heuristic statistics—information that biases search order without asserting anything logically—continuously,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architectural backdrop that makes it worth measuring at all.</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claims—restart-portfolio search as an architectural class versus this specific mechanism within it—rather than conflating them;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propagates—removing now-impossible values from other variables’ domains—and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we describe.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solver—never concurrent. Ehlers and Stuckey</w:t>
      </w:r>
      <w:r>
        <w:t xml:space="preserve"> </w:t>
      </w:r>
      <w:r>
        <w:t xml:space="preserve"> </w:t>
      </w:r>
      <w:r>
        <w:t xml:space="preserve">parallelize a lazy-clause-generation solver by sharing learnt nogoods (assignments proven infeasible) and objective bounds between workers—concurrent, but sharing</w:t>
      </w:r>
      <w:r>
        <w:t xml:space="preserve"> </w:t>
      </w:r>
      <w:r>
        <w:rPr>
          <w:i/>
          <w:iCs/>
        </w:rPr>
        <w:t xml:space="preserve">hard</w:t>
      </w:r>
      <w:r>
        <w:t xml:space="preserve"> </w:t>
      </w:r>
      <w:r>
        <w:t xml:space="preserve">facts,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and uses the average to choose how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extensive concurrent, non-partitioning multi-agent search—sharing hard facts (learned clauses, as in ManySAT) or concrete candidate-value hints—but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branching—selecting the slot minimizing domain size over accumulated</w:t>
      </w:r>
      <w:r>
        <w:t xml:space="preserve"> </w:t>
      </w:r>
      <w:r>
        <w:rPr>
          <w:i/>
          <w:iCs/>
        </w:rPr>
        <w:t xml:space="preserve">crossing weight</w:t>
      </w:r>
      <w:r>
        <w:t xml:space="preserve">—then propagates letter constraints via an AC-3-style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Any worker’s sound (mathematically valid) negative result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under concurrent writers only if there is just one writer, since it depends on the exact sequence of prior updates—true concurrent writers need an update rule that ignores order entirely. The dedicated exhaustive worker is excluded because its entire value is one undisturbed trajectory; wiring it in measurably hurt performance on the one grid in our corpus it had uniquely been able to solve.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(a tool that detects unsafe concurrent memory access), run against real multi-threaded solves, reports no such unsafe access. In earlier development-time testing across a broad corpus of moderate-difficulty grids (documented in</w:t>
      </w:r>
      <w:r>
        <w:t xml:space="preserve"> </w:t>
      </w:r>
      <w:r>
        <w:rPr>
          <w:rStyle w:val="VerbatimChar"/>
        </w:rPr>
        <w:t xml:space="preserve">docs/design.md</w:t>
      </w:r>
      <w:r>
        <w:t xml:space="preserve">), this mechanism cut solve time broadly—a finding we revisit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This section is a methodological aside from the same codebase. Motivated by a</w:t>
      </w:r>
      <w:r>
        <w:t xml:space="preserve"> </w:t>
      </w:r>
      <m:oMath>
        <m:r>
          <m:t>7</m:t>
        </m:r>
        <m:r>
          <m:rPr>
            <m:sty m:val="p"/>
          </m:rPr>
          <m:t>×</m:t>
        </m:r>
        <m:r>
          <m:t>7</m:t>
        </m:r>
      </m:oMath>
      <w:r>
        <w:t xml:space="preserve"> </w:t>
      </w:r>
      <w:r>
        <w:t xml:space="preserve">grid known to be exceptionally hard for restart-based search, we implemented five letter-level branching variants—three minimum-remaining-value scoring rules, a faithful reimplementation of a partition-based solver’s own candidate scoring, and a reversed scan order—reasoning that a smaller per-node branching factor should help on wide-open grids.</w:t>
      </w:r>
    </w:p>
    <w:p>
      <w:pPr>
        <w:pStyle w:val="BodyText"/>
      </w:pPr>
      <w:r>
        <w:t xml:space="preserve">All five produced numerically identical node and backtrack counts—too strong a signal to report as a simple null result, so we checked further.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we compared them, which is why their benchmark scores could not have distinguished them. The actual bottleneck was the small-domain branch’s fixed word ordering; extending the solver’s existing restart-randomization flag to it produced the improvements reported in Section </w:t>
      </w:r>
      <w:hyperlink w:anchor="sec:oversub">
        <w:r>
          <w:rPr>
            <w:rStyle w:val="Hyperlink"/>
          </w:rPr>
          <w:t xml:space="preserve">5.3</w:t>
        </w:r>
      </w:hyperlink>
      <w:r>
        <w:t xml:space="preserve">. The reusable point: an A/B comparison of branching heuristics is only informative once the branch under test is confirmed, by direct instrumentation, to execute.</w:t>
      </w:r>
    </w:p>
    <w:bookmarkEnd w:id="12"/>
    <w:bookmarkStart w:id="35"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below—enabled by Section </w:t>
      </w:r>
      <w:hyperlink w:anchor="sec:negative">
        <w:r>
          <w:rPr>
            <w:rStyle w:val="Hyperlink"/>
          </w:rPr>
          <w:t xml:space="preserve">4</w:t>
        </w:r>
      </w:hyperlink>
      <w:r>
        <w:t xml:space="preserve">’s fix—test two distinct claims, kept in separate subsections rather than blended together.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 That architectural comparison is context for why the mechanism is worth building, not a prerequisite to testing it.</w:t>
      </w:r>
    </w:p>
    <w:p>
      <w:pPr>
        <w:pStyle w:val="BodyText"/>
      </w:pPr>
      <w:r>
        <w:rPr>
          <w:b/>
          <w:bCs/>
        </w:rPr>
        <w:t xml:space="preserve">Solvers.</w:t>
      </w:r>
      <w:r>
        <w:t xml:space="preserve"> </w:t>
      </w:r>
      <w:r>
        <w:t xml:space="preserve">xfill (this work); orca-solver, a partition-based parallel solver treated as a black box; ingrid_core, a single-threaded reference solver; and, as a naive baseline with no restarts, no learned heuristics, and no parallelism, crossword-composer (a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its own freely available word list,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to rule out an under-provisioned cap (Section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real, previously published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one environment variable flipped,</w:t>
      </w:r>
      <w:r>
        <w:t xml:space="preserve"> </w:t>
      </w:r>
      <w:r>
        <w:rPr>
          <w:rStyle w:val="VerbatimChar"/>
        </w:rPr>
        <w:t xml:space="preserve">XFILL_DISABLE_SHARED_WEIGHTS</w:t>
      </w:r>
      <w:r>
        <w:t xml:space="preserve"> </w:t>
      </w:r>
      <w:r>
        <w:t xml:space="preserve">on and off, several trials each, on grids from two independent sources—a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 to check the result is not an artifact of one curated list.</w:t>
      </w:r>
    </w:p>
    <w:bookmarkStart w:id="17" w:name="fig:ablation"/>
    <w:p>
      <w:pPr>
        <w:pStyle w:val="CaptionedFigure"/>
      </w:pPr>
      <w:r>
        <w:drawing>
          <wp:inline>
            <wp:extent cx="5067300" cy="959872"/>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59872"/>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we report that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w:t>
      </w:r>
      <w:r>
        <w:t xml:space="preserve">and</w:t>
      </w:r>
      <w:r>
        <w:t xml:space="preserve"> </w:t>
      </w:r>
      <w:r>
        <w:rPr>
          <w:rStyle w:val="VerbatimChar"/>
        </w:rPr>
        <w:t xml:space="preserve">grid_479</w:t>
      </w:r>
      <w:r>
        <w:t xml:space="preserve">, medians are similar but shared weights show wider spread.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latter—all 5 trials hit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w:t>
      </w:r>
      <w:r>
        <w:t xml:space="preserve">as the grid where xfill uniquely completes what orca-solver cannot—a completion advantage this ablation shows rests on exactly the unreliable configuration: shared weights on, the default. Against Section </w:t>
      </w:r>
      <w:hyperlink w:anchor="sec:arch">
        <w:r>
          <w:rPr>
            <w:rStyle w:val="Hyperlink"/>
          </w:rPr>
          <w:t xml:space="preserve">3</w:t>
        </w:r>
      </w:hyperlink>
      <w:r>
        <w:t xml:space="preserve">’s broader-corpus finding of a consistent win, the synthesis is regime-dependent. Shared weights help on typical grids by redistributing which crossings each worker deprioritizes, but at the extreme difficulty end they trade tight, well-behaved variance for a wider one that is not reliably better, and sometimes reliably worse. We have no evidence for a uniform win, so we do not claim one—the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We tested this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5334000" cy="2322604"/>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5334000" cy="2322604"/>
                    </a:xfrm>
                    <a:prstGeom prst="rect">
                      <a:avLst/>
                    </a:prstGeom>
                    <a:noFill/>
                    <a:ln w="9525">
                      <a:noFill/>
                      <a:headEnd/>
                      <a:tailEnd/>
                    </a:ln>
                  </pic:spPr>
                </pic:pic>
              </a:graphicData>
            </a:graphic>
          </wp:inline>
        </w:drawing>
      </w:r>
    </w:p>
    <w:p>
      <w:pPr>
        <w:pStyle w:val="ImageCaption"/>
      </w:pPr>
      <w:r>
        <w:t xml:space="preserve">Wall time vs. thread count, xfill vs. orca-solver, on three grids known to be hard for restart-based search (45s cap; orca-solver missing from a panel means every one of its 7 thread counts timed out).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Fig. </w:t>
      </w:r>
      <w:hyperlink w:anchor="fig:scaling">
        <w:r>
          <w:rPr>
            <w:rStyle w:val="Hyperlink"/>
          </w:rPr>
          <w:t xml:space="preserve">2</w:t>
        </w:r>
      </w:hyperlink>
      <w:r>
        <w:t xml:space="preserve">’s result splits three ways, showing this is a property of the architecture rather than a lucky pick of grid: on</w:t>
      </w:r>
      <w:r>
        <w:t xml:space="preserve"> </w:t>
      </w:r>
      <w:r>
        <w:rPr>
          <w:rStyle w:val="VerbatimChar"/>
        </w:rPr>
        <w:t xml:space="preserve">grid_120</w:t>
      </w:r>
      <w:r>
        <w:t xml:space="preserve">, xfill’s wall time falls from 27.8s at 1 thread to 0.43s at 42—a</w:t>
      </w:r>
      <w:r>
        <w:t xml:space="preserve"> </w:t>
      </w:r>
      <m:oMath>
        <m:r>
          <m:t>65</m:t>
        </m:r>
        <m:r>
          <m:rPr>
            <m:sty m:val="p"/>
          </m:rPr>
          <m:t>×</m:t>
        </m:r>
      </m:oMath>
      <w:r>
        <w:t xml:space="preserve"> </w:t>
      </w:r>
      <w:r>
        <w:t xml:space="preserve">improvement—while orca-solver never solves it below 14 threads and only creeps from 27.3s to 17.9s from 14 to 42; on</w:t>
      </w:r>
      <w:r>
        <w:t xml:space="preserve"> </w:t>
      </w:r>
      <w:r>
        <w:rPr>
          <w:rStyle w:val="VerbatimChar"/>
        </w:rPr>
        <w:t xml:space="preserve">grid_303</w:t>
      </w:r>
      <w:r>
        <w:t xml:space="preserve">, orca-solver fails to solve it at</w:t>
      </w:r>
      <w:r>
        <w:t xml:space="preserve"> </w:t>
      </w:r>
      <w:r>
        <w:rPr>
          <w:i/>
          <w:iCs/>
        </w:rPr>
        <w:t xml:space="preserve">any</w:t>
      </w:r>
      <w:r>
        <w:t xml:space="preserve"> </w:t>
      </w:r>
      <w:r>
        <w:t xml:space="preserve">of the 7 thread counts tested, while xfill solves it (noisily, not monotonically) at 8, 14, and 42 threads; on</w:t>
      </w:r>
      <w:r>
        <w:t xml:space="preserve"> </w:t>
      </w:r>
      <w:r>
        <w:rPr>
          <w:rStyle w:val="VerbatimChar"/>
        </w:rPr>
        <w:t xml:space="preserve">grid_115</w:t>
      </w:r>
      <w:r>
        <w:t xml:space="preserve">, neither solver succeeds at any thread count—this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solved/not-solved view of this same data would show xfill, orca-solver, and ingrid_core essentially tied, since all three succeed on the same grids here—the actual difference is that xfill’s line sits one to three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3"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letting us test directly whether crossword-composer’s losses are a genuine baseline failure or just an under-provisioned time budget. Across all 20 grids, xfill resolved 19 (18 solved, 1 UNSAT; 1 timeout), orca-solver 18 (17 solved, 1 UNSAT; 2 timeouts), ingrid_core 17 (16 solved, 1 UNSAT; 3 timeouts), and crossword-composer 9 (8 solved, 1 UNSAT; 11 timeouts)—a real, unmodified, independently authored solver, not a strawman built to lose. 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1000s—the cap these figures use—changed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the grid and dictionary sizes crossword filling actually requires, restarts, adaptive heuristics, and parallelism are not optional refinements—they are the premise on which the rest of this section, and the mechanism this paper contributes, depend.</w:t>
      </w:r>
    </w:p>
    <w:bookmarkStart w:id="32" w:name="fig:speedup"/>
    <w:p>
      <w:pPr>
        <w:pStyle w:val="CaptionedFigure"/>
      </w:pPr>
      <w:r>
        <w:drawing>
          <wp:inline>
            <wp:extent cx="4907280" cy="1847371"/>
            <wp:effectExtent b="0" l="0" r="0" t="0"/>
            <wp:docPr descr="" title="" id="30" name="Picture"/>
            <a:graphic>
              <a:graphicData uri="http://schemas.openxmlformats.org/drawingml/2006/picture">
                <pic:pic>
                  <pic:nvPicPr>
                    <pic:cNvPr descr="../benchmarks/urtc2026_testbench/results/figures/fig1b_speedup.png" id="31" name="Picture"/>
                    <pic:cNvPicPr>
                      <a:picLocks noChangeArrowheads="1" noChangeAspect="1"/>
                    </pic:cNvPicPr>
                  </pic:nvPicPr>
                  <pic:blipFill>
                    <a:blip r:embed="rId29"/>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2"/>
    <w:bookmarkEnd w:id="33"/>
    <w:bookmarkStart w:id="34"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—realistic-scale grids, rather than the curated size-graded set, which mixes in small grids that inflate the ratio. Of the 11 scraped grids (of 12) both xfill and orca-solver solve, xfill is faster on 9, with a median speedup of</w:t>
      </w:r>
      <w:r>
        <w:t xml:space="preserve"> </w:t>
      </w:r>
      <m:oMath>
        <m:r>
          <m:t>494</m:t>
        </m:r>
        <m:r>
          <m:rPr>
            <m:sty m:val="p"/>
          </m:rPr>
          <m:t>×</m:t>
        </m:r>
      </m:oMath>
      <w:r>
        <w:t xml:space="preserve"> </w:t>
      </w:r>
      <w:r>
        <w:t xml:space="preserve">and a geometric mean of</w:t>
      </w:r>
      <w:r>
        <w:t xml:space="preserve"> </w:t>
      </w:r>
      <m:oMath>
        <m:r>
          <m:t>107</m:t>
        </m:r>
        <m:r>
          <m:rPr>
            <m:sty m:val="p"/>
          </m:rPr>
          <m:t>×</m:t>
        </m:r>
      </m:oMath>
      <w:r>
        <w:t xml:space="preserve">. Two exceptions run the other way: on</w:t>
      </w:r>
      <w:r>
        <w:t xml:space="preserve"> </w:t>
      </w:r>
      <w:r>
        <w:rPr>
          <w:rStyle w:val="VerbatimChar"/>
        </w:rPr>
        <w:t xml:space="preserve">grid_395</w:t>
      </w:r>
      <w:r>
        <w:t xml:space="preserve"> </w:t>
      </w:r>
      <w:r>
        <w:t xml:space="preserve">and</w:t>
      </w:r>
      <w:r>
        <w:t xml:space="preserve"> </w:t>
      </w:r>
      <w:r>
        <w:rPr>
          <w:rStyle w:val="VerbatimChar"/>
        </w:rPr>
        <w:t xml:space="preserve">grid_479</w:t>
      </w:r>
      <w:r>
        <w:t xml:space="preserve">, orca-solver is faster, by</w:t>
      </w:r>
      <w:r>
        <w:t xml:space="preserve"> </w:t>
      </w:r>
      <m:oMath>
        <m:r>
          <m:t>5.4</m:t>
        </m:r>
        <m:r>
          <m:rPr>
            <m:sty m:val="p"/>
          </m:rPr>
          <m:t>×</m:t>
        </m:r>
      </m:oMath>
      <w:r>
        <w:t xml:space="preserve"> </w:t>
      </w:r>
      <w:r>
        <w:t xml:space="preserve">and</w:t>
      </w:r>
      <w:r>
        <w:t xml:space="preserve"> </w:t>
      </w:r>
      <m:oMath>
        <m:r>
          <m:t>1.6</m:t>
        </m:r>
        <m:r>
          <m:rPr>
            <m:sty m:val="p"/>
          </m:rPr>
          <m:t>×</m:t>
        </m:r>
      </m:oMath>
      <w:r>
        <w:t xml:space="preserve">—consistent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4"/>
    <w:bookmarkEnd w:id="35"/>
    <w:bookmarkStart w:id="36"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more draws can succeed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bookmarkEnd w:id="36"/>
    <w:bookmarkStart w:id="37" w:name="limitations-and-conclusion"/>
    <w:p>
      <w:pPr>
        <w:pStyle w:val="Heading1"/>
      </w:pPr>
      <w:r>
        <w:t xml:space="preserve">Limitations and Conclusion</w:t>
      </w:r>
    </w:p>
    <w:p>
      <w:pPr>
        <w:pStyle w:val="FirstParagraph"/>
      </w:pPr>
      <w:r>
        <w:t xml:space="preserve">All timing results are from one 14-core machine and one dictionary derived from a specific freely available word list; the thread-scaling numbers should not be read as hardware- or dictionary-independent claims. Both principal solvers are actively developed; exact commit hashes are recorded in the testbench README.</w:t>
      </w:r>
    </w:p>
    <w:p>
      <w:pPr>
        <w:pStyle w:val="BodyText"/>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subject—restart portfolios and partitioned search are suited respectively to finding solutions quickly and to proving none exist, a pattern independent of any one solver. The mechanism itself, tested in isolation, is more modest than the architecture it sits inside: a real win on typical grids, a wash or worse on the hardest ones, reported as measured rather than as hoped. We also reported a negative result from the same codebase—five heuristics rendered indistinguishable by a precondition that kept them from ever executing—as a reusable caution for comparing branching heuristics by benchmark score alone. Nothing about the mechanism itself is specific to crossword filling: it needs only a dom/wdeg-style weight table and a restart loop, both already common in CSP and lazy-clause-generation solvers—exactly the ingredients Section </w:t>
      </w:r>
      <w:hyperlink w:anchor="sec:relwork">
        <w:r>
          <w:rPr>
            <w:rStyle w:val="Hyperlink"/>
          </w:rPr>
          <w:t xml:space="preserve">2</w:t>
        </w:r>
      </w:hyperlink>
      <w:r>
        <w:t xml:space="preserve"> </w:t>
      </w:r>
      <w:r>
        <w:t xml:space="preserve">found no prior system combining this way.</w:t>
      </w:r>
    </w:p>
    <w:bookmarkEnd w:id="37"/>
    <w:bookmarkStart w:id="40" w:name="acknowledgment"/>
    <w:p>
      <w:pPr>
        <w:pStyle w:val="Heading1"/>
      </w:pPr>
      <w:r>
        <w:t xml:space="preserve">Acknowledgment</w:t>
      </w:r>
    </w:p>
    <w:p>
      <w:pPr>
        <w:pStyle w:val="FirstParagraph"/>
      </w:pPr>
      <w:r>
        <w:t xml:space="preserve">This work received no external funding or advisor supervision. The author used Claude Code (Anthropic), an AI coding assistant, throughout the project: to help implement and test the xfill solver, to build the benchmarking infrastructure and run the experiments reported here, to generate the figures, and to draft and revise this manuscript. The author reviewed, verified, and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720–736.</w:t>
      </w:r>
    </w:p>
    <w:p>
      <w:pPr>
        <w:pStyle w:val="BodyText"/>
      </w:pPr>
      <w:r>
        <w:t xml:space="preserve">I. P. Gent, I. J. Miguel, P. W. Nightingale, C. McCreesh, P. Prosser, N.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38">
        <w:r>
          <w:rPr>
            <w:rStyle w:val="Hyperlink"/>
          </w:rPr>
          <w:t xml:space="preserve">https://crosswordgrids.com/15x15-crossword-grids</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39">
        <w:r>
          <w:rPr>
            <w:rStyle w:val="Hyperlink"/>
          </w:rPr>
          <w:t xml:space="preserve">https://github.com/ls1881/crossword-filler</w:t>
        </w:r>
      </w:hyperlink>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_rels/footnotes.xml.rels><?xml version="1.0" encoding="UTF-8"?><Relationships xmlns="http://schemas.openxmlformats.org/package/2006/relationships"><Relationship Type="http://schemas.openxmlformats.org/officeDocument/2006/relationships/hyperlink" Id="rId38" Target="https://crosswordgrids.com/15x15-crossword-grids" TargetMode="External" /><Relationship Type="http://schemas.openxmlformats.org/officeDocument/2006/relationships/hyperlink" Id="rId39" Target="https://github.com/ls1881/crossword-fi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2026-08-07T18:17:24Z</dcterms:created>
  <dcterms:modified xsi:type="dcterms:W3CDTF">2026-08-07T18:17:24Z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take one of two forms: partition the search space across workers, or run an undivided portfolio of independent restarts. When CSP workers share information at all, prior work treats that sharing as a one-time input to partitioning, gathered once and then spent. This paper describes a different mechanism: a restart portfolio whose workers never partition the problem, but continuously and concurrently update a shared pool of per-constraint conflict weights throughout the search, with no manager and no synchronization phase. We implement it in xfill, a word-level CSP solver for crossword filling, and test it two ways. First, we establish that restart-portfolio search as a class occupies a genuinely different point in the design space than partition-based search, using orca-solver, an independently developed partition-based solver, as a concrete representative of the alternative. Restart portfolios exploit heavy-tailed search-runtime distributions: oversubscribing thread count past the physical core count improves xfill by roughly 65 times on one hard grid, while the partition-based solver improves only marginally and cannot solve it at all below 14 threads. On realistic-scale instances, xfill solves every one of 12 real, previously published 15x15 grids tested, and on the 11 where the partition-based solver also succeeds, xfill is faster on 9, by a geometric mean of about 107 times. Partitioning, conversely, gives genuine non-overlapping coverage, a real advantage for proving unsatisfiability. Second—this paper’s actual contribution—we isolate the shared-weight mechanism itself, holding the solver and grid fixed and toggling only the mechanism, and find a more nuanced result than the architectural comparison above: consistent improvement on a broad corpus of moderate-difficulty grids, but higher variance rather than a reliable win on especially hard instances. A negative or mixed result for one’s own mechanism is still evidence, so we present it alongside the positive one rather than in place of it. We also report a negative result from the same codebase: five independently plausible letter-level branching heuristics produced numerically identical output on our hardest benchmark grid, because a domain-size precondition meant none of them ever executed, caught only by direct execution-path instrumentation and not by comparing benchmark scores.</vt:lpwstr>
  </property>
</Properties>
</file>