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df" ContentType="application/pdf"/>
  <Override PartName="/word/media/rId29.pdf" ContentType="application/pdf"/>
  <Override PartName="/word/media/rId14.pdf" ContentType="application/pdf"/>
  <Override PartName="/word/media/rId1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t xml:space="preserve">Parallel constraint satisfaction problem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per-constraint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12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 restart-portfolio search as an architectural class versus this specific mechanism within it – 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 – removing values the new assignment now rules out elsewhere – 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 never concurrent. Ehlers and Stuckey</w:t>
      </w:r>
      <w:r>
        <w:t xml:space="preserve"> </w:t>
      </w:r>
      <w:r>
        <w:t xml:space="preserve"> </w:t>
      </w:r>
      <w:r>
        <w:t xml:space="preserve">parallelize a lazy-clause-generation solver by sharing learnt nogoods (assignments proven infeasible) and objective bounds between workers – concurrent, but sharing</w:t>
      </w:r>
      <w:r>
        <w:t xml:space="preserve"> </w:t>
      </w:r>
      <w:r>
        <w:rPr>
          <w:i/>
          <w:iCs/>
        </w:rPr>
        <w:t xml:space="preserve">hard</w:t>
      </w:r>
      <w:r>
        <w:t xml:space="preserve">, logically derived 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extensive concurrent, non-partitioning multi-agent search – sharing hard facts (learned clauses, as in ManySAT) or concrete candidate-value hints – 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(mathematically valid)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depends on the exact sequence of prior updates and is safe under concurrent writers only if there is just one writer, while true concurrent writers need an update rule that does not depend on order at all. The dedicated exhaustive worker is excluded because its entire value is one undisturbed trajectory; wiring it in measurably hurt performance on the one grid in our corpus it had uniquely been able to solve.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(a tool that detects unsafe concurrent memory access), run against real multi-threaded solves, reports no such unsafe access. In earlier development-time testing across a broad corpus of moderate-difficulty grids (documented in</w:t>
      </w:r>
      <w:r>
        <w:t xml:space="preserve"> </w:t>
      </w:r>
      <w:r>
        <w:rPr>
          <w:rStyle w:val="VerbatimChar"/>
        </w:rPr>
        <w:t xml:space="preserve">docs/design.md</w:t>
      </w:r>
      <w:r>
        <w:t xml:space="preserve">), this mechanism cut solve time broadly – a finding we revisit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we implemented five letter-level branching variants – three minimum-remaining-value scoring rules, a faithful reimplementation of a partition-based solver’s own candidate scoring, and a reversed scan order – reasoning that a smaller per-node branching factor should help on wide-open grids.</w:t>
      </w:r>
    </w:p>
    <w:p>
      <w:pPr>
        <w:pStyle w:val="BodyText"/>
      </w:pPr>
      <w:r>
        <w:t xml:space="preserve">All five produced numerically identical node and backtrack counts – 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5.3</w:t>
        </w:r>
      </w:hyperlink>
      <w:r>
        <w:t xml:space="preserve">. The reusable point: an A/B comparison of branching heuristics is only informative once the branch under test is confirmed, by direct instrumentation, to execute.</w:t>
      </w:r>
    </w:p>
    <w:bookmarkEnd w:id="12"/>
    <w:bookmarkStart w:id="35"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 enabled by Section </w:t>
      </w:r>
      <w:hyperlink w:anchor="sec:negative">
        <w:r>
          <w:rPr>
            <w:rStyle w:val="Hyperlink"/>
          </w:rPr>
          <w:t xml:space="preserve">4</w:t>
        </w:r>
      </w:hyperlink>
      <w:r>
        <w:t xml:space="preserve">’s fix – test two distinct claims, kept in separate subsections rather than blended together.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whether restart-portfolio search, as an architectural class, occupies a genuinely different point in the design space than partition-based search – using orca-solver as a concrete, independently developed representative of that alternative, and an unmodified naive backtracker to show the comparison is not trivial. That architectural comparison is context for why the mechanism is worth building, not a prerequisite to testing it.</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the repository’s own freely available word list,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 all committed to the repository.</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 – 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55877"/>
            <wp:effectExtent b="0" l="0" r="0" t="0"/>
            <wp:docPr descr="" title="" id="15" name="Picture"/>
            <a:graphic>
              <a:graphicData uri="http://schemas.openxmlformats.org/drawingml/2006/picture">
                <pic:pic>
                  <pic:nvPicPr>
                    <pic:cNvPr descr="../benchmarks/urtc2026_testbench/results/figures/fig4_ablation.pdf" id="16" name="Picture"/>
                    <pic:cNvPicPr>
                      <a:picLocks noChangeArrowheads="1" noChangeAspect="1"/>
                    </pic:cNvPicPr>
                  </pic:nvPicPr>
                  <pic:blipFill>
                    <a:blip r:embed="rId14"/>
                    <a:stretch>
                      <a:fillRect/>
                    </a:stretch>
                  </pic:blipFill>
                  <pic:spPr bwMode="auto">
                    <a:xfrm>
                      <a:off x="0" y="0"/>
                      <a:ext cx="5067300" cy="955877"/>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 – all 5 trials hit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 – a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 –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5334000" cy="2327144"/>
            <wp:effectExtent b="0" l="0" r="0" t="0"/>
            <wp:docPr descr="" title="" id="20" name="Picture"/>
            <a:graphic>
              <a:graphicData uri="http://schemas.openxmlformats.org/drawingml/2006/picture">
                <pic:pic>
                  <pic:nvPicPr>
                    <pic:cNvPr descr="../benchmarks/urtc2026_testbench/results/figures/fig5_thread_scaling.pdf" id="21" name="Picture"/>
                    <pic:cNvPicPr>
                      <a:picLocks noChangeArrowheads="1" noChangeAspect="1"/>
                    </pic:cNvPicPr>
                  </pic:nvPicPr>
                  <pic:blipFill>
                    <a:blip r:embed="rId19"/>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2</w:t>
        </w:r>
      </w:hyperlink>
      <w:r>
        <w:t xml:space="preserve">’s result splits three ways, showing this is a property of the architecture rather than a lucky pick of grid: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1907"/>
            <wp:effectExtent b="0" l="0" r="0" t="0"/>
            <wp:docPr descr="" title="" id="25" name="Picture"/>
            <a:graphic>
              <a:graphicData uri="http://schemas.openxmlformats.org/drawingml/2006/picture">
                <pic:pic>
                  <pic:nvPicPr>
                    <pic:cNvPr descr="../benchmarks/urtc2026_testbench/results/figures/fig1_success_by_size.pdf" id="26" name="Picture"/>
                    <pic:cNvPicPr>
                      <a:picLocks noChangeArrowheads="1" noChangeAspect="1"/>
                    </pic:cNvPicPr>
                  </pic:nvPicPr>
                  <pic:blipFill>
                    <a:blip r:embed="rId24"/>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3" w:name="sec:naive"/>
    <w:p>
      <w:pPr>
        <w:pStyle w:val="Heading2"/>
      </w:pPr>
      <w:r>
        <w:t xml:space="preserve">Naive Backtracking Is Not a Baseline Worth Beating</w:t>
      </w:r>
    </w:p>
    <w:p>
      <w:pPr>
        <w:pStyle w:val="FirstParagraph"/>
      </w:pPr>
      <w:r>
        <w:t xml:space="preserve">Across all 20 grids, xfill resolved 19 (18 solved, 1 UNSAT; 1 timeout), orca-solver 18 (17 solved, 1 UNSAT; 2 timeouts), ingrid_core 17 (16 solved, 1 UNSAT; 3 timeouts), and crossword-composer 9 (8 solved, 1 UNSAT; 11 timeouts) – a real, unmodified, independently authored solver, not a strawman built to lose. 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 the cap these figures use – 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 – they are the premise on which the rest of this section, and the mechanism this paper contributes, depend.</w:t>
      </w:r>
    </w:p>
    <w:bookmarkStart w:id="32" w:name="fig:speedup"/>
    <w:p>
      <w:pPr>
        <w:pStyle w:val="CaptionedFigure"/>
      </w:pPr>
      <w:r>
        <w:drawing>
          <wp:inline>
            <wp:extent cx="4907280" cy="1823710"/>
            <wp:effectExtent b="0" l="0" r="0" t="0"/>
            <wp:docPr descr="" title="" id="30" name="Picture"/>
            <a:graphic>
              <a:graphicData uri="http://schemas.openxmlformats.org/drawingml/2006/picture">
                <pic:pic>
                  <pic:nvPicPr>
                    <pic:cNvPr descr="../benchmarks/urtc2026_testbench/results/figures/fig1b_speedup.pdf" id="31" name="Picture"/>
                    <pic:cNvPicPr>
                      <a:picLocks noChangeArrowheads="1" noChangeAspect="1"/>
                    </pic:cNvPicPr>
                  </pic:nvPicPr>
                  <pic:blipFill>
                    <a:blip r:embed="rId29"/>
                    <a:stretch>
                      <a:fillRect/>
                    </a:stretch>
                  </pic:blipFill>
                  <pic:spPr bwMode="auto">
                    <a:xfrm>
                      <a:off x="0" y="0"/>
                      <a:ext cx="4907280" cy="1823710"/>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2"/>
    <w:bookmarkEnd w:id="33"/>
    <w:bookmarkStart w:id="34"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w:t>
      </w:r>
      <w:r>
        <w:t xml:space="preserve">– 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 </w:t>
      </w:r>
      <w:r>
        <w:t xml:space="preserve">–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 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 –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4"/>
    <w:bookmarkEnd w:id="35"/>
    <w:bookmarkStart w:id="36"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which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genuine non-overlapping coverage, valuable specifically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bookmarkEnd w:id="36"/>
    <w:bookmarkStart w:id="37"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the thread-scaling numbers should not be read as hardware- or dictionary-independent claims.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 – five heuristics rendered indistinguishable by a precondition that kept them from ever executing – as a reusable caution for comparing branching heuristics by benchmark score alone. Nothing about the mechanism itself is specific to crossword filling: it needs only a dom/wdeg-style weight table and a restart loop, both already common in CSP and lazy-clause-generation solvers – exactly the ingredients Section </w:t>
      </w:r>
      <w:hyperlink w:anchor="sec:relwork">
        <w:r>
          <w:rPr>
            <w:rStyle w:val="Hyperlink"/>
          </w:rPr>
          <w:t xml:space="preserve">2</w:t>
        </w:r>
      </w:hyperlink>
      <w:r>
        <w:t xml:space="preserve"> </w:t>
      </w:r>
      <w:r>
        <w:t xml:space="preserve">found no prior system combining this way.</w:t>
      </w:r>
    </w:p>
    <w:bookmarkEnd w:id="37"/>
    <w:bookmarkStart w:id="40" w:name="acknowledgment"/>
    <w:p>
      <w:pPr>
        <w:pStyle w:val="Heading1"/>
      </w:pPr>
      <w:r>
        <w:t xml:space="preserve">Acknowledgment</w:t>
      </w:r>
    </w:p>
    <w:p>
      <w:pPr>
        <w:pStyle w:val="FirstParagraph"/>
      </w:pPr>
      <w:r>
        <w:t xml:space="preserve">This work received no external funding or advisor supervision. The author used Claude Code (Anthropic), an AI coding assistant, throughout the project: to help implement and test the xfill solver, to build the benchmarking infrastructure and run the experiments reported here, to generate the figures, and to draft and revise this manuscript. The author reviewed, verified, and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38">
        <w:r>
          <w:rPr>
            <w:rStyle w:val="Hyperlink"/>
          </w:rPr>
          <w:t xml:space="preserve">https://crosswordgrids.com/15x15-crossword-grids</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39">
        <w:r>
          <w:rPr>
            <w:rStyle w:val="Hyperlink"/>
          </w:rPr>
          <w:t xml:space="preserve">https://github.com/ls1881/crossword-filler</w:t>
        </w:r>
      </w:hyperlink>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df" /><Relationship Type="http://schemas.openxmlformats.org/officeDocument/2006/relationships/image" Id="rId29" Target="media/rId29.pdf" /><Relationship Type="http://schemas.openxmlformats.org/officeDocument/2006/relationships/image" Id="rId14" Target="media/rId14.pdf" /><Relationship Type="http://schemas.openxmlformats.org/officeDocument/2006/relationships/image" Id="rId19" Target="media/rId19.pdf" /><Relationship Type="http://schemas.openxmlformats.org/officeDocument/2006/relationships/hyperlink" Id="rId38" Target="https://crosswordgrids.com/15x15-crossword-grids" TargetMode="External" /><Relationship Type="http://schemas.openxmlformats.org/officeDocument/2006/relationships/hyperlink" Id="rId39" Target="https://github.com/ls1881/crossword-filler" TargetMode="External" /></Relationships>
</file>

<file path=word/_rels/footnotes.xml.rels><?xml version="1.0" encoding="UTF-8"?><Relationships xmlns="http://schemas.openxmlformats.org/package/2006/relationships"><Relationship Type="http://schemas.openxmlformats.org/officeDocument/2006/relationships/hyperlink" Id="rId38" Target="https://crosswordgrids.com/15x15-crossword-grids" TargetMode="External" /><Relationship Type="http://schemas.openxmlformats.org/officeDocument/2006/relationships/hyperlink" Id="rId39" Target="https://github.com/ls1881/crossword-fi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2026-08-07T17:17:55Z</dcterms:created>
  <dcterms:modified xsi:type="dcterms:W3CDTF">2026-08-07T17:17:55Z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satisfaction problem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per-constraint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12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