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so we checked rather than reported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we compared them, which is exactly why comparing their benchmark scores could not have distinguished them. The actual bottleneck, found only after ruling out the large-domain branch, was the small-domain branch’s fixed word ordering; extending the solver’s existing restart-randomization flag to that branch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actually execute.</w:t>
      </w:r>
    </w:p>
    <w:bookmarkEnd w:id="12"/>
    <w:bookmarkStart w:id="41" w:name="sec:experiments"/>
    <w:p>
      <w:pPr>
        <w:pStyle w:val="Heading1"/>
      </w:pPr>
      <w:r>
        <w:t xml:space="preserve">Experiments</w:t>
      </w:r>
    </w:p>
    <w:bookmarkStart w:id="14"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published single-threaded partition-based baseline: 201.7s).</w:t>
      </w:r>
    </w:p>
    <w:tbl>
      <w:tblPr>
        <w:tblStyle w:val="Table"/>
        <w:tblW w:type="auto" w:w="0"/>
        <w:tblLook w:firstRow="1" w:lastRow="0" w:firstColumn="0" w:lastColumn="0" w:noHBand="0" w:noVBand="0" w:val="0020"/>
        <w:tblCaption w:val="Thread count vs. wall time on a known-hard 7\times7 grid (single sample; published single-threaded partition-based baseline: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Table </w:t>
      </w:r>
      <w:hyperlink w:anchor="tab:threads">
        <w:r>
          <w:rPr>
            <w:rStyle w:val="Hyperlink"/>
          </w:rPr>
          <w:t xml:space="preserve">1</w:t>
        </w:r>
      </w:hyperlink>
      <w:r>
        <w:t xml:space="preserve"> </w:t>
      </w:r>
      <w:r>
        <w:t xml:space="preserve">tests this directly on a known-hard</w:t>
      </w:r>
      <w:r>
        <w:t xml:space="preserve"> </w:t>
      </w:r>
      <m:oMath>
        <m:r>
          <m:t>7</m:t>
        </m:r>
        <m:r>
          <m:rPr>
            <m:sty m:val="p"/>
          </m:rPr>
          <m:t>×</m:t>
        </m:r>
        <m:r>
          <m:t>7</m:t>
        </m:r>
      </m:oMath>
      <w:r>
        <w:t xml:space="preserve"> </w:t>
      </w:r>
      <w:r>
        <w:t xml:space="preserve">grid (two pre-filled letters, no blocked cells), oversubscribing threads well past this machine’s 14 physical cores. Wall time improves through 42 threads before contention erodes further gains at 56; every configuration beats the 201.7s single-threaded baseline an independently developed partition-based solver reports on the same grid, which serves here only as an external difficulty anchor, not a target being chased.</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Table </w:t>
      </w:r>
      <w:hyperlink w:anchor="tab:threads">
        <w:r>
          <w:rPr>
            <w:rStyle w:val="Hyperlink"/>
          </w:rPr>
          <w:t xml:space="preserve">1</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29" w:name="X2723a221c5730cdfa21d404f2352f3349293bff"/>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8" w:name="fig:speedup"/>
    <w:p>
      <w:pPr>
        <w:pStyle w:val="CaptionedFigure"/>
      </w:pPr>
      <w:r>
        <w:drawing>
          <wp:inline>
            <wp:extent cx="5334000" cy="2683915"/>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683915"/>
                    </a:xfrm>
                    <a:prstGeom prst="rect">
                      <a:avLst/>
                    </a:prstGeom>
                    <a:noFill/>
                    <a:ln w="9525">
                      <a:noFill/>
                      <a:headEnd/>
                      <a:tailEnd/>
                    </a:ln>
                  </pic:spPr>
                </pic:pic>
              </a:graphicData>
            </a:graphic>
          </wp:inline>
        </w:drawing>
      </w:r>
    </w:p>
    <w:p>
      <w:pPr>
        <w:pStyle w:val="ImageCaption"/>
      </w:pPr>
      <w:r>
        <w:t xml:space="preserve">Per-grid speedup (orca-solver time / xfill time, log scale) on the scraped</w:t>
      </w:r>
      <w:r>
        <w:t xml:space="preserve"> </w:t>
      </w:r>
      <m:oMath>
        <m:r>
          <m:t>15</m:t>
        </m:r>
        <m:r>
          <m:rPr>
            <m:sty m:val="p"/>
          </m:rPr>
          <m:t>×</m:t>
        </m:r>
        <m:r>
          <m:t>15</m:t>
        </m:r>
      </m:oMath>
      <w:r>
        <w:t xml:space="preserve"> </w:t>
      </w:r>
      <w:r>
        <w:t xml:space="preserve">grids both solvers solved. Bars above the line mean xfill is faster; only one of 10 falls below it.</w:t>
      </w:r>
    </w:p>
    <w:bookmarkEnd w:id="28"/>
    <w:bookmarkEnd w:id="29"/>
    <w:bookmarkStart w:id="34"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10 scraped grids (of 12) both xfill and orca-solver solve, xfill is faster on 9, with a median speedup of</w:t>
      </w:r>
      <w:r>
        <w:t xml:space="preserve"> </w:t>
      </w:r>
      <m:oMath>
        <m:r>
          <m:t>428</m:t>
        </m:r>
        <m:r>
          <m:rPr>
            <m:sty m:val="p"/>
          </m:rPr>
          <m:t>×</m:t>
        </m:r>
      </m:oMath>
      <w:r>
        <w:t xml:space="preserve"> </w:t>
      </w:r>
      <w:r>
        <w:t xml:space="preserve">and a geometric mean of</w:t>
      </w:r>
      <w:r>
        <w:t xml:space="preserve"> </w:t>
      </w:r>
      <m:oMath>
        <m:r>
          <m:t>108</m:t>
        </m:r>
        <m:r>
          <m:rPr>
            <m:sty m:val="p"/>
          </m:rPr>
          <m:t>×</m:t>
        </m:r>
      </m:oMath>
      <w:r>
        <w:t xml:space="preserve">, driven by grids where xfill finishes in single-digit milliseconds against 3–13 seconds for orca-solver.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 a reminder that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Across the full 20-grid sample, both solve 16, agree on one correct UNSAT proof, and are jointly stuck on 2, with orca-solver never uniquely solving a grid xfill cannot – this sample is too easy to separate the two architectures on success alone,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Start w:id="33" w:name="fig:cumulative"/>
    <w:p>
      <w:pPr>
        <w:pStyle w:val="CaptionedFigure"/>
      </w:pPr>
      <w:r>
        <w:drawing>
          <wp:inline>
            <wp:extent cx="5003800" cy="3009900"/>
            <wp:effectExtent b="0" l="0" r="0" t="0"/>
            <wp:docPr descr="" title="" id="31" name="Picture"/>
            <a:graphic>
              <a:graphicData uri="http://schemas.openxmlformats.org/drawingml/2006/picture">
                <pic:pic>
                  <pic:nvPicPr>
                    <pic:cNvPr descr="../benchmarks/urtc2026_testbench/results/figures/fig2_15x15_cumulative.pdf" id="32" name="Picture"/>
                    <pic:cNvPicPr>
                      <a:picLocks noChangeArrowheads="1" noChangeAspect="1"/>
                    </pic:cNvPicPr>
                  </pic:nvPicPr>
                  <pic:blipFill>
                    <a:blip r:embed="rId30"/>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3"/>
    <w:bookmarkEnd w:id="34"/>
    <w:bookmarkStart w:id="39"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on this subset, so we do not claim one – the same standard of evidence Section </w:t>
      </w:r>
      <w:hyperlink w:anchor="sec:negative">
        <w:r>
          <w:rPr>
            <w:rStyle w:val="Hyperlink"/>
          </w:rPr>
          <w:t xml:space="preserve">4</w:t>
        </w:r>
      </w:hyperlink>
      <w:r>
        <w:t xml:space="preserve"> </w:t>
      </w:r>
      <w:r>
        <w:t xml:space="preserve">applies to the branching heuristics it rules out.</w:t>
      </w:r>
    </w:p>
    <w:bookmarkEnd w:id="40"/>
    <w:bookmarkEnd w:id="41"/>
    <w:bookmarkStart w:id="42" w:name="discussion"/>
    <w:p>
      <w:pPr>
        <w:pStyle w:val="Heading1"/>
      </w:pPr>
      <w:r>
        <w:t xml:space="preserve">Discussion</w:t>
      </w:r>
    </w:p>
    <w:p>
      <w:pPr>
        <w:pStyle w:val="FirstParagraph"/>
      </w:pPr>
      <w:r>
        <w:t xml:space="preserve">The architectural comparison and the mechanism ablation point to the same underlying cause. Restart portfolios benefit from heavy-tailed runtimes: more independent draws raise the chance of an early lucky one, which is why oversubscribing thread count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actually required; restart-based search approximates that only through its dedicated exhaustive worker, at the cost of forgoing restarts entirely for it.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any single hard instance, and only nets out as an improvement once averaged over a broader, more typical corpus. The architectural comparison and the mechanism ablation are not in tension; they describe the same phenomenon at two different points on the difficulty spectrum, and the paper’s contribution is the latter, not the former.</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it needs only a wdeg-style weight table and a restart loop, both already common in CSP and lazy-clause-generation solvers. We also reported a negative result from the same codebase – five heuristics rendered indistinguishable by a precondition that kept them from ever executing – as a reusable caution for comparing branching heuristics by benchmark score alone.</w:t>
      </w:r>
    </w:p>
    <w:bookmarkEnd w:id="43"/>
    <w:bookmarkStart w:id="45" w:name="acknowledgment"/>
    <w:p>
      <w:pPr>
        <w:pStyle w:val="Heading1"/>
      </w:pPr>
      <w:r>
        <w:t xml:space="preserve">Acknowledgment</w:t>
      </w:r>
    </w:p>
    <w:p>
      <w:pPr>
        <w:pStyle w:val="FirstParagraph"/>
      </w:pPr>
      <w:r>
        <w:t xml:space="preserve">[Advisor/funding acknowledgments.]</w:t>
      </w:r>
    </w:p>
    <w:p>
      <w:pPr>
        <w:pStyle w:val="BodyText"/>
      </w:pPr>
      <w:r>
        <w:t xml:space="preserve">12</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[Online]. Available:</w:t>
      </w:r>
      <w:r>
        <w:t xml:space="preserve"> </w:t>
      </w:r>
      <w:hyperlink r:id="rId44">
        <w:r>
          <w:rPr>
            <w:rStyle w:val="Hyperlink"/>
          </w:rPr>
          <w:t xml:space="preserve">https://crosswordgrids.com/15x15-crossword-grids/</w:t>
        </w:r>
      </w:hyperlink>
      <w:r>
        <w:t xml:space="preserve">. Accessed: Jul. 31, 2026.</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15" Target="media/rId15.pdf" /><Relationship Type="http://schemas.openxmlformats.org/officeDocument/2006/relationships/hyperlink" Id="rId44"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44"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2026-08-05T20:55:16Z</dcterms:created>
  <dcterms:modified xsi:type="dcterms:W3CDTF">2026-08-05T20:55:16Z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a corpus of real, previously published 15x15 grids both solve, xfill is faster on 9 of 10, by a geometric mean of about 108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