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5.pdf" ContentType="application/pdf"/>
  <Override PartName="/word/media/rId30.pdf" ContentType="application/pdf"/>
  <Override PartName="/word/media/rId35.pdf" ContentType="application/pdf"/>
  <Override PartName="/word/media/rId1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up to</w:t>
      </w:r>
      <w:r>
        <w:t xml:space="preserve"> </w:t>
      </w:r>
      <m:oMath>
        <m:r>
          <m:t>65</m:t>
        </m:r>
        <m:r>
          <m:rPr>
            <m:sty m:val="p"/>
          </m:rPr>
          <m:t>×</m:t>
        </m:r>
      </m:oMath>
      <w:r>
        <w:t xml:space="preserve"> </w:t>
      </w:r>
      <w:r>
        <w:t xml:space="preserve">on one hard grid, while the partition-based solver improves only marginally and cannot solve it at all below 14 threads; on 16 real grids both solve, xfill is faster on 15, by a geometric mean of</w:t>
      </w:r>
      <w:r>
        <w:t xml:space="preserve"> </w:t>
      </w:r>
      <m:oMath>
        <m:r>
          <m:t>96</m:t>
        </m:r>
        <m:r>
          <m:rPr>
            <m:sty m:val="p"/>
          </m:rPr>
          <m:t>×</m:t>
        </m:r>
      </m:oMath>
      <w:r>
        <w:t xml:space="preserve">. Partitioning, conversely, gives genuine non-overlapping coverage, a real advantage for proving unsatisfiability. Second, and more directly on point, we isolate the shared-weight mechanism itself – same solver, same grid, only the mechanism toggled – and find a more nuanced result than the architectural comparison above: consistent improvement on a broad corpus of moderate-difficulty grids, but higher variance rather than a reliable win on especially hard instances. We report this honestly rather than selectively, since a negative or mixed result for one’s own mechanism is still evidence. We also report a negative result from the same codebase: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testbench, checked into the project repository, that separates two claims – restart-portfolio search as an architectural class versus this specific mechanism within it – rather than conflating them; and (3) a methodological negative result about confirming a heuristic under test actually executes before trusting a benchmark comparison of it.</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do not have.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before any of the resulting numbers meant anything: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at commit level in this repository’s</w:t>
      </w:r>
      <w:r>
        <w:t xml:space="preserve"> </w:t>
      </w:r>
      <w:r>
        <w:rPr>
          <w:rStyle w:val="VerbatimChar"/>
        </w:rPr>
        <w:t xml:space="preserve">docs/design.md</w:t>
      </w:r>
      <w:r>
        <w:t xml:space="preserve">), this mechanism cut solve time broadly – one grid from 12.5s to 0.7s, another from 1.2s to 0.1s, a third newly solved within its time cap – a finding we revisit against a harder, targeted ablation in Section </w:t>
      </w:r>
      <w:hyperlink w:anchor="sec:ablation">
        <w:r>
          <w:rPr>
            <w:rStyle w:val="Hyperlink"/>
          </w:rPr>
          <w:t xml:space="preserve">5.7</w:t>
        </w:r>
      </w:hyperlink>
      <w:r>
        <w:t xml:space="preserve">.</w:t>
      </w:r>
    </w:p>
    <w:bookmarkEnd w:id="11"/>
    <w:bookmarkStart w:id="12" w:name="Xd7822a03cf4fad33f75593d96c2b5eda6e21e88"/>
    <w:p>
      <w:pPr>
        <w:pStyle w:val="Heading1"/>
      </w:pPr>
      <w:r>
        <w:t xml:space="preserve">A Negative Result: Branching on the Wrong Thing</w:t>
      </w:r>
    </w:p>
    <w:p>
      <w:pPr>
        <w:pStyle w:val="FirstParagraph"/>
      </w:pPr>
      <w:r>
        <w:t xml:space="preserve">This section is a methodological aside from the same codebase, not a direct test of the mechanism above; we include it because it shaped how we validate every other result in this paper.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Five independently reasonable heuristics agreeing to the exact node is a stronger signal than</w:t>
      </w:r>
      <w:r>
        <w:t xml:space="preserve"> </w:t>
      </w:r>
      <w:r>
        <w:t xml:space="preserve">“the heuristics didn’t help,”</w:t>
      </w:r>
      <w:r>
        <w:t xml:space="preserve"> </w:t>
      </w:r>
      <w:r>
        <w:t xml:space="preserve">so we checked rather than reported a null result. A plain counter placed directly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heuristics were unreachable code the entire time we compared them, which is exactly why comparing their benchmark scores could not have distinguished them. The actual bottleneck, found only after ruling out the large-domain branch, was the small-domain branch’s fixed word ordering; extending the solver’s existing restart-randomization flag to that branch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actually execute.</w:t>
      </w:r>
    </w:p>
    <w:bookmarkEnd w:id="12"/>
    <w:bookmarkStart w:id="41" w:name="sec:experiments"/>
    <w:p>
      <w:pPr>
        <w:pStyle w:val="Heading1"/>
      </w:pPr>
      <w:r>
        <w:t xml:space="preserve">Experiments</w:t>
      </w:r>
    </w:p>
    <w:bookmarkStart w:id="14" w:name="setup"/>
    <w:p>
      <w:pPr>
        <w:pStyle w:val="Heading2"/>
      </w:pPr>
      <w:r>
        <w:t xml:space="preserve">Setup</w:t>
      </w:r>
    </w:p>
    <w:p>
      <w:pPr>
        <w:pStyle w:val="FirstParagraph"/>
      </w:pPr>
      <w:r>
        <w:t xml:space="preserve">The experiments below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two unmodified naive backtrackers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naive baselines with no restarts, no learned heuristics, and no parallelism, crossword-composer (a static-constraint-order Rust backtracker) and savin_crossword (a textbook AC-3-plus-backtracking Python implementation). All five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with a fixed random seed and a uniform 30-second cap –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from a real, previously scraped corpus, all committed to the repository.</w:t>
      </w:r>
    </w:p>
    <w:bookmarkStart w:id="13" w:name="tab:threads"/>
    <w:p>
      <w:pPr>
        <w:pStyle w:val="TableCaption"/>
      </w:pPr>
      <w:r>
        <w:t xml:space="preserve">Thread count vs. wall time on a known-hard</w:t>
      </w:r>
      <w:r>
        <w:t xml:space="preserve"> </w:t>
      </w:r>
      <m:oMath>
        <m:r>
          <m:t>7</m:t>
        </m:r>
        <m:r>
          <m:rPr>
            <m:sty m:val="p"/>
          </m:rPr>
          <m:t>×</m:t>
        </m:r>
        <m:r>
          <m:t>7</m:t>
        </m:r>
      </m:oMath>
      <w:r>
        <w:t xml:space="preserve"> </w:t>
      </w:r>
      <w:r>
        <w:t xml:space="preserve">grid (single sample; a partition-based solver’s published single-threaded baseline on this grid is 201.7s).</w:t>
      </w:r>
    </w:p>
    <w:tbl>
      <w:tblPr>
        <w:tblStyle w:val="Table"/>
        <w:tblW w:type="auto" w:w="0"/>
        <w:tblLook w:firstRow="1" w:lastRow="0" w:firstColumn="0" w:lastColumn="0" w:noHBand="0" w:noVBand="0" w:val="0020"/>
        <w:tblCaption w:val="Thread count vs. wall time on a known-hard 7\times7 grid (single sample; a partition-based solver’s published single-threaded baseline on this grid is 201.7s)."/>
      </w:tblPr>
      <w:tblGrid>
        <w:gridCol w:w="3960"/>
        <w:gridCol w:w="3960"/>
      </w:tblGrid>
      <w:tr>
        <w:trPr>
          <w:tblHeader w:val="on"/>
        </w:trPr>
        <w:tc>
          <w:tcPr/>
          <w:p>
            <w:pPr>
              <w:pStyle w:val="Compact"/>
              <w:jc w:val="left"/>
            </w:pPr>
            <w:r>
              <w:t xml:space="preserve">Threads</w:t>
            </w:r>
          </w:p>
        </w:tc>
        <w:tc>
          <w:tcPr/>
          <w:p>
            <w:pPr>
              <w:pStyle w:val="Compact"/>
              <w:jc w:val="right"/>
            </w:pPr>
            <w:r>
              <w:t xml:space="preserve">Wall time (s)</w:t>
            </w:r>
          </w:p>
        </w:tc>
      </w:tr>
      <w:tr>
        <w:tc>
          <w:tcPr/>
          <w:p>
            <w:pPr>
              <w:pStyle w:val="Compact"/>
              <w:jc w:val="left"/>
            </w:pPr>
            <w:r>
              <w:t xml:space="preserve">1</w:t>
            </w:r>
          </w:p>
        </w:tc>
        <w:tc>
          <w:tcPr/>
          <w:p>
            <w:pPr>
              <w:pStyle w:val="Compact"/>
              <w:jc w:val="right"/>
            </w:pPr>
            <w:r>
              <w:t xml:space="preserve">166.7</w:t>
            </w:r>
          </w:p>
        </w:tc>
      </w:tr>
      <w:tr>
        <w:tc>
          <w:tcPr/>
          <w:p>
            <w:pPr>
              <w:pStyle w:val="Compact"/>
              <w:jc w:val="left"/>
            </w:pPr>
            <w:r>
              <w:t xml:space="preserve">14</w:t>
            </w:r>
          </w:p>
        </w:tc>
        <w:tc>
          <w:tcPr/>
          <w:p>
            <w:pPr>
              <w:pStyle w:val="Compact"/>
              <w:jc w:val="right"/>
            </w:pPr>
            <w:r>
              <w:t xml:space="preserve">63.0</w:t>
            </w:r>
          </w:p>
        </w:tc>
      </w:tr>
      <w:tr>
        <w:tc>
          <w:tcPr/>
          <w:p>
            <w:pPr>
              <w:pStyle w:val="Compact"/>
              <w:jc w:val="left"/>
            </w:pPr>
            <w:r>
              <w:t xml:space="preserve">28</w:t>
            </w:r>
          </w:p>
        </w:tc>
        <w:tc>
          <w:tcPr/>
          <w:p>
            <w:pPr>
              <w:pStyle w:val="Compact"/>
              <w:jc w:val="right"/>
            </w:pPr>
            <w:r>
              <w:t xml:space="preserve">104.6</w:t>
            </w:r>
          </w:p>
        </w:tc>
      </w:tr>
      <w:tr>
        <w:tc>
          <w:tcPr/>
          <w:p>
            <w:pPr>
              <w:pStyle w:val="Compact"/>
              <w:jc w:val="left"/>
            </w:pPr>
            <w:r>
              <w:t xml:space="preserve">42</w:t>
            </w:r>
          </w:p>
        </w:tc>
        <w:tc>
          <w:tcPr/>
          <w:p>
            <w:pPr>
              <w:pStyle w:val="Compact"/>
              <w:jc w:val="right"/>
            </w:pPr>
            <w:r>
              <w:t xml:space="preserve">85.6</w:t>
            </w:r>
          </w:p>
        </w:tc>
      </w:tr>
      <w:tr>
        <w:tc>
          <w:tcPr/>
          <w:p>
            <w:pPr>
              <w:pStyle w:val="Compact"/>
              <w:jc w:val="left"/>
            </w:pPr>
            <w:r>
              <w:t xml:space="preserve">56</w:t>
            </w:r>
          </w:p>
        </w:tc>
        <w:tc>
          <w:tcPr/>
          <w:p>
            <w:pPr>
              <w:pStyle w:val="Compact"/>
              <w:jc w:val="right"/>
            </w:pPr>
            <w:r>
              <w:t xml:space="preserve">112.4</w:t>
            </w:r>
          </w:p>
        </w:tc>
      </w:tr>
    </w:tbl>
    <w:bookmarkEnd w:id="13"/>
    <w:bookmarkEnd w:id="14"/>
    <w:bookmarkStart w:id="19"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Table </w:t>
      </w:r>
      <w:hyperlink w:anchor="tab:threads">
        <w:r>
          <w:rPr>
            <w:rStyle w:val="Hyperlink"/>
          </w:rPr>
          <w:t xml:space="preserve">1</w:t>
        </w:r>
      </w:hyperlink>
      <w:r>
        <w:t xml:space="preserve"> </w:t>
      </w:r>
      <w:r>
        <w:t xml:space="preserve">tests this directly on a known-hard</w:t>
      </w:r>
      <w:r>
        <w:t xml:space="preserve"> </w:t>
      </w:r>
      <m:oMath>
        <m:r>
          <m:t>7</m:t>
        </m:r>
        <m:r>
          <m:rPr>
            <m:sty m:val="p"/>
          </m:rPr>
          <m:t>×</m:t>
        </m:r>
        <m:r>
          <m:t>7</m:t>
        </m:r>
      </m:oMath>
      <w:r>
        <w:t xml:space="preserve"> </w:t>
      </w:r>
      <w:r>
        <w:t xml:space="preserve">grid (two pre-filled letters, no blocked cells), oversubscribing threads well past this machine’s 14 physical cores. Wall time improves through 42 threads before contention erodes further gains at 56; every configuration beats the 201.7s single-threaded baseline an independently developed partition-based solver reports on the same grid, which serves here only as an external difficulty anchor, not a target being chased.</w:t>
      </w:r>
    </w:p>
    <w:bookmarkStart w:id="18" w:name="fig:scaling"/>
    <w:p>
      <w:pPr>
        <w:pStyle w:val="CaptionedFigure"/>
      </w:pPr>
      <w:r>
        <w:drawing>
          <wp:inline>
            <wp:extent cx="5334000" cy="2327144"/>
            <wp:effectExtent b="0" l="0" r="0" t="0"/>
            <wp:docPr descr="" title="" id="16" name="Picture"/>
            <a:graphic>
              <a:graphicData uri="http://schemas.openxmlformats.org/drawingml/2006/picture">
                <pic:pic>
                  <pic:nvPicPr>
                    <pic:cNvPr descr="../benchmarks/urtc2026_testbench/results/figures/fig5_thread_scaling.pdf" id="17" name="Picture"/>
                    <pic:cNvPicPr>
                      <a:picLocks noChangeArrowheads="1" noChangeAspect="1"/>
                    </pic:cNvPicPr>
                  </pic:nvPicPr>
                  <pic:blipFill>
                    <a:blip r:embed="rId15"/>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8"/>
    <w:bookmarkEnd w:id="19"/>
    <w:bookmarkStart w:id="24"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Table </w:t>
      </w:r>
      <w:hyperlink w:anchor="tab:threads">
        <w:r>
          <w:rPr>
            <w:rStyle w:val="Hyperlink"/>
          </w:rPr>
          <w:t xml:space="preserve">1</w:t>
        </w:r>
      </w:hyperlink>
      <w:r>
        <w:t xml:space="preserve">’s result is a general property of restart portfolios or an artifact of one grid. It is not one story: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not every grid favors either architecture, and we report that rather than omit it. Where the pattern does hold, it holds because absorbing extra parallelism without restructuring the search is what a non-partitioning restart portfolio is built to do; a partition-based design here does not exhibit that capacity to nearly the same degree.</w:t>
      </w:r>
    </w:p>
    <w:bookmarkStart w:id="23" w:name="fig:size"/>
    <w:p>
      <w:pPr>
        <w:pStyle w:val="CaptionedFigure"/>
      </w:pPr>
      <w:r>
        <w:drawing>
          <wp:inline>
            <wp:extent cx="5334000" cy="2631907"/>
            <wp:effectExtent b="0" l="0" r="0" t="0"/>
            <wp:docPr descr="" title="" id="21" name="Picture"/>
            <a:graphic>
              <a:graphicData uri="http://schemas.openxmlformats.org/drawingml/2006/picture">
                <pic:pic>
                  <pic:nvPicPr>
                    <pic:cNvPr descr="../benchmarks/urtc2026_testbench/results/figures/fig1_success_by_size.pdf" id="22" name="Picture"/>
                    <pic:cNvPicPr>
                      <a:picLocks noChangeArrowheads="1" noChangeAspect="1"/>
                    </pic:cNvPicPr>
                  </pic:nvPicPr>
                  <pic:blipFill>
                    <a:blip r:embed="rId20"/>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30s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where every solver times out together.</w:t>
      </w:r>
    </w:p>
    <w:bookmarkEnd w:id="23"/>
    <w:bookmarkEnd w:id="24"/>
    <w:bookmarkStart w:id="29" w:name="X2723a221c5730cdfa21d404f2352f3349293bff"/>
    <w:p>
      <w:pPr>
        <w:pStyle w:val="Heading2"/>
      </w:pPr>
      <w:r>
        <w:t xml:space="preserve">Naive Backtracking Is Not a Baseline Worth Beating</w:t>
      </w:r>
    </w:p>
    <w:p>
      <w:pPr>
        <w:pStyle w:val="FirstParagraph"/>
      </w:pP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grid, including the trivial</w:t>
      </w:r>
      <w:r>
        <w:t xml:space="preserve"> </w:t>
      </w:r>
      <m:oMath>
        <m:r>
          <m:t>5</m:t>
        </m:r>
        <m:r>
          <m:rPr>
            <m:sty m:val="p"/>
          </m:rPr>
          <m:t>×</m:t>
        </m:r>
        <m:r>
          <m:t>5</m:t>
        </m:r>
      </m:oMath>
      <w:r>
        <w:t xml:space="preserve">, and so never appears in Fig. </w:t>
      </w:r>
      <w:hyperlink w:anchor="fig:size">
        <w:r>
          <w:rPr>
            <w:rStyle w:val="Hyperlink"/>
          </w:rPr>
          <w:t xml:space="preserve">2</w:t>
        </w:r>
      </w:hyperlink>
      <w:r>
        <w:t xml:space="preserve">. That absence is itself informative: crossword-composer, which does appear intermittently, fails on individual instances despite having no dependence on dictionary size, while savin_crossword’s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Both are real, unmodified, independently authored solvers. The point for this paper’s thesis is narrower than</w:t>
      </w:r>
      <w:r>
        <w:t xml:space="preserve"> </w:t>
      </w:r>
      <w:r>
        <w:t xml:space="preserve">“xfill wins”</w:t>
      </w:r>
      <w:r>
        <w:t xml:space="preserve">: it is that restarts, adaptive heuristics, and parallelism are not optional refinements at the grid and dictionary sizes crossword filling actually requires, which is the premise the rest of this section, and the mechanism this paper contributes to it, depends on.</w:t>
      </w:r>
    </w:p>
    <w:bookmarkStart w:id="28" w:name="fig:speedup"/>
    <w:p>
      <w:pPr>
        <w:pStyle w:val="CaptionedFigure"/>
      </w:pPr>
      <w:r>
        <w:drawing>
          <wp:inline>
            <wp:extent cx="5334000" cy="2569821"/>
            <wp:effectExtent b="0" l="0" r="0" t="0"/>
            <wp:docPr descr="" title="" id="26" name="Picture"/>
            <a:graphic>
              <a:graphicData uri="http://schemas.openxmlformats.org/drawingml/2006/picture">
                <pic:pic>
                  <pic:nvPicPr>
                    <pic:cNvPr descr="../benchmarks/urtc2026_testbench/results/figures/fig1b_speedup.pdf" id="27" name="Picture"/>
                    <pic:cNvPicPr>
                      <a:picLocks noChangeArrowheads="1" noChangeAspect="1"/>
                    </pic:cNvPicPr>
                  </pic:nvPicPr>
                  <pic:blipFill>
                    <a:blip r:embed="rId25"/>
                    <a:stretch>
                      <a:fillRect/>
                    </a:stretch>
                  </pic:blipFill>
                  <pic:spPr bwMode="auto">
                    <a:xfrm>
                      <a:off x="0" y="0"/>
                      <a:ext cx="5334000" cy="2569821"/>
                    </a:xfrm>
                    <a:prstGeom prst="rect">
                      <a:avLst/>
                    </a:prstGeom>
                    <a:noFill/>
                    <a:ln w="9525">
                      <a:noFill/>
                      <a:headEnd/>
                      <a:tailEnd/>
                    </a:ln>
                  </pic:spPr>
                </pic:pic>
              </a:graphicData>
            </a:graphic>
          </wp:inline>
        </w:drawing>
      </w:r>
    </w:p>
    <w:p>
      <w:pPr>
        <w:pStyle w:val="ImageCaption"/>
      </w:pPr>
      <w:r>
        <w:t xml:space="preserve">Per-grid speedup (orca-solver time / xfill time, log scale) on every grid in the full 20-grid sample both solvers solved. Bars above the line mean xfill is faster; only one of 16 falls below it.</w:t>
      </w:r>
    </w:p>
    <w:bookmarkEnd w:id="28"/>
    <w:bookmarkEnd w:id="29"/>
    <w:bookmarkStart w:id="34" w:name="Xda8d21682e316362d5b07bb3551f76cef4a7a1b"/>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across the full sample rather than the curated subset alone: of the 16 grids (of 20) both xfill and orca-solver solve, xfill is faster on 15, with a median speedup of</w:t>
      </w:r>
      <w:r>
        <w:t xml:space="preserve"> </w:t>
      </w:r>
      <m:oMath>
        <m:r>
          <m:t>171</m:t>
        </m:r>
        <m:r>
          <m:rPr>
            <m:sty m:val="p"/>
          </m:rPr>
          <m:t>×</m:t>
        </m:r>
      </m:oMath>
      <w:r>
        <w:t xml:space="preserve"> </w:t>
      </w:r>
      <w:r>
        <w:t xml:space="preserve">and a geometric mean of</w:t>
      </w:r>
      <w:r>
        <w:t xml:space="preserve"> </w:t>
      </w:r>
      <m:oMath>
        <m:r>
          <m:t>96</m:t>
        </m:r>
        <m:r>
          <m:rPr>
            <m:sty m:val="p"/>
          </m:rPr>
          <m:t>×</m:t>
        </m:r>
      </m:oMath>
      <w:r>
        <w:t xml:space="preserve">, driven by several</w:t>
      </w:r>
      <w:r>
        <w:t xml:space="preserve"> </w:t>
      </w:r>
      <m:oMath>
        <m:r>
          <m:t>15</m:t>
        </m:r>
        <m:r>
          <m:rPr>
            <m:sty m:val="p"/>
          </m:rPr>
          <m:t>×</m:t>
        </m:r>
        <m:r>
          <m:t>15</m:t>
        </m:r>
      </m:oMath>
      <w:r>
        <w:t xml:space="preserve"> </w:t>
      </w:r>
      <w:r>
        <w:t xml:space="preserve">grids where xfill finishes in single-digit milliseconds against 3–13 seconds. The one exception,</w:t>
      </w:r>
      <w:r>
        <w:t xml:space="preserve"> </w:t>
      </w:r>
      <w:r>
        <w:rPr>
          <w:rStyle w:val="VerbatimChar"/>
        </w:rPr>
        <w:t xml:space="preserve">grid_479</w:t>
      </w:r>
      <w:r>
        <w:t xml:space="preserve">, runs the other way (orca-solver</w:t>
      </w:r>
      <w:r>
        <w:t xml:space="preserve"> </w:t>
      </w:r>
      <m:oMath>
        <m:r>
          <m:rPr>
            <m:sty m:val="p"/>
          </m:rPr>
          <m:t>∼</m:t>
        </m:r>
        <m:r>
          <m:t>​</m:t>
        </m:r>
        <m:r>
          <m:t>3</m:t>
        </m:r>
        <m:r>
          <m:rPr>
            <m:sty m:val="p"/>
          </m:rPr>
          <m:t>×</m:t>
        </m:r>
      </m:oMath>
      <w:r>
        <w:t xml:space="preserve"> </w:t>
      </w:r>
      <w:r>
        <w:t xml:space="preserve">faster). We report it rather than omit it: a lopsided aggregate is still not a universal one,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This sample also happens to be too easy to separate the two architectures on success alone – both solve 16 of 20, agree on one correct UNSAT proof, and are jointly stuck on 2, with orca-solver never uniquely solving a grid xfill cannot – which is exactly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 rather than relying on this sample alone.</w:t>
      </w:r>
    </w:p>
    <w:bookmarkStart w:id="33" w:name="fig:cumulative"/>
    <w:p>
      <w:pPr>
        <w:pStyle w:val="CaptionedFigure"/>
      </w:pPr>
      <w:r>
        <w:drawing>
          <wp:inline>
            <wp:extent cx="5003800" cy="3009900"/>
            <wp:effectExtent b="0" l="0" r="0" t="0"/>
            <wp:docPr descr="" title="" id="31" name="Picture"/>
            <a:graphic>
              <a:graphicData uri="http://schemas.openxmlformats.org/drawingml/2006/picture">
                <pic:pic>
                  <pic:nvPicPr>
                    <pic:cNvPr descr="../benchmarks/urtc2026_testbench/results/figures/fig2_15x15_cumulative.pdf" id="32" name="Picture"/>
                    <pic:cNvPicPr>
                      <a:picLocks noChangeArrowheads="1" noChangeAspect="1"/>
                    </pic:cNvPicPr>
                  </pic:nvPicPr>
                  <pic:blipFill>
                    <a:blip r:embed="rId30"/>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 The point is the horizontal gap between curves, not the final height: xfill’s curve is shifted roughly two orders of magnitude left of ingrid_core’s and orca-solver’s, meaning it reaches the same solved fraction far sooner across the entire distribution, not only in a best-case tail.</w:t>
      </w:r>
    </w:p>
    <w:bookmarkEnd w:id="33"/>
    <w:bookmarkEnd w:id="34"/>
    <w:bookmarkStart w:id="39"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directly, we constructed by hand a grid designed to be maximally constrained – five mutually crossing 15-letter entries, verified cell-by-cell against both solvers’ own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in this paper where the partition-based architecture, not the restart portfolio, has the structural advantage, consistent with Section </w:t>
      </w:r>
      <w:hyperlink w:anchor="sec:relwork">
        <w:r>
          <w:rPr>
            <w:rStyle w:val="Hyperlink"/>
          </w:rPr>
          <w:t xml:space="preserve">2</w:t>
        </w:r>
      </w:hyperlink>
      <w:r>
        <w:t xml:space="preserve">’s framing of what partitioning is actually for.</w:t>
      </w:r>
    </w:p>
    <w:bookmarkStart w:id="38" w:name="fig:ablation"/>
    <w:p>
      <w:pPr>
        <w:pStyle w:val="CaptionedFigure"/>
      </w:pPr>
      <w:r>
        <w:drawing>
          <wp:inline>
            <wp:extent cx="5334000" cy="2286000"/>
            <wp:effectExtent b="0" l="0" r="0" t="0"/>
            <wp:docPr descr="" title="" id="36" name="Picture"/>
            <a:graphic>
              <a:graphicData uri="http://schemas.openxmlformats.org/drawingml/2006/picture">
                <pic:pic>
                  <pic:nvPicPr>
                    <pic:cNvPr descr="../benchmarks/urtc2026_testbench/results/figures/fig4_ablation.pdf" id="37" name="Picture"/>
                    <pic:cNvPicPr>
                      <a:picLocks noChangeArrowheads="1" noChangeAspect="1"/>
                    </pic:cNvPicPr>
                  </pic:nvPicPr>
                  <pic:blipFill>
                    <a:blip r:embed="rId35"/>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8"/>
    <w:bookmarkEnd w:id="39"/>
    <w:bookmarkStart w:id="40" w:name="sec:ablation"/>
    <w:p>
      <w:pPr>
        <w:pStyle w:val="Heading2"/>
      </w:pPr>
      <w:r>
        <w:t xml:space="preserve">Isolating the Mechanism: A Shared-Weight Ablation</w:t>
      </w:r>
    </w:p>
    <w:p>
      <w:pPr>
        <w:pStyle w:val="FirstParagraph"/>
      </w:pPr>
      <w:r>
        <w:t xml:space="preserve">Everything above tests xfill’s architecture against a different codebase’s. This section instead tests xfill against itself, with one environment variable flipped, isolating this paper’s actual contribution from every other difference: same solver, same grid, same dictionary, same 14 threads,</w:t>
      </w:r>
      <w:r>
        <w:t xml:space="preserve"> </w:t>
      </w:r>
      <w:r>
        <w:rPr>
          <w:rStyle w:val="VerbatimChar"/>
        </w:rPr>
        <w:t xml:space="preserve">XFILL_DISABLE_SHARED_WEIGHTS</w:t>
      </w:r>
      <w:r>
        <w:t xml:space="preserve"> </w:t>
      </w:r>
      <w:r>
        <w:t xml:space="preserve">on and off, 6 trials each, on three grids from the known-hard list fast enough to repeat within a reasonable budget.</w:t>
      </w:r>
    </w:p>
    <w:p>
      <w:pPr>
        <w:pStyle w:val="BodyText"/>
      </w:pPr>
      <w:r>
        <w:t xml:space="preserve">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and we report that plainly rather than around it. On</w:t>
      </w:r>
      <w:r>
        <w:t xml:space="preserve"> </w:t>
      </w:r>
      <w:r>
        <w:rPr>
          <w:rStyle w:val="VerbatimChar"/>
        </w:rPr>
        <w:t xml:space="preserve">grid_053</w:t>
      </w:r>
      <w:r>
        <w:t xml:space="preserve">, the unshared baseline is both faster on the median (0.72s vs. 2.77s) and far tighter (range 0.66–0.76s vs. 0.07–3.71s). On</w:t>
      </w:r>
      <w:r>
        <w:t xml:space="preserve"> </w:t>
      </w:r>
      <w:r>
        <w:rPr>
          <w:rStyle w:val="VerbatimChar"/>
        </w:rPr>
        <w:t xml:space="preserve">grid_058</w:t>
      </w:r>
      <w:r>
        <w:t xml:space="preserve">, the medians are close but shared weights again show wider spread. On</w:t>
      </w:r>
      <w:r>
        <w:t xml:space="preserve"> </w:t>
      </w:r>
      <w:r>
        <w:rPr>
          <w:rStyle w:val="VerbatimChar"/>
        </w:rPr>
        <w:t xml:space="preserve">grid_120</w:t>
      </w:r>
      <w:r>
        <w:t xml:space="preserve">, shared weights reach a lower best case (2.75s vs. 8.36s minimum) but also produce the only outright timeout of the eighteen trials shown. Set against Section </w:t>
      </w:r>
      <w:hyperlink w:anchor="sec:arch">
        <w:r>
          <w:rPr>
            <w:rStyle w:val="Hyperlink"/>
          </w:rPr>
          <w:t xml:space="preserve">3</w:t>
        </w:r>
      </w:hyperlink>
      <w:r>
        <w:t xml:space="preserve">’s broader-corpus finding – a consistent win across moderate-difficulty grids – the synthesis is that this mechanism’s benefit is regime-dependent: it helps on typical grids by redistributing which crossings each worker deprioritizes, but on grids already at the extreme difficulty end it trades a tight, well-behaved variance for a wider one that is not reliably better on net. We have no evidence for a clean win here, so we do not claim one; a negative or mixed ablation reported honestly is itself consistent with Section IV’s stance on what makes a heuristic comparison trustworthy.</w:t>
      </w:r>
    </w:p>
    <w:bookmarkEnd w:id="40"/>
    <w:bookmarkEnd w:id="41"/>
    <w:bookmarkStart w:id="42" w:name="discussion"/>
    <w:p>
      <w:pPr>
        <w:pStyle w:val="Heading1"/>
      </w:pPr>
      <w:r>
        <w:t xml:space="preserve">Discussion</w:t>
      </w:r>
    </w:p>
    <w:p>
      <w:pPr>
        <w:pStyle w:val="FirstParagraph"/>
      </w:pPr>
      <w:r>
        <w:t xml:space="preserve">The architectural comparison and the mechanism ablation point to the same underlying cause. Restart portfolios benefit from heavy-tailed runtimes: more independent draws raise the chance of an early lucky one, which is why oversubscribing thread count helped in Table </w:t>
      </w:r>
      <w:hyperlink w:anchor="tab:threads">
        <w:r>
          <w:rPr>
            <w:rStyle w:val="Hyperlink"/>
          </w:rPr>
          <w:t xml:space="preserve">1</w:t>
        </w:r>
      </w:hyperlink>
      <w:r>
        <w:t xml:space="preserve"> </w:t>
      </w:r>
      <w:r>
        <w:t xml:space="preserve">and Fig. </w:t>
      </w:r>
      <w:hyperlink w:anchor="fig:scaling">
        <w:r>
          <w:rPr>
            <w:rStyle w:val="Hyperlink"/>
          </w:rPr>
          <w:t xml:space="preserve">1</w:t>
        </w:r>
      </w:hyperlink>
      <w:r>
        <w:t xml:space="preserve">, and why the aggregate speed advantage in Fig. </w:t>
      </w:r>
      <w:hyperlink w:anchor="fig:speedup">
        <w:r>
          <w:rPr>
            <w:rStyle w:val="Hyperlink"/>
          </w:rPr>
          <w:t xml:space="preserve">3</w:t>
        </w:r>
      </w:hyperlink>
      <w:r>
        <w:t xml:space="preserve"> </w:t>
      </w:r>
      <w:r>
        <w:t xml:space="preserve">is a</w:t>
      </w:r>
      <w:r>
        <w:t xml:space="preserve"> </w:t>
      </w:r>
      <w:r>
        <w:rPr>
          <w:i/>
          <w:iCs/>
        </w:rPr>
        <w:t xml:space="preserve">finding</w:t>
      </w:r>
      <w:r>
        <w:t xml:space="preserve">-oriented result rather than a general one. Partitioned search instead gives genuine non-overlapping coverage, which is what Section </w:t>
      </w:r>
      <w:hyperlink w:anchor="sec:exhaustive">
        <w:r>
          <w:rPr>
            <w:rStyle w:val="Hyperlink"/>
          </w:rPr>
          <w:t xml:space="preserve">5.6</w:t>
        </w:r>
      </w:hyperlink>
      <w:r>
        <w:t xml:space="preserve">’s proof of unsatisfiability actually required; restart-based search approximates that only through its dedicated exhaustive worker, at the cost of forgoing restarts entirely for it. The same heavy-tailedness explains Fig. </w:t>
      </w:r>
      <w:hyperlink w:anchor="fig:ablation">
        <w:r>
          <w:rPr>
            <w:rStyle w:val="Hyperlink"/>
          </w:rPr>
          <w:t xml:space="preserve">5</w:t>
        </w:r>
      </w:hyperlink>
      <w:r>
        <w:t xml:space="preserve">’s mixed result: shared conflict weights change which draw from the tail each worker takes, which can as easily land on a worse draw as a better one on any single hard instance, and only nets out as an improvement once averaged over a broader, more typical corpus. The architectural comparison and the mechanism ablation are not in tension; they describe the same phenomenon at two different points on the difficulty spectrum, and the paper’s contribution is the latter, not the former.</w:t>
      </w:r>
    </w:p>
    <w:bookmarkEnd w:id="42"/>
    <w:bookmarkStart w:id="43"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is supporting evidence for why that gap is worth occupying, not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 five heuristics rendered indistinguishable by a precondition that kept them from ever executing – as a reusable caution for comparing branching heuristics by benchmark score alone.</w:t>
      </w:r>
    </w:p>
    <w:bookmarkEnd w:id="43"/>
    <w:bookmarkStart w:id="44" w:name="acknowledgments"/>
    <w:p>
      <w:pPr>
        <w:pStyle w:val="Heading1"/>
      </w:pPr>
      <w:r>
        <w:t xml:space="preserve">Acknowledgments</w:t>
      </w:r>
    </w:p>
    <w:p>
      <w:pPr>
        <w:pStyle w:val="FirstParagraph"/>
      </w:pPr>
      <w:r>
        <w:t xml:space="preserve">[Add any advisor, funding, or collaborator acknowledgments here.]</w:t>
      </w:r>
    </w:p>
    <w:p>
      <w:pPr>
        <w:pStyle w:val="BodyText"/>
      </w:pPr>
      <w:r>
        <w:t xml:space="preserve">11</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5" Target="media/rId25.pdf"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15" Target="media/rId15.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2026-08-05T19:56:50Z</dcterms:created>
  <dcterms:modified xsi:type="dcterms:W3CDTF">2026-08-05T19:56:50Z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up to 65\times on one hard grid, while the partition-based solver improves only marginally and cannot solve it at all below 14 threads; on 16 real grids both solve, xfill is faster on 15, by a geometric mean of 96\times. Partitioning, conversely, gives genuine non-overlapping coverage, a real advantage for proving unsatisfiability. Second, and more directly on point, we isolate the shared-weight mechanism itself – same solver, same grid, only the mechanism toggled – and find a more nuanced result than the architectural comparison above: consistent improvement on a broad corpus of moderate-difficulty grids, but higher variance rather than a reliable win on especially hard instances. We report this honestly rather than selectively, since a negative or mixed result for one’s own mechanism is still evidence. We also report a negative result from the same codebase: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vt:lpwstr>
  </property>
</Properties>
</file>