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5.3</w:t>
        </w:r>
      </w:hyperlink>
      <w:r>
        <w:t xml:space="preserve">), we implemented five letter-level branching variants – two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exhaustive">
        <w:r>
          <w:rPr>
            <w:rStyle w:val="Hyperlink"/>
          </w:rPr>
          <w:t xml:space="preserve">5.7</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5.3</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Start w:id="35"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5.7</w:t>
        </w:r>
      </w:hyperlink>
      <w:r>
        <w:t xml:space="preserve">’s proof of unsatisfiability required.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5.7</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9">
        <w:r>
          <w:rPr>
            <w:rStyle w:val="Hyperlink"/>
          </w:rPr>
          <w:t xml:space="preserve">https://crosswordgrids.com/15x15-crossword-grids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9"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2026-08-07T12:26:42Z</dcterms:created>
  <dcterms:modified xsi:type="dcterms:W3CDTF">2026-08-07T12:26:42Z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