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real, previously published 15x15 grids, xfill solves every one, and is faster on 9 of the 11 where orca-solver also succeeds, by a geometric mean of 107 times. Partitioning, conversely, gives non-overlapping coverage useful for proving unsatisfiability. Second—this paper’s actual contribution—we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filling—assigning a dictionary word to every slot in a grid so every crossing letter agrees—is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statistics—information that biases search order without asserting anything logically—continuously,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claims—restart-portfolio search as an architectural class versus this specific mechanism within it—rather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propagates—removing now-impossible values from other variables’ domains—and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solver—never concurrent. Ehlers and Stuckey</w:t>
      </w:r>
      <w:r>
        <w:t xml:space="preserve"> </w:t>
      </w:r>
      <w:r>
        <w:t xml:space="preserve"> </w:t>
      </w:r>
      <w:r>
        <w:t xml:space="preserve">parallelize a lazy-clause-generation solver by sharing learnt nogoods (assignments proven infeasible) and objective bounds between workers—concurrent, but sharing</w:t>
      </w:r>
      <w:r>
        <w:t xml:space="preserve"> </w:t>
      </w:r>
      <w:r>
        <w:rPr>
          <w:i/>
          <w:iCs/>
        </w:rPr>
        <w:t xml:space="preserve">hard</w:t>
      </w:r>
      <w:r>
        <w:t xml:space="preserve"> </w:t>
      </w:r>
      <w:r>
        <w:t xml:space="preserve">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search—sharing hard facts (learned clauses, as in ManySAT) or concrete candidate-value hints—but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branching—selecting the slot minimizing domain size over accumulated</w:t>
      </w:r>
      <w:r>
        <w:t xml:space="preserve"> </w:t>
      </w:r>
      <w:r>
        <w:rPr>
          <w:i/>
          <w:iCs/>
        </w:rPr>
        <w:t xml:space="preserve">crossing weight</w:t>
      </w:r>
      <w:r>
        <w:t xml:space="preserve">—then propagates letter constraints via an AC-3-style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(mathematically valid)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under concurrent writers only if there is just one writer, since it depends on the exact sequence of prior updates—true concurrent writers need an update rule that ignores order entirely. The dedicated exhaustive worker is excluded because its entire value is one undisturbed trajectory; wiring it in measurably hurt performance on the one grid in our corpus it had uniquely been able to solve.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(a tool that detects unsafe concurrent memory access), run against real multi-threaded solves, reports no such unsafe access. In earlier development-time testing across a broad corpus of moderate-difficulty grids (documented in</w:t>
      </w:r>
      <w:r>
        <w:t xml:space="preserve"> </w:t>
      </w:r>
      <w:r>
        <w:rPr>
          <w:rStyle w:val="VerbatimChar"/>
        </w:rPr>
        <w:t xml:space="preserve">docs/design.md</w:t>
      </w:r>
      <w:r>
        <w:t xml:space="preserve">), this mechanism cut solve time broadly—a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variants—three minimum-remaining-value scoring rules, a faithful reimplementation of a partition-based solver’s own candidate scoring, and a reversed scan order—reasoning that a smaller per-node branching factor should help on wide-open grids.</w:t>
      </w:r>
    </w:p>
    <w:p>
      <w:pPr>
        <w:pStyle w:val="BodyText"/>
      </w:pPr>
      <w:r>
        <w:t xml:space="preserve">All five produced numerically identical node and backtrack counts—too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5"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below—enabled by Section </w:t>
      </w:r>
      <w:hyperlink w:anchor="sec:negative">
        <w:r>
          <w:rPr>
            <w:rStyle w:val="Hyperlink"/>
          </w:rPr>
          <w:t xml:space="preserve">4</w:t>
        </w:r>
      </w:hyperlink>
      <w:r>
        <w:t xml:space="preserve">’s fix—test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its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9872"/>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59872"/>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2604"/>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5334000" cy="232260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42—a</w:t>
      </w:r>
      <w:r>
        <w:t xml:space="preserve"> </w:t>
      </w:r>
      <m:oMath>
        <m:r>
          <m:t>65</m:t>
        </m:r>
        <m:r>
          <m:rPr>
            <m:sty m:val="p"/>
          </m:rPr>
          <m:t>×</m:t>
        </m:r>
      </m:oMath>
      <w:r>
        <w:t xml:space="preserve"> </w:t>
      </w:r>
      <w:r>
        <w:t xml:space="preserve">improvement—while orca-solver never solves it below 14 threads and only creeps from 27.3s to 17.9s from 14 to 42; on</w:t>
      </w:r>
      <w:r>
        <w:t xml:space="preserve"> </w:t>
      </w:r>
      <w:r>
        <w:rPr>
          <w:rStyle w:val="VerbatimChar"/>
        </w:rPr>
        <w:t xml:space="preserve">grid_303</w:t>
      </w:r>
      <w:r>
        <w:t xml:space="preserve">, xfill solves it (noisily, not monotonically) at 8, 14, and 42 threads, while orca-solver fails to solve it at</w:t>
      </w:r>
      <w:r>
        <w:t xml:space="preserve"> </w:t>
      </w:r>
      <w:r>
        <w:rPr>
          <w:i/>
          <w:iCs/>
        </w:rPr>
        <w:t xml:space="preserve">any</w:t>
      </w:r>
      <w:r>
        <w:t xml:space="preserve"> </w:t>
      </w:r>
      <w:r>
        <w:t xml:space="preserve">of the 7 thread counts tested; on</w:t>
      </w:r>
      <w:r>
        <w:t xml:space="preserve"> </w:t>
      </w:r>
      <w:r>
        <w:rPr>
          <w:rStyle w:val="VerbatimChar"/>
        </w:rPr>
        <w:t xml:space="preserve">grid_115</w:t>
      </w:r>
      <w:r>
        <w:t xml:space="preserve">, neither solver succeeds at any thread count—this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letting us test directly whether crossword-composer’s losses are a genuine baseline failure or just an under-provisioned time budget. Across all 20 grids, xfill resolved 19 (18 solved, 1 UNSAT; 1 timeout), orca-solver 18 (17 solved, 1 UNSAT; 2 timeouts), ingrid_core 17 (16 solved, 1 UNSAT; 3 timeouts), and crossword-composer 9 (8 solved, 1 UNSAT; 11 timeouts)—a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1000s—the cap these figures use—changed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refinements—they are the premise on which the rest of this section, and the mechanism this paper contributes, depend.</w:t>
      </w:r>
    </w:p>
    <w:bookmarkStart w:id="32" w:name="fig:speedup"/>
    <w:p>
      <w:pPr>
        <w:pStyle w:val="CaptionedFigure"/>
      </w:pPr>
      <w:r>
        <w:drawing>
          <wp:inline>
            <wp:extent cx="4907280" cy="1847371"/>
            <wp:effectExtent b="0" l="0" r="0" t="0"/>
            <wp:docPr descr="" title="" id="30" name="Picture"/>
            <a:graphic>
              <a:graphicData uri="http://schemas.openxmlformats.org/drawingml/2006/picture">
                <pic:pic>
                  <pic:nvPicPr>
                    <pic:cNvPr descr="../benchmarks/urtc2026_testbench/results/figures/fig1b_speedup.png" id="31" name="Picture"/>
                    <pic:cNvPicPr>
                      <a:picLocks noChangeArrowheads="1" noChangeAspect="1"/>
                    </pic:cNvPicPr>
                  </pic:nvPicPr>
                  <pic:blipFill>
                    <a:blip r:embed="rId29"/>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End w:id="35"/>
    <w:bookmarkStart w:id="36"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6"/>
    <w:bookmarkStart w:id="37"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codebase—five heuristics rendered indistinguishable by a precondition that kept them from ever executing—as a reusable caution for comparing branching heuristics by benchmark score alone. Nothing about the mechanism itself is specific to crossword filling: it needs only a dom/wdeg-style weight table and a restart loop, both already common in CSP and lazy-clause-generation solvers—exactly the ingredients Section </w:t>
      </w:r>
      <w:hyperlink w:anchor="sec:relwork">
        <w:r>
          <w:rPr>
            <w:rStyle w:val="Hyperlink"/>
          </w:rPr>
          <w:t xml:space="preserve">2</w:t>
        </w:r>
      </w:hyperlink>
      <w:r>
        <w:t xml:space="preserve"> </w:t>
      </w:r>
      <w:r>
        <w:t xml:space="preserve">found no prior system combining this way.</w:t>
      </w:r>
    </w:p>
    <w:bookmarkEnd w:id="37"/>
    <w:bookmarkStart w:id="40"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8">
        <w:r>
          <w:rPr>
            <w:rStyle w:val="Hyperlink"/>
          </w:rPr>
          <w:t xml:space="preserve">https://crosswordgrids.com/15x15-crossword-grids</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39">
        <w:r>
          <w:rPr>
            <w:rStyle w:val="Hyperlink"/>
          </w:rPr>
          <w:t xml:space="preserve">https://github.com/ls1881/crossword-filler</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2026-08-08T04:57:56Z</dcterms:created>
  <dcterms:modified xsi:type="dcterms:W3CDTF">2026-08-08T04:57:56Z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real, previously published 15x15 grids, xfill solves every one, and is faster on 9 of the 11 where orca-solver also succeeds, by a geometric mean of 107 times. Partitioning, conversely, gives non-overlapping coverage useful for proving unsatisfiability. Second—this paper’s actual contribution—we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executed—caught only by direct instrumentation, not benchmark comparison.</vt:lpwstr>
  </property>
</Properties>
</file>