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constraint satisfaction problem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We implement it in xfill, a word-level CSP solver for crossword filling, and test it two ways. First, we show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valid 15x15 grids, xfill solves every one, and is faster on 9 of the 11 where orca-solver also succeeds, by a geometric mean of 107 times. Partitioning, conversely, gives non-overlapping coverage useful for proving unsatisfiability. Second, we isolate the mechanism itself, holding solver and grid fixed: a consistent win on moderate-difficulty grids, but higher variance rather than a reliable one on the hardest instances, reported honestly alongside the positive result. We also report a negative result: five plausible branching heuristics produced identical output because a domain-size precondition meant none of them ever executed, 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(assigning a dictionary word to every slot in a grid so every crossing letter agrees) 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proposes xfill, a crossword filling algorithm that answers one question about parallel constraint search: when multiple workers run concurrently, is there value in sharing</w:t>
      </w:r>
      <w:r>
        <w:t xml:space="preserve"> </w:t>
      </w:r>
      <w:r>
        <w:rPr>
          <w:i/>
          <w:iCs/>
        </w:rPr>
        <w:t xml:space="preserve">soft</w:t>
      </w:r>
      <w:r>
        <w:t xml:space="preserve"> </w:t>
      </w:r>
      <w:r>
        <w:t xml:space="preserve">heuristic statistics (information that biases search order without asserting anything logically)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(restart-portfolio search as an architectural class versus this specific mechanism within it) 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 removing now-impossible values from other variables’ domains, 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never concurrent. Ehlers and Stuckey</w:t>
      </w:r>
      <w:r>
        <w:t xml:space="preserve"> </w:t>
      </w:r>
      <w:r>
        <w:t xml:space="preserve"> </w:t>
      </w:r>
      <w:r>
        <w:t xml:space="preserve">parallelize a lazy-clause-generation solver by sharing learnt nogoods (assignments proven infeasible) and objective bounds between workers, concurrent but sharing</w:t>
      </w:r>
      <w:r>
        <w:t xml:space="preserve"> </w:t>
      </w:r>
      <w:r>
        <w:rPr>
          <w:i/>
          <w:iCs/>
        </w:rPr>
        <w:t xml:space="preserve">hard</w:t>
      </w:r>
      <w:r>
        <w:t xml:space="preserve"> </w:t>
      </w:r>
      <w:r>
        <w:t xml:space="preserve">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extensive concurrent, non-partitioning multi-agent search, sharing hard facts (learned clauses, as in ManySAT) or concrete candidate-value hints,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by selecting the slot minimizing domain size over accumulated</w:t>
      </w:r>
      <w:r>
        <w:t xml:space="preserve"> </w:t>
      </w:r>
      <w:r>
        <w:rPr>
          <w:i/>
          <w:iCs/>
        </w:rPr>
        <w:t xml:space="preserve">crossing weight</w:t>
      </w:r>
      <w:r>
        <w:t xml:space="preserve">, then propagates letter constraints via an AC-3-style (Arc Consistency Algorithm #3)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(mathematically valid)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under concurrent writers only if there is just one writer, since it depends on the exact sequence of prior updates; true concurrent writers need an update rule that ignores order entirely. The dedicated exhaustive worker is excluded because its entire value is one undisturbed trajectory; wiring it in measurably hurt performance on the one grid in our corpus it had uniquely been able to solve, though this is a single-grid observation rather than a broad pattern.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(a tool that detects unsafe concurrent memory access), run against real multi-threaded solves, reports no such unsafe access. In earlier development-time testing across a broad corpus of moderate-difficulty grids (documented in</w:t>
      </w:r>
      <w:r>
        <w:t xml:space="preserve"> </w:t>
      </w:r>
      <w:r>
        <w:rPr>
          <w:rStyle w:val="VerbatimChar"/>
        </w:rPr>
        <w:t xml:space="preserve">docs/design.md</w:t>
      </w:r>
      <w:r>
        <w:t xml:space="preserve">), this mechanism cut solve time broadly, 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we implemented five letter-level branching variants (three minimum-remaining-value scoring rules, a faithful reimplementation of a partition-based solver’s own candidate scoring, and a reversed scan order), reasoning that a smaller per-node branching factor should help on wide-open grids.</w:t>
      </w:r>
    </w:p>
    <w:p>
      <w:pPr>
        <w:pStyle w:val="BodyText"/>
      </w:pPr>
      <w:r>
        <w:t xml:space="preserve">All five produced numerically identical node and backtrack counts, 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5"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enabled by Section </w:t>
      </w:r>
      <w:hyperlink w:anchor="sec:negative">
        <w:r>
          <w:rPr>
            <w:rStyle w:val="Hyperlink"/>
          </w:rPr>
          <w:t xml:space="preserve">4</w:t>
        </w:r>
      </w:hyperlink>
      <w:r>
        <w:t xml:space="preserve">’s fix, 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its own freely available word list</w:t>
      </w:r>
      <w:r>
        <w:t xml:space="preserve"> </w:t>
      </w:r>
      <w:r>
        <w:t xml:space="preserve">,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valid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 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9872"/>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59872"/>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with all 5 trials hitting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 The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5334000" cy="2322604"/>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5334000" cy="232260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’s result splits three ways, showing this is a property of the architecture rather than a lucky pick of grid: on</w:t>
      </w:r>
      <w:r>
        <w:t xml:space="preserve"> </w:t>
      </w:r>
      <w:r>
        <w:rPr>
          <w:rStyle w:val="VerbatimChar"/>
        </w:rPr>
        <w:t xml:space="preserve">grid_120</w:t>
      </w:r>
      <w:r>
        <w:t xml:space="preserve">, xfill’s wall time falls from 27.8s at 1 thread to 0.43s at 42 (a</w:t>
      </w:r>
      <w:r>
        <w:t xml:space="preserve"> </w:t>
      </w:r>
      <m:oMath>
        <m:r>
          <m:t>65</m:t>
        </m:r>
        <m:r>
          <m:rPr>
            <m:sty m:val="p"/>
          </m:rPr>
          <m:t>×</m:t>
        </m:r>
      </m:oMath>
      <w:r>
        <w:t xml:space="preserve"> </w:t>
      </w:r>
      <w:r>
        <w:t xml:space="preserve">improvement) while orca-solver never solves it below 14 threads and only creeps from 27.3s to 17.9s from 14 to 42; on</w:t>
      </w:r>
      <w:r>
        <w:t xml:space="preserve"> </w:t>
      </w:r>
      <w:r>
        <w:rPr>
          <w:rStyle w:val="VerbatimChar"/>
        </w:rPr>
        <w:t xml:space="preserve">grid_303</w:t>
      </w:r>
      <w:r>
        <w:t xml:space="preserve">, xfill solves it (noisily, not monotonically) at 8, 14, and 42 threads, while orca-solver fails to solve it at</w:t>
      </w:r>
      <w:r>
        <w:t xml:space="preserve"> </w:t>
      </w:r>
      <w:r>
        <w:rPr>
          <w:i/>
          <w:iCs/>
        </w:rPr>
        <w:t xml:space="preserve">any</w:t>
      </w:r>
      <w:r>
        <w:t xml:space="preserve"> </w:t>
      </w:r>
      <w:r>
        <w:t xml:space="preserve">of the 7 thread counts tested; on</w:t>
      </w:r>
      <w:r>
        <w:t xml:space="preserve"> </w:t>
      </w:r>
      <w:r>
        <w:rPr>
          <w:rStyle w:val="VerbatimChar"/>
        </w:rPr>
        <w:t xml:space="preserve">grid_115</w:t>
      </w:r>
      <w:r>
        <w:t xml:space="preserve">, neither solver succeeds at any thread count, and thus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Zooming out from thread scaling on a few hand-picked hard grids to the full sweep across all four solvers and every curated grid size (Fig. </w:t>
      </w:r>
      <w:hyperlink w:anchor="fig:size">
        <w:r>
          <w:rPr>
            <w:rStyle w:val="Hyperlink"/>
          </w:rPr>
          <w:t xml:space="preserve">3</w:t>
        </w:r>
      </w:hyperlink>
      <w:r>
        <w:t xml:space="preserve">), the same advantage holds broadly, letting us test directly whether crossword-composer’s losses are a genuine baseline failure or just an under-provisioned time budget. Across all 20 grids, xfill resolved 19 (18 solved, 1 UNSAT; 1 timeout), orca-solver 18 (17 solved, 1 UNSAT; 2 timeouts), ingrid_core 17 (16 solved, 1 UNSAT; 3 timeouts), and crossword-composer 9 (8 solved, 1 UNSAT; 11 timeouts)—a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(the cap these figures use) 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 they are the premise on which the rest of this section, and the mechanism this paper contributes, depend.</w:t>
      </w:r>
    </w:p>
    <w:bookmarkStart w:id="32" w:name="fig:speedup"/>
    <w:p>
      <w:pPr>
        <w:pStyle w:val="CaptionedFigure"/>
      </w:pPr>
      <w:r>
        <w:drawing>
          <wp:inline>
            <wp:extent cx="4907280" cy="1847371"/>
            <wp:effectExtent b="0" l="0" r="0" t="0"/>
            <wp:docPr descr="" title="" id="30" name="Picture"/>
            <a:graphic>
              <a:graphicData uri="http://schemas.openxmlformats.org/drawingml/2006/picture">
                <pic:pic>
                  <pic:nvPicPr>
                    <pic:cNvPr descr="../benchmarks/urtc2026_testbench/results/figures/fig1b_speedup.png" id="31" name="Picture"/>
                    <pic:cNvPicPr>
                      <a:picLocks noChangeArrowheads="1" noChangeAspect="1"/>
                    </pic:cNvPicPr>
                  </pic:nvPicPr>
                  <pic:blipFill>
                    <a:blip r:embed="rId29"/>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using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This is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thus representing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There is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End w:id="35"/>
    <w:bookmarkStart w:id="36"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p>
      <w:pPr>
        <w:pStyle w:val="BodyText"/>
      </w:pPr>
      <w:r>
        <w:t xml:space="preserve">The negative result in Section </w:t>
      </w:r>
      <w:hyperlink w:anchor="sec:negative">
        <w:r>
          <w:rPr>
            <w:rStyle w:val="Hyperlink"/>
          </w:rPr>
          <w:t xml:space="preserve">4</w:t>
        </w:r>
      </w:hyperlink>
      <w:r>
        <w:t xml:space="preserve"> </w:t>
      </w:r>
      <w:r>
        <w:t xml:space="preserve">follows the same discipline. Five branching heuristics looked interchangeable only because none of them ever executed on the grid that motivated them, a gap direct instrumentation closed but a benchmark-score comparison alone would have missed. The same standard applies to Section </w:t>
      </w:r>
      <w:hyperlink w:anchor="sec:ablation">
        <w:r>
          <w:rPr>
            <w:rStyle w:val="Hyperlink"/>
          </w:rPr>
          <w:t xml:space="preserve">5.2</w:t>
        </w:r>
      </w:hyperlink>
      <w:r>
        <w:t xml:space="preserve">’s ablation: reporting the broad-corpus win alone, without also checking the harder grids directly, would have missed the regime-dependence that turned out to matter most. In both cases, the paper’s own numbers were only trustworthy once verified against what the code was actually doing, not just what its aggregate score suggested.</w:t>
      </w:r>
    </w:p>
    <w:bookmarkEnd w:id="36"/>
    <w:bookmarkStart w:id="37"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the thread-scaling numbers should not be read as hardware- or dictionary-independent claims. The architectural comparison also rests on one partition-based representative, orca-solver, chosen for being fast, open-source, and actively maintained rather than through a systematic survey of partition-based solvers; results may not generalize to every implementation of that approach.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as 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 in that five heuristics rendered indistinguishable by a precondition that kept them from ever executing, illustrating a reusable caution for comparing branching heuristics by benchmark score alone. Although xfill itself is built for crossword filling, its mechanism is not: it needs only a dom/wdeg-style weight table and a restart loop, both already common in CSP and lazy-clause-generation solvers, so the same approach could extend to other CSPs, exactly the ingredients Section </w:t>
      </w:r>
      <w:hyperlink w:anchor="sec:relwork">
        <w:r>
          <w:rPr>
            <w:rStyle w:val="Hyperlink"/>
          </w:rPr>
          <w:t xml:space="preserve">2</w:t>
        </w:r>
      </w:hyperlink>
      <w:r>
        <w:t xml:space="preserve"> </w:t>
      </w:r>
      <w:r>
        <w:t xml:space="preserve">found no prior system combining this way.</w:t>
      </w:r>
    </w:p>
    <w:bookmarkEnd w:id="37"/>
    <w:bookmarkStart w:id="41"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8">
        <w:r>
          <w:rPr>
            <w:rStyle w:val="Hyperlink"/>
          </w:rPr>
          <w:t xml:space="preserve">https://crosswordgrids.com/15x15-crossword-grids</w:t>
        </w:r>
      </w:hyperlink>
    </w:p>
    <w:p>
      <w:pPr>
        <w:pStyle w:val="BodyText"/>
      </w:pPr>
      <w:r>
        <w:t xml:space="preserve">Spreadthewordlist.com.</w:t>
      </w:r>
      <w:r>
        <w:t xml:space="preserve"> </w:t>
      </w:r>
      <w:r>
        <w:t xml:space="preserve">“Spread the word(list).”</w:t>
      </w:r>
      <w:r>
        <w:t xml:space="preserve"> </w:t>
      </w:r>
      <w:r>
        <w:t xml:space="preserve">Accessed: Jul. 22, 2026. [Online.] Available:</w:t>
      </w:r>
      <w:r>
        <w:t xml:space="preserve"> </w:t>
      </w:r>
      <w:hyperlink r:id="rId39">
        <w:r>
          <w:rPr>
            <w:rStyle w:val="Hyperlink"/>
          </w:rPr>
          <w:t xml:space="preserve">https://www.spreadthewordlist.com/</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40">
        <w:r>
          <w:rPr>
            <w:rStyle w:val="Hyperlink"/>
          </w:rPr>
          <w:t xml:space="preserve">https://github.com/ls1881/crossword-filler</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38" Target="https://crosswordgrids.com/15x15-crossword-grids" TargetMode="External" /><Relationship Type="http://schemas.openxmlformats.org/officeDocument/2006/relationships/hyperlink" Id="rId40" Target="https://github.com/ls1881/crossword-filler" TargetMode="External" /><Relationship Type="http://schemas.openxmlformats.org/officeDocument/2006/relationships/hyperlink" Id="rId39" Target="https://www.spreadthewordlist.com/" TargetMode="External" /></Relationships>
</file>

<file path=word/_rels/footnotes.xml.rels><?xml version="1.0" encoding="UTF-8"?><Relationships xmlns="http://schemas.openxmlformats.org/package/2006/relationships"><Relationship Type="http://schemas.openxmlformats.org/officeDocument/2006/relationships/hyperlink" Id="rId38" Target="https://crosswordgrids.com/15x15-crossword-grids" TargetMode="External" /><Relationship Type="http://schemas.openxmlformats.org/officeDocument/2006/relationships/hyperlink" Id="rId40" Target="https://github.com/ls1881/crossword-filler" TargetMode="External" /><Relationship Type="http://schemas.openxmlformats.org/officeDocument/2006/relationships/hyperlink" Id="rId39" Target="https://www.spreadthewordlis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2026-08-08T12:40:32Z</dcterms:created>
  <dcterms:modified xsi:type="dcterms:W3CDTF">2026-08-08T12:40:32Z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We implement it in xfill, a word-level CSP solver for crossword filling, and test it two ways. First, we show restart-portfolio search occupies a genuinely different point in the design space than partition-based search, represented by orca-solver, an independently developed alternative: oversubscribing thread count improves xfill roughly 65 times on one hard grid, while orca-solver improves only marginally and cannot solve it below 14 threads; on 12 valid 15x15 grids, xfill solves every one, and is faster on 9 of the 11 where orca-solver also succeeds, by a geometric mean of 107 times. Partitioning, conversely, gives non-overlapping coverage useful for proving unsatisfiability. Second, we isolate the mechanism itself, holding solver and grid fixed: a consistent win on moderate-difficulty grids, but higher variance rather than a reliable one on the hardest instances, reported honestly alongside the positive result. We also report a negative result: five plausible branching heuristics produced identical output because a domain-size precondition meant none of them ever executed, caught only by direct instrumentation, not benchmark comparison.</vt:lpwstr>
  </property>
</Properties>
</file>