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4.pdf" ContentType="application/pdf"/>
  <Override PartName="/word/media/rId30.pdf" ContentType="application/pdf"/>
  <Override PartName="/word/media/rId1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 restart-portfolio search as an architectural class versus this specific mechanism within it –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no CSP work sharing heuristic statistics continuously among concurrent, non-partitioning workers; its own taxonomy has no category for it.</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consistent with every update being independent of order. In earlier development-time testing across a broad corpus of moderate-difficulty grids (documented in</w:t>
      </w:r>
      <w:r>
        <w:t xml:space="preserve"> </w:t>
      </w:r>
      <w:r>
        <w:rPr>
          <w:rStyle w:val="VerbatimChar"/>
        </w:rPr>
        <w:t xml:space="preserve">docs/design.md</w:t>
      </w:r>
      <w:r>
        <w:t xml:space="preserve">), this mechanism cut solve time broadly – a finding we revisit against a harder, targeted ablation in Section </w:t>
      </w:r>
      <w:hyperlink w:anchor="sec:ablation">
        <w:r>
          <w:rPr>
            <w:rStyle w:val="Hyperlink"/>
          </w:rPr>
          <w:t xml:space="preserve">5.7</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5.2</w:t>
        </w:r>
      </w:hyperlink>
      <w:r>
        <w:t xml:space="preserve">), we implemented five letter-level branching variants – two minimum-remaining-value scoring rules, a faithful reimplementation of a partition-based solver’s own candidate scoring,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5.2</w:t>
        </w:r>
      </w:hyperlink>
      <w:r>
        <w:t xml:space="preserve">. The reusable point: an A/B comparison of branching heuristics is only informative once the branch under test is confirmed, by direct instrumentation, to execute.</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 enabled by Section </w:t>
      </w:r>
      <w:hyperlink w:anchor="sec:negative">
        <w:r>
          <w:rPr>
            <w:rStyle w:val="Hyperlink"/>
          </w:rPr>
          <w:t xml:space="preserve">4</w:t>
        </w:r>
      </w:hyperlink>
      <w:r>
        <w:t xml:space="preserve">’s fix – test two distinct claims, and we keep them in separate subsections rather than blending them. Sections </w:t>
      </w:r>
      <w:hyperlink w:anchor="sec:oversub">
        <w:r>
          <w:rPr>
            <w:rStyle w:val="Hyperlink"/>
          </w:rPr>
          <w:t xml:space="preserve">5.2</w:t>
        </w:r>
      </w:hyperlink>
      <w:r>
        <w:t xml:space="preserve">–</w:t>
      </w:r>
      <w:hyperlink w:anchor="sec:exhaustive">
        <w:r>
          <w:rPr>
            <w:rStyle w:val="Hyperlink"/>
          </w:rPr>
          <w:t xml:space="preserve">5.6</w:t>
        </w:r>
      </w:hyperlink>
      <w:r>
        <w:t xml:space="preserve"> </w:t>
      </w:r>
      <w:r>
        <w:t xml:space="preserve">test whether restart-portfolio search, as an architectural class, occupies a genuinely different point in the design space than partition-based search – using orca-solver as a concrete, independently developed representative of that alternative, and an unmodified naive backtracker to show the comparison is not trivial. This establishes why the mechanism is worth building at all. Section </w:t>
      </w:r>
      <w:hyperlink w:anchor="sec:ablation">
        <w:r>
          <w:rPr>
            <w:rStyle w:val="Hyperlink"/>
          </w:rPr>
          <w:t xml:space="preserve">5.7</w:t>
        </w:r>
      </w:hyperlink>
      <w:r>
        <w:t xml:space="preserve"> </w:t>
      </w:r>
      <w:r>
        <w:t xml:space="preserve">then isolates the mechanism itself, holding architecture fixed, which is this paper’s actual contribution.</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 second naive baseline, savin_crossword, was tested but is excluded below: it timed out on all 20 grids at both a 120s and a 300s cap, including trivial</w:t>
      </w:r>
      <w:r>
        <w:t xml:space="preserve"> </w:t>
      </w:r>
      <m:oMath>
        <m:r>
          <m:t>5</m:t>
        </m:r>
        <m:r>
          <m:rPr>
            <m:sty m:val="p"/>
          </m:rPr>
          <m:t>×</m:t>
        </m:r>
        <m:r>
          <m:t>5</m:t>
        </m:r>
      </m:oMath>
      <w:r>
        <w:t xml:space="preserve">/</w:t>
      </w:r>
      <m:oMath>
        <m:r>
          <m:t>7</m:t>
        </m:r>
        <m:r>
          <m:rPr>
            <m:sty m:val="p"/>
          </m:rPr>
          <m:t>×</m:t>
        </m:r>
        <m:r>
          <m:t>7</m:t>
        </m:r>
      </m:oMath>
      <w:r>
        <w:t xml:space="preserve"> </w:t>
      </w:r>
      <w:r>
        <w:t xml:space="preserve">ones (Section </w:t>
      </w:r>
      <w:hyperlink w:anchor="sec:naive">
        <w:r>
          <w:rPr>
            <w:rStyle w:val="Hyperlink"/>
          </w:rPr>
          <w:t xml:space="preserve">5.4</w:t>
        </w:r>
      </w:hyperlink>
      <w:r>
        <w:t xml:space="preserve">). The remaining four run through a single fixed harness (</w:t>
      </w:r>
      <w:r>
        <w:rPr>
          <w:rStyle w:val="VerbatimChar"/>
        </w:rPr>
        <w:t xml:space="preserve">benchmarks/urtc2026_testbench/</w:t>
      </w:r>
      <w:r>
        <w:t xml:space="preserve">), against a dictionary derived deterministically from the repository’s own freely available word list, with a fixed seed and a 300-second cap, reproducible via</w:t>
      </w:r>
      <w:r>
        <w:t xml:space="preserve"> </w:t>
      </w:r>
      <w:r>
        <w:rPr>
          <w:rStyle w:val="VerbatimChar"/>
        </w:rPr>
        <w:t xml:space="preserve">run_benchmark.py</w:t>
      </w:r>
      <w:r>
        <w:t xml:space="preserve">; every timeout was re-tested at 600s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5.4</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a known-hard</w:t>
      </w:r>
      <w:r>
        <w:t xml:space="preserve"> </w:t>
      </w:r>
      <m:oMath>
        <m:r>
          <m:t>7</m:t>
        </m:r>
        <m:r>
          <m:rPr>
            <m:sty m:val="p"/>
          </m:rPr>
          <m:t>×</m:t>
        </m:r>
        <m:r>
          <m:t>7</m:t>
        </m:r>
      </m:oMath>
      <w:r>
        <w:t xml:space="preserve"> </w:t>
      </w:r>
      <w:r>
        <w:t xml:space="preserve">grid (two pre-filled letters, no blocked cells, single sample), oversubscribing threads well past this machine’s 14 physical cores: wall time falls from 166.7s at 1 thread to 63.0s at 14, then wanders (104.6s at 28, 85.6s at 42, 112.4s at 56) as contention erodes further gains. Every configuration beats the 201.7s single-threaded baseline an independently developed partition-based solver publishes on the same grid – an external difficulty anchor, not a target being chased.</w:t>
      </w:r>
    </w:p>
    <w:bookmarkStart w:id="17" w:name="fig:scaling"/>
    <w:p>
      <w:pPr>
        <w:pStyle w:val="CaptionedFigure"/>
      </w:pPr>
      <w:r>
        <w:drawing>
          <wp:inline>
            <wp:extent cx="5334000" cy="2327144"/>
            <wp:effectExtent b="0" l="0" r="0" t="0"/>
            <wp:docPr descr="" title="" id="15" name="Picture"/>
            <a:graphic>
              <a:graphicData uri="http://schemas.openxmlformats.org/drawingml/2006/picture">
                <pic:pic>
                  <pic:nvPicPr>
                    <pic:cNvPr descr="../benchmarks/urtc2026_testbench/results/figures/fig5_thread_scaling.pdf" id="16" name="Picture"/>
                    <pic:cNvPicPr>
                      <a:picLocks noChangeArrowheads="1" noChangeAspect="1"/>
                    </pic:cNvPicPr>
                  </pic:nvPicPr>
                  <pic:blipFill>
                    <a:blip r:embed="rId14"/>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7"/>
    <w:bookmarkEnd w:id="18"/>
    <w:bookmarkStart w:id="23"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1</w:t>
        </w:r>
      </w:hyperlink>
      <w:r>
        <w:t xml:space="preserve"> </w:t>
      </w:r>
      <w:r>
        <w:t xml:space="preserve">repeats the oversubscription experiment on three more grids, at 1 through 42 threads, for both xfill and orca-solver, to check whether Section </w:t>
      </w:r>
      <w:hyperlink w:anchor="sec:oversub">
        <w:r>
          <w:rPr>
            <w:rStyle w:val="Hyperlink"/>
          </w:rPr>
          <w:t xml:space="preserve">5.2</w:t>
        </w:r>
      </w:hyperlink>
      <w:r>
        <w:t xml:space="preserve">’s result is a general property of restart portfolios or an artifact of one grid. The result splits three ways: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2" w:name="fig:size"/>
    <w:p>
      <w:pPr>
        <w:pStyle w:val="CaptionedFigure"/>
      </w:pPr>
      <w:r>
        <w:drawing>
          <wp:inline>
            <wp:extent cx="5334000" cy="2631907"/>
            <wp:effectExtent b="0" l="0" r="0" t="0"/>
            <wp:docPr descr="" title="" id="20" name="Picture"/>
            <a:graphic>
              <a:graphicData uri="http://schemas.openxmlformats.org/drawingml/2006/picture">
                <pic:pic>
                  <pic:nvPicPr>
                    <pic:cNvPr descr="../benchmarks/urtc2026_testbench/results/figures/fig1_success_by_size.pdf" id="21" name="Picture"/>
                    <pic:cNvPicPr>
                      <a:picLocks noChangeArrowheads="1" noChangeAspect="1"/>
                    </pic:cNvPicPr>
                  </pic:nvPicPr>
                  <pic:blipFill>
                    <a:blip r:embed="rId19"/>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600s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2"/>
    <w:bookmarkEnd w:id="23"/>
    <w:bookmarkStart w:id="28" w:name="sec:naive"/>
    <w:p>
      <w:pPr>
        <w:pStyle w:val="Heading2"/>
      </w:pPr>
      <w:r>
        <w:t xml:space="preserve">Naive Backtracking Is Not a Baseline Worth Beating</w:t>
      </w:r>
    </w:p>
    <w:p>
      <w:pPr>
        <w:pStyle w:val="FirstParagraph"/>
      </w:pPr>
      <w:r>
        <w:t xml:space="preserve">Across all 20 grids, xfill resolved 19 (18 solved, 1 UNSAT; 1 timeout), orca-solver 18 (17 solved, 1 UNSAT; 2 timeouts), ingrid_core 17 (16 solved, 1 UNSAT; 3 timeouts), and crossword-composer 9 (8 solved, 1 UNSAT; 11 timeouts); savin_crossword resolved</w:t>
      </w:r>
      <w:r>
        <w:t xml:space="preserve"> </w:t>
      </w:r>
      <w:r>
        <w:rPr>
          <w:i/>
          <w:iCs/>
        </w:rPr>
        <w:t xml:space="preserve">none</w:t>
      </w:r>
      <w:r>
        <w:t xml:space="preserve">, for the reasons given in Setup, and never appears in Fig. </w:t>
      </w:r>
      <w:hyperlink w:anchor="fig:size">
        <w:r>
          <w:rPr>
            <w:rStyle w:val="Hyperlink"/>
          </w:rPr>
          <w:t xml:space="preserve">2</w:t>
        </w:r>
      </w:hyperlink>
      <w:r>
        <w:t xml:space="preserve"> </w:t>
      </w:r>
      <w:r>
        <w:t xml:space="preserve">or Fig. </w:t>
      </w:r>
      <w:hyperlink w:anchor="fig:speedup">
        <w:r>
          <w:rPr>
            <w:rStyle w:val="Hyperlink"/>
          </w:rPr>
          <w:t xml:space="preserve">3</w:t>
        </w:r>
      </w:hyperlink>
      <w:r>
        <w:t xml:space="preserve">. Its failure differs in kind from crossword-composer’s: crossword-composer solves most grids and fails only on individual instances, unrelated to dictionary size, while savin_crossword’s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size – both real, unmodified, independently authored solvers, tested rather than assumed to fail. Doubling the cap to 600s changed exactly one outcome: ingrid_core went on to solve</w:t>
      </w:r>
      <w:r>
        <w:t xml:space="preserve"> </w:t>
      </w:r>
      <w:r>
        <w:rPr>
          <w:rStyle w:val="VerbatimChar"/>
        </w:rPr>
        <w:t xml:space="preserve">grid_479</w:t>
      </w:r>
      <w:r>
        <w:t xml:space="preserve"> </w:t>
      </w:r>
      <w:r>
        <w:t xml:space="preserve">in 325s. Every other timeout – all 11 of crossword-composer’s, plus</w:t>
      </w:r>
      <w:r>
        <w:t xml:space="preserve"> </w:t>
      </w:r>
      <w:r>
        <w:rPr>
          <w:rStyle w:val="VerbatimChar"/>
        </w:rPr>
        <w:t xml:space="preserve">sample_13x13</w:t>
      </w:r>
      <w:r>
        <w:t xml:space="preserve">, the one grid no solver resolves at either cap – held: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27" w:name="fig:speedup"/>
    <w:p>
      <w:pPr>
        <w:pStyle w:val="CaptionedFigure"/>
      </w:pPr>
      <w:r>
        <w:drawing>
          <wp:inline>
            <wp:extent cx="4907280" cy="1770849"/>
            <wp:effectExtent b="0" l="0" r="0" t="0"/>
            <wp:docPr descr="" title="" id="25" name="Picture"/>
            <a:graphic>
              <a:graphicData uri="http://schemas.openxmlformats.org/drawingml/2006/picture">
                <pic:pic>
                  <pic:nvPicPr>
                    <pic:cNvPr descr="../benchmarks/urtc2026_testbench/results/figures/fig1b_speedup.pdf" id="26" name="Picture"/>
                    <pic:cNvPicPr>
                      <a:picLocks noChangeArrowheads="1" noChangeAspect="1"/>
                    </pic:cNvPicPr>
                  </pic:nvPicPr>
                  <pic:blipFill>
                    <a:blip r:embed="rId24"/>
                    <a:stretch>
                      <a:fillRect/>
                    </a:stretch>
                  </pic:blipFill>
                  <pic:spPr bwMode="auto">
                    <a:xfrm>
                      <a:off x="0" y="0"/>
                      <a:ext cx="4907280" cy="1770849"/>
                    </a:xfrm>
                    <a:prstGeom prst="rect">
                      <a:avLst/>
                    </a:prstGeom>
                    <a:noFill/>
                    <a:ln w="9525">
                      <a:noFill/>
                      <a:headEnd/>
                      <a:tailEnd/>
                    </a:ln>
                  </pic:spPr>
                </pic:pic>
              </a:graphicData>
            </a:graphic>
          </wp:inline>
        </w:drawing>
      </w:r>
    </w:p>
    <w:p>
      <w:pPr>
        <w:pStyle w:val="ImageCaption"/>
      </w:pPr>
      <w:r>
        <w:t xml:space="preserve">Wall time to solve (log scale, 600s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5.4</w:t>
        </w:r>
      </w:hyperlink>
      <w:r>
        <w:t xml:space="preserve"> </w:t>
      </w:r>
      <w:r>
        <w:t xml:space="preserve">(savin_crossword is excluded entirely, also Section </w:t>
      </w:r>
      <w:hyperlink w:anchor="sec:naive">
        <w:r>
          <w:rPr>
            <w:rStyle w:val="Hyperlink"/>
          </w:rPr>
          <w:t xml:space="preserve">5.4</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27"/>
    <w:bookmarkEnd w:id="28"/>
    <w:bookmarkStart w:id="29" w:name="sec:speedup"/>
    <w:p>
      <w:pPr>
        <w:pStyle w:val="Heading2"/>
      </w:pPr>
      <w:r>
        <w:t xml:space="preserve">Aggregate Speed Advantage Where Both Solve</w:t>
      </w:r>
    </w:p>
    <w:p>
      <w:pPr>
        <w:pStyle w:val="FirstParagraph"/>
      </w:pPr>
      <w:r>
        <w:t xml:space="preserve">Fig. </w:t>
      </w:r>
      <w:hyperlink w:anchor="fig:speedup">
        <w:r>
          <w:rPr>
            <w:rStyle w:val="Hyperlink"/>
          </w:rPr>
          <w:t xml:space="preserve">3</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w:t>
      </w:r>
      <w:r>
        <w:t xml:space="preserve">– consistent with</w:t>
      </w:r>
      <w:r>
        <w:t xml:space="preserve"> </w:t>
      </w:r>
      <w:r>
        <w:rPr>
          <w:rStyle w:val="VerbatimChar"/>
        </w:rPr>
        <w:t xml:space="preserve">grid_115</w:t>
      </w:r>
      <w:r>
        <w:t xml:space="preserve"> </w:t>
      </w:r>
      <w:r>
        <w:t xml:space="preserve">in Section </w:t>
      </w:r>
      <w:hyperlink w:anchor="sec:scaling">
        <w:r>
          <w:rPr>
            <w:rStyle w:val="Hyperlink"/>
          </w:rPr>
          <w:t xml:space="preserve">5.3</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given double the budget – a completion advantage, not just a speed one. Across the full 20-grid sample, xfill resolves 19, orca-solver 18, both agree on the sample’s one correct UNSAT proof, and both are stuck only on</w:t>
      </w:r>
      <w:r>
        <w:t xml:space="preserve"> </w:t>
      </w:r>
      <w:r>
        <w:rPr>
          <w:rStyle w:val="VerbatimChar"/>
        </w:rPr>
        <w:t xml:space="preserve">sample_13x13</w:t>
      </w:r>
      <w:r>
        <w:t xml:space="preserve"> </w:t>
      </w:r>
      <w:r>
        <w:t xml:space="preserve">– a narrower gap on success alone than on speed, which is why Sections </w:t>
      </w:r>
      <w:hyperlink w:anchor="sec:scaling">
        <w:r>
          <w:rPr>
            <w:rStyle w:val="Hyperlink"/>
          </w:rPr>
          <w:t xml:space="preserve">5.3</w:t>
        </w:r>
      </w:hyperlink>
      <w:r>
        <w:t xml:space="preserve"> </w:t>
      </w:r>
      <w:r>
        <w:t xml:space="preserve">and </w:t>
      </w:r>
      <w:hyperlink w:anchor="sec:ablation">
        <w:r>
          <w:rPr>
            <w:rStyle w:val="Hyperlink"/>
          </w:rPr>
          <w:t xml:space="preserve">5.7</w:t>
        </w:r>
      </w:hyperlink>
      <w:r>
        <w:t xml:space="preserve"> </w:t>
      </w:r>
      <w:r>
        <w:t xml:space="preserve">use a harder, pre-existing grid list to find where the architectures actually diverge.</w:t>
      </w:r>
    </w:p>
    <w:bookmarkEnd w:id="29"/>
    <w:bookmarkStart w:id="34"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we constructed by hand a maximally constrained grid – five mutually crossing 15-letter entries, verified against both solvers’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where partitioning, not the restart portfolio, has the structural advantage – consistent with Section </w:t>
      </w:r>
      <w:hyperlink w:anchor="sec:relwork">
        <w:r>
          <w:rPr>
            <w:rStyle w:val="Hyperlink"/>
          </w:rPr>
          <w:t xml:space="preserve">2</w:t>
        </w:r>
      </w:hyperlink>
      <w:r>
        <w:t xml:space="preserve">.</w:t>
      </w:r>
    </w:p>
    <w:bookmarkStart w:id="33" w:name="fig:ablation"/>
    <w:p>
      <w:pPr>
        <w:pStyle w:val="CaptionedFigure"/>
      </w:pPr>
      <w:r>
        <w:drawing>
          <wp:inline>
            <wp:extent cx="5067300" cy="1203483"/>
            <wp:effectExtent b="0" l="0" r="0" t="0"/>
            <wp:docPr descr="" title="" id="31" name="Picture"/>
            <a:graphic>
              <a:graphicData uri="http://schemas.openxmlformats.org/drawingml/2006/picture">
                <pic:pic>
                  <pic:nvPicPr>
                    <pic:cNvPr descr="../benchmarks/urtc2026_testbench/results/figures/fig4_ablation.pdf" id="32" name="Picture"/>
                    <pic:cNvPicPr>
                      <a:picLocks noChangeArrowheads="1" noChangeAspect="1"/>
                    </pic:cNvPicPr>
                  </pic:nvPicPr>
                  <pic:blipFill>
                    <a:blip r:embed="rId30"/>
                    <a:stretch>
                      <a:fillRect/>
                    </a:stretch>
                  </pic:blipFill>
                  <pic:spPr bwMode="auto">
                    <a:xfrm>
                      <a:off x="0" y="0"/>
                      <a:ext cx="5067300" cy="1203483"/>
                    </a:xfrm>
                    <a:prstGeom prst="rect">
                      <a:avLst/>
                    </a:prstGeom>
                    <a:noFill/>
                    <a:ln w="9525">
                      <a:noFill/>
                      <a:headEnd/>
                      <a:tailEnd/>
                    </a:ln>
                  </pic:spPr>
                </pic:pic>
              </a:graphicData>
            </a:graphic>
          </wp:inline>
        </w:drawing>
      </w:r>
    </w:p>
    <w:p>
      <w:pPr>
        <w:pStyle w:val="ImageCaption"/>
      </w:pPr>
      <w:r>
        <w:t xml:space="preserve">Shared-conflict-weight ablation, off vs. on, 14 threads: the known-hard list from Fig. </w:t>
      </w:r>
      <w:hyperlink w:anchor="fig:scaling">
        <w:r>
          <w:rPr>
            <w:rStyle w:val="Hyperlink"/>
          </w:rPr>
          <w:t xml:space="preserve">1</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33"/>
    <w:bookmarkEnd w:id="34"/>
    <w:bookmarkStart w:id="35" w:name="sec:ablation"/>
    <w:p>
      <w:pPr>
        <w:pStyle w:val="Heading2"/>
      </w:pPr>
      <w:r>
        <w:t xml:space="preserve">Isolating the Mechanism: A Shared-Weight Ablation</w:t>
      </w:r>
    </w:p>
    <w:p>
      <w:pPr>
        <w:pStyle w:val="FirstParagraph"/>
      </w:pPr>
      <w:r>
        <w:t xml:space="preserve">Everything above tests xfill’s architecture against a different codebase’s; this section tests xfill against itself, with one environment variable flipped: same solver, same grid, same dictionary, same 14 threads,</w:t>
      </w:r>
      <w:r>
        <w:t xml:space="preserve"> </w:t>
      </w:r>
      <w:r>
        <w:rPr>
          <w:rStyle w:val="VerbatimChar"/>
        </w:rPr>
        <w:t xml:space="preserve">XFILL_DISABLE_SHARED_WEIGHTS</w:t>
      </w:r>
      <w:r>
        <w:t xml:space="preserve"> </w:t>
      </w:r>
      <w:r>
        <w:t xml:space="preserve">on and off, several trials each, on grids from two independent sources: the known-hard list used throughout Section </w:t>
      </w:r>
      <w:hyperlink w:anchor="sec:experiments">
        <w:r>
          <w:rPr>
            <w:rStyle w:val="Hyperlink"/>
          </w:rPr>
          <w:t xml:space="preserve">5</w:t>
        </w:r>
      </w:hyperlink>
      <w:r>
        <w:t xml:space="preserve">, and three grids from the paper’s own main scraped-</w:t>
      </w:r>
      <m:oMath>
        <m:r>
          <m:t>15</m:t>
        </m:r>
        <m:r>
          <m:rPr>
            <m:sty m:val="p"/>
          </m:rPr>
          <m:t>×</m:t>
        </m:r>
        <m:r>
          <m:t>15</m:t>
        </m:r>
      </m:oMath>
      <w:r>
        <w:t xml:space="preserve"> </w:t>
      </w:r>
      <w:r>
        <w:t xml:space="preserve">corpus, to check the first result is not an artifact of one curated list.</w:t>
      </w:r>
    </w:p>
    <w:p>
      <w:pPr>
        <w:pStyle w:val="BodyText"/>
      </w:pPr>
      <w:r>
        <w:t xml:space="preserve">Fig. </w:t>
      </w:r>
      <w:hyperlink w:anchor="fig:ablation">
        <w:r>
          <w:rPr>
            <w:rStyle w:val="Hyperlink"/>
          </w:rPr>
          <w:t xml:space="preserve">4</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t>7</m:t>
        </m:r>
      </m:oMath>
      <w:r>
        <w:t xml:space="preserve">–</w:t>
      </w:r>
      <m:oMath>
        <m:r>
          <m:t>10</m:t>
        </m:r>
        <m:r>
          <m:rPr>
            <m:sty m:val="p"/>
          </m:rPr>
          <m:t>×</m:t>
        </m:r>
      </m:oMath>
      <w:r>
        <w:t xml:space="preserve"> </w:t>
      </w:r>
      <w:r>
        <w:t xml:space="preserve">win on the former (36.9s vs. 271.4s median), and actively worse on the latter – all 5 trials hit the 300s cap, where disabling shared weights solves it reliably at</w:t>
      </w:r>
      <w:r>
        <w:t xml:space="preserve"> </w:t>
      </w:r>
      <m:oMath>
        <m:r>
          <m:rPr>
            <m:sty m:val="p"/>
          </m:rPr>
          <m:t>∼</m:t>
        </m:r>
      </m:oMath>
      <w:r>
        <w:t xml:space="preserve">180s every time. That last result complicates Section </w:t>
      </w:r>
      <w:hyperlink w:anchor="sec:speedup">
        <w:r>
          <w:rPr>
            <w:rStyle w:val="Hyperlink"/>
          </w:rPr>
          <w:t xml:space="preserve">5.5</w:t>
        </w:r>
      </w:hyperlink>
      <w:r>
        <w:t xml:space="preserve">: the same run that gave xfill its completion advantage over orca-solver on</w:t>
      </w:r>
      <w:r>
        <w:t xml:space="preserve"> </w:t>
      </w:r>
      <w:r>
        <w:rPr>
          <w:rStyle w:val="VerbatimChar"/>
        </w:rPr>
        <w:t xml:space="preserve">grid_423</w:t>
      </w:r>
      <w:r>
        <w:t xml:space="preserve"> </w:t>
      </w:r>
      <w:r>
        <w:t xml:space="preserve">also timed out in 2 of its own 5 trials – shared weights are exactly what make that grid unreliable for xfill in the first place.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 the same standard Section </w:t>
      </w:r>
      <w:hyperlink w:anchor="sec:negative">
        <w:r>
          <w:rPr>
            <w:rStyle w:val="Hyperlink"/>
          </w:rPr>
          <w:t xml:space="preserve">4</w:t>
        </w:r>
      </w:hyperlink>
      <w:r>
        <w:t xml:space="preserve"> </w:t>
      </w:r>
      <w:r>
        <w:t xml:space="preserve">applies to the heuristics it rules out.</w:t>
      </w:r>
    </w:p>
    <w:bookmarkEnd w:id="35"/>
    <w:bookmarkEnd w:id="36"/>
    <w:bookmarkStart w:id="37"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which is why oversubscribing thread count helped in Section </w:t>
      </w:r>
      <w:hyperlink w:anchor="sec:oversub">
        <w:r>
          <w:rPr>
            <w:rStyle w:val="Hyperlink"/>
          </w:rPr>
          <w:t xml:space="preserve">5.2</w:t>
        </w:r>
      </w:hyperlink>
      <w:r>
        <w:t xml:space="preserve"> </w:t>
      </w:r>
      <w:r>
        <w:t xml:space="preserve">and Fig. </w:t>
      </w:r>
      <w:hyperlink w:anchor="fig:scaling">
        <w:r>
          <w:rPr>
            <w:rStyle w:val="Hyperlink"/>
          </w:rPr>
          <w:t xml:space="preserve">1</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3</w:t>
        </w:r>
      </w:hyperlink>
      <w:r>
        <w:t xml:space="preserve">) goes further: more draws can succeed where a fixed partition cannot. Partitioned search instead gives genuine non-overlapping coverage, which is what Section </w:t>
      </w:r>
      <w:hyperlink w:anchor="sec:exhaustive">
        <w:r>
          <w:rPr>
            <w:rStyle w:val="Hyperlink"/>
          </w:rPr>
          <w:t xml:space="preserve">5.6</w:t>
        </w:r>
      </w:hyperlink>
      <w:r>
        <w:t xml:space="preserve">’s proof of unsatisfiability required. The same heavy-tailedness explains Fig. </w:t>
      </w:r>
      <w:hyperlink w:anchor="fig:ablation">
        <w:r>
          <w:rPr>
            <w:rStyle w:val="Hyperlink"/>
          </w:rPr>
          <w:t xml:space="preserve">4</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7"/>
    <w:bookmarkStart w:id="38"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5.6</w:t>
        </w:r>
      </w:hyperlink>
      <w:r>
        <w:t xml:space="preserve">’s unsatisfiability result should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 five heuristics rendered indistinguishable by a precondition that kept them from ever executing – as a reusable caution for comparing branching heuristics by benchmark score alone. Nothing about the mechanism itself is specific to crossword filling: it needs only a wdeg-style weight table and a restart loop, both already common in CSP and lazy-clause-generation solvers – exactly the ingredients Section </w:t>
      </w:r>
      <w:hyperlink w:anchor="sec:relwork">
        <w:r>
          <w:rPr>
            <w:rStyle w:val="Hyperlink"/>
          </w:rPr>
          <w:t xml:space="preserve">2</w:t>
        </w:r>
      </w:hyperlink>
      <w:r>
        <w:t xml:space="preserve"> </w:t>
      </w:r>
      <w:r>
        <w:t xml:space="preserve">found no prior system combining this way.</w:t>
      </w:r>
    </w:p>
    <w:bookmarkEnd w:id="38"/>
    <w:bookmarkStart w:id="40" w:name="acknowledgment"/>
    <w:p>
      <w:pPr>
        <w:pStyle w:val="Heading1"/>
      </w:pPr>
      <w:r>
        <w:t xml:space="preserve">Acknowledgment</w:t>
      </w:r>
    </w:p>
    <w:p>
      <w:pPr>
        <w:pStyle w:val="FirstParagraph"/>
      </w:pPr>
      <w:r>
        <w:t xml:space="preserve">[Advisor/funding acknowledgments.]</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hyperlink r:id="rId39">
        <w:r>
          <w:rPr>
            <w:rStyle w:val="Hyperlink"/>
          </w:rPr>
          <w:t xml:space="preserve">crosswordgrids.com/15x15-crossword-grids</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4" Target="media/rId24.pdf" /><Relationship Type="http://schemas.openxmlformats.org/officeDocument/2006/relationships/image" Id="rId30" Target="media/rId30.pdf" /><Relationship Type="http://schemas.openxmlformats.org/officeDocument/2006/relationships/image" Id="rId14" Target="media/rId14.pdf" /><Relationship Type="http://schemas.openxmlformats.org/officeDocument/2006/relationships/hyperlink" Id="rId39" Target="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39" Target="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2026-08-06T22:23:33Z</dcterms:created>
  <dcterms:modified xsi:type="dcterms:W3CDTF">2026-08-06T22:23:33Z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