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no CSP work sharing heuristic statistics continuously among concurrent, non-partitioning workers; its own taxonomy has no category for it.</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5.3</w:t>
        </w:r>
      </w:hyperlink>
      <w:r>
        <w:t xml:space="preserve">), we implemented five letter-level branching variants – three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exhaustive">
        <w:r>
          <w:rPr>
            <w:rStyle w:val="Hyperlink"/>
          </w:rPr>
          <w:t xml:space="preserve">5.7</w:t>
        </w:r>
      </w:hyperlink>
      <w:r>
        <w:t xml:space="preserve"> </w:t>
      </w:r>
      <w:r>
        <w:t xml:space="preserve">then 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t>7</m:t>
        </m:r>
      </m:oMath>
      <w:r>
        <w:t xml:space="preserve">–</w:t>
      </w:r>
      <m:oMath>
        <m:r>
          <m:t>10</m:t>
        </m:r>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 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a known-hard</w:t>
      </w:r>
      <w:r>
        <w:t xml:space="preserve"> </w:t>
      </w:r>
      <m:oMath>
        <m:r>
          <m:t>7</m:t>
        </m:r>
        <m:r>
          <m:rPr>
            <m:sty m:val="p"/>
          </m:rPr>
          <m:t>×</m:t>
        </m:r>
        <m:r>
          <m:t>7</m:t>
        </m:r>
      </m:oMath>
      <w:r>
        <w:t xml:space="preserve"> </w:t>
      </w:r>
      <w:r>
        <w:t xml:space="preserve">grid (two pre-filled letters, no blocked cells, single sample), oversubscribing threads well past this machine’s 14 physical cores: wall time falls from 166.7s at 1 thread to 63.0s at 14, then wanders (104.6s at 28, 85.6s at 42, 112.4s at 56) as contention erodes further gains. Every configuration beats the 201.7s single-threaded baseline an independently developed partition-based solver publishes on the same grid – an external difficulty anchor, not a target being chased.</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 </w:t>
      </w:r>
      <w:r>
        <w:t xml:space="preserve">repeats the oversubscription experiment on three more grids, at 1 through 42 threads, for both xfill and orca-solver, to check whether Section </w:t>
      </w:r>
      <w:hyperlink w:anchor="sec:oversub">
        <w:r>
          <w:rPr>
            <w:rStyle w:val="Hyperlink"/>
          </w:rPr>
          <w:t xml:space="preserve">5.3</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 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 the cap these figures use –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Start w:id="35"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we constructed by hand a maximally constrained grid – five mutually crossing 15-letter entries, verified against both solvers’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where partitioning, not the restart portfolio, has the structural advantage – consistent with Section </w:t>
      </w:r>
      <w:hyperlink w:anchor="sec:relwork">
        <w:r>
          <w:rPr>
            <w:rStyle w:val="Hyperlink"/>
          </w:rPr>
          <w:t xml:space="preserve">2</w:t>
        </w:r>
      </w:hyperlink>
      <w:r>
        <w:t xml:space="preserve">.</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genuine non-overlapping coverage, which is what Section </w:t>
      </w:r>
      <w:hyperlink w:anchor="sec:exhaustive">
        <w:r>
          <w:rPr>
            <w:rStyle w:val="Hyperlink"/>
          </w:rPr>
          <w:t xml:space="preserve">5.7</w:t>
        </w:r>
      </w:hyperlink>
      <w:r>
        <w:t xml:space="preserve">’s proof of unsatisfiability required.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7"/>
    <w:bookmarkStart w:id="38"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5.7</w:t>
        </w:r>
      </w:hyperlink>
      <w:r>
        <w:t xml:space="preserve">’s unsatisfiability result should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8"/>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9">
        <w:r>
          <w:rPr>
            <w:rStyle w:val="Hyperlink"/>
          </w:rPr>
          <w:t xml:space="preserve">https://crosswordgrids.com/15x15-crossword-grids</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9" Target="https://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39" Target="https://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2026-08-07T14:30:05Z</dcterms:created>
  <dcterms:modified xsi:type="dcterms:W3CDTF">2026-08-07T14:30:05Z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