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F3864"/>
          <w:sz w:val="56"/>
          <w:szCs w:val="56"/>
        </w:rPr>
        <w:t xml:space="preserve">ClaimSync</w:t>
      </w:r>
    </w:p>
    <w:p>
      <w:pPr>
        <w:spacing w:after="60"/>
        <w:jc w:val="center"/>
      </w:pPr>
      <w:r>
        <w:rPr>
          <w:rFonts w:ascii="Arial" w:cs="Arial" w:eastAsia="Arial" w:hAnsi="Arial"/>
          <w:color w:val="2E75B6"/>
          <w:sz w:val="32"/>
          <w:szCs w:val="32"/>
        </w:rPr>
        <w:t xml:space="preserve">Enhancement &amp; Expansion Plan</w:t>
      </w:r>
    </w:p>
    <w:p>
      <w:pPr>
        <w:spacing w:after="80"/>
        <w:jc w:val="center"/>
      </w:pPr>
      <w:r>
        <w:rPr>
          <w:rFonts w:ascii="Arial" w:cs="Arial" w:eastAsia="Arial" w:hAnsi="Arial"/>
          <w:color w:val="888888"/>
          <w:sz w:val="22"/>
          <w:szCs w:val="22"/>
        </w:rPr>
        <w:t xml:space="preserve">Shafafiya API Full Coverage  |  Kaaryaa GenAI Solutions  |  March 2026</w:t>
      </w:r>
    </w:p>
    <w:p>
      <w:pPr>
        <w:spacing w:after="400"/>
        <w:jc w:val="center"/>
      </w:pPr>
      <w:r>
        <w:rPr>
          <w:rFonts w:ascii="Arial" w:cs="Arial" w:eastAsia="Arial" w:hAnsi="Arial"/>
          <w:b/>
          <w:bCs/>
          <w:color w:val="CC0000"/>
          <w:sz w:val="20"/>
          <w:szCs w:val="20"/>
        </w:rPr>
        <w:t xml:space="preserve">INTERNAL PLANNING DOCUMENT — CONFIDENTIAL</w:t>
      </w:r>
    </w:p>
    <w:p>
      <w:pPr>
        <w:pStyle w:val="Heading1"/>
        <w:spacing w:after="160" w:before="320"/>
      </w:pPr>
      <w:r>
        <w:rPr>
          <w:rFonts w:ascii="Arial" w:cs="Arial" w:eastAsia="Arial" w:hAnsi="Arial"/>
          <w:b/>
          <w:bCs/>
          <w:color w:val="1F3864"/>
          <w:sz w:val="32"/>
          <w:szCs w:val="32"/>
        </w:rPr>
        <w:t xml:space="preserve">1. Context &amp; Starting Point</w:t>
      </w:r>
    </w:p>
    <w:p>
      <w:pPr>
        <w:spacing w:after="100"/>
      </w:pPr>
      <w:r>
        <w:rPr>
          <w:rFonts w:ascii="Arial" w:cs="Arial" w:eastAsia="Arial" w:hAnsi="Arial"/>
          <w:sz w:val="22"/>
          <w:szCs w:val="22"/>
        </w:rPr>
        <w:t xml:space="preserve">ClaimSync Phase 3 is COMPLETE as of 14 March 2026. The platform automates daily download of claims, remittance, and resubmission files from the Shafafiya API for Abu Dhabi healthcare facilities. MF2618 is live, PF2576 pending. The engine runs daily at 06:00 UAE time, files land in Azure Blob Storage, full audit trail in PostgreSQL, monitored via App Insights.</w:t>
      </w:r>
    </w:p>
    <w:p>
      <w:pPr>
        <w:spacing w:after="80"/>
      </w:pPr>
      <w:r>
        <w:t xml:space="preserve"/>
      </w:r>
    </w:p>
    <w:p>
      <w:pPr>
        <w:spacing w:after="100"/>
      </w:pPr>
      <w:r>
        <w:rPr>
          <w:rFonts w:ascii="Arial" w:cs="Arial" w:eastAsia="Arial" w:hAnsi="Arial"/>
          <w:sz w:val="22"/>
          <w:szCs w:val="22"/>
        </w:rPr>
        <w:t xml:space="preserve">Current platform uses 2 of 13 available Shafafiya API operations. This document maps all 13 operations to a phased enhancement roadmap, and captures additional GenAI-powered features identified from Saleem's workflow and facility pain points.</w:t>
      </w:r>
    </w:p>
    <w:p>
      <w:pPr>
        <w:spacing w:after="80"/>
      </w:pPr>
      <w:r>
        <w:t xml:space="preserve"/>
      </w:r>
    </w:p>
    <w:p>
      <w:pPr>
        <w:pStyle w:val="Heading1"/>
        <w:spacing w:after="160" w:before="320"/>
      </w:pPr>
      <w:r>
        <w:rPr>
          <w:rFonts w:ascii="Arial" w:cs="Arial" w:eastAsia="Arial" w:hAnsi="Arial"/>
          <w:b/>
          <w:bCs/>
          <w:color w:val="1F3864"/>
          <w:sz w:val="32"/>
          <w:szCs w:val="32"/>
        </w:rPr>
        <w:t xml:space="preserve">2. Shafafiya API Coverage Map</w:t>
      </w:r>
    </w:p>
    <w:p>
      <w:pPr>
        <w:spacing w:after="100"/>
      </w:pPr>
      <w:r>
        <w:rPr>
          <w:rFonts w:ascii="Arial" w:cs="Arial" w:eastAsia="Arial" w:hAnsi="Arial"/>
          <w:sz w:val="22"/>
          <w:szCs w:val="22"/>
        </w:rPr>
        <w:t xml:space="preserve">Shafafiya Web Services Technical Definition v3.5 (DOH, Jan 2024) defines 13 operations across 6 categories. Current ClaimSync coverage and planned phase assignment: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2500"/>
        <w:gridCol w:w="1200"/>
        <w:gridCol w:w="1100"/>
        <w:gridCol w:w="1000"/>
        <w:gridCol w:w="3260"/>
      </w:tblGrid>
      <w:tr>
        <w:tc>
          <w:tcPr>
            <w:tcW w:type="dxa" w:w="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API Operation</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1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Current Status</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Planned Phase</w:t>
            </w:r>
          </w:p>
        </w:tc>
        <w:tc>
          <w:tcPr>
            <w:tcW w:type="dxa" w:w="32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Business Value</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SearchTransactions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Download</w:t>
            </w:r>
          </w:p>
        </w:tc>
        <w:tc>
          <w:tcPr>
            <w:tcW w:type="dxa" w:w="11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LIVE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3</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Core — search by date window, 2-hr intervals</w:t>
            </w:r>
          </w:p>
        </w:tc>
      </w:tr>
      <w:tr>
        <w:tc>
          <w:tcPr>
            <w:tcW w:type="dxa" w:w="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DownloadTransactionFile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Download</w:t>
            </w:r>
          </w:p>
        </w:tc>
        <w:tc>
          <w:tcPr>
            <w:tcW w:type="dxa" w:w="11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sz w:val="20"/>
                <w:szCs w:val="20"/>
              </w:rPr>
              <w:t xml:space="preserve">LIVE</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Phase 3</w:t>
            </w:r>
          </w:p>
        </w:tc>
        <w:tc>
          <w:tcPr>
            <w:tcW w:type="dxa" w:w="3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Core — download file by FileID</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GetNewTransactions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Download</w:t>
            </w:r>
          </w:p>
        </w:tc>
        <w:tc>
          <w:tcPr>
            <w:tcW w:type="dxa" w:w="11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0"/>
                <w:szCs w:val="20"/>
              </w:rPr>
              <w:t xml:space="preserve">Planned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4</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 new-file detection (unread queue)</w:t>
            </w:r>
          </w:p>
        </w:tc>
      </w:tr>
      <w:tr>
        <w:tc>
          <w:tcPr>
            <w:tcW w:type="dxa" w:w="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SetTransactionDownloaded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Download</w:t>
            </w:r>
          </w:p>
        </w:tc>
        <w:tc>
          <w:tcPr>
            <w:tcW w:type="dxa" w:w="11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0"/>
                <w:szCs w:val="20"/>
              </w:rPr>
              <w:t xml:space="preserve">Planned</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Phase 4</w:t>
            </w:r>
          </w:p>
        </w:tc>
        <w:tc>
          <w:tcPr>
            <w:tcW w:type="dxa" w:w="3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Mark files read on Shafafiya side — proper dedup</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GetClaimCountReconciliation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Reconciliation</w:t>
            </w:r>
          </w:p>
        </w:tc>
        <w:tc>
          <w:tcPr>
            <w:tcW w:type="dxa" w:w="11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0"/>
                <w:szCs w:val="20"/>
              </w:rPr>
              <w:t xml:space="preserve">Planned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4</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Upload vs download count per payer — billing trust</w:t>
            </w:r>
          </w:p>
        </w:tc>
      </w:tr>
      <w:tr>
        <w:tc>
          <w:tcPr>
            <w:tcW w:type="dxa" w:w="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6</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CheckForNewPriorAuthTransactions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Prior Auth</w:t>
            </w:r>
          </w:p>
        </w:tc>
        <w:tc>
          <w:tcPr>
            <w:tcW w:type="dxa" w:w="11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0"/>
                <w:szCs w:val="20"/>
              </w:rPr>
              <w:t xml:space="preserve">Planned</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Phase 4</w:t>
            </w:r>
          </w:p>
        </w:tc>
        <w:tc>
          <w:tcPr>
            <w:tcW w:type="dxa" w:w="3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Poll for new prior auth requests — zero manual check</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GetNewPriorAuthorizationTransactions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Prior Auth</w:t>
            </w:r>
          </w:p>
        </w:tc>
        <w:tc>
          <w:tcPr>
            <w:tcW w:type="dxa" w:w="11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0"/>
                <w:szCs w:val="20"/>
              </w:rPr>
              <w:t xml:space="preserve">Planned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4</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Download prior auth files — full prior auth loop</w:t>
            </w:r>
          </w:p>
        </w:tc>
      </w:tr>
      <w:tr>
        <w:tc>
          <w:tcPr>
            <w:tcW w:type="dxa" w:w="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8</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UploadTransaction</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Upload</w:t>
            </w:r>
          </w:p>
        </w:tc>
        <w:tc>
          <w:tcPr>
            <w:tcW w:type="dxa" w:w="11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0"/>
                <w:szCs w:val="20"/>
              </w:rPr>
              <w:t xml:space="preserve">Phase 5</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Phase 5</w:t>
            </w:r>
          </w:p>
        </w:tc>
        <w:tc>
          <w:tcPr>
            <w:tcW w:type="dxa" w:w="3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Submit claim XML to Shafafiya — MAJOR expansion</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AddDRGToEClaim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DRG</w:t>
            </w:r>
          </w:p>
        </w:tc>
        <w:tc>
          <w:tcPr>
            <w:tcW w:type="dxa" w:w="11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0"/>
                <w:szCs w:val="20"/>
              </w:rPr>
              <w:t xml:space="preserve">Phase 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5</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Auto-attach DRG codes before upload</w:t>
            </w:r>
          </w:p>
        </w:tc>
      </w:tr>
      <w:tr>
        <w:tc>
          <w:tcPr>
            <w:tcW w:type="dxa" w:w="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10</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GetDRGDetails</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DRG</w:t>
            </w:r>
          </w:p>
        </w:tc>
        <w:tc>
          <w:tcPr>
            <w:tcW w:type="dxa" w:w="11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0"/>
                <w:szCs w:val="20"/>
              </w:rPr>
              <w:t xml:space="preserve">Phase 5</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Phase 5</w:t>
            </w:r>
          </w:p>
        </w:tc>
        <w:tc>
          <w:tcPr>
            <w:tcW w:type="dxa" w:w="3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DRG code + weight calculation service</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GetPersonInsuranceHistory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Insurance</w:t>
            </w:r>
          </w:p>
        </w:tc>
        <w:tc>
          <w:tcPr>
            <w:tcW w:type="dxa" w:w="11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Arial" w:cs="Arial" w:eastAsia="Arial" w:hAnsi="Arial"/>
                <w:sz w:val="20"/>
                <w:szCs w:val="20"/>
              </w:rPr>
              <w:t xml:space="preserve">Phase 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5</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Patient insurance history — eligibility check</w:t>
            </w:r>
          </w:p>
        </w:tc>
      </w:tr>
      <w:tr>
        <w:tc>
          <w:tcPr>
            <w:tcW w:type="dxa" w:w="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12</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GetInsuranceContinuityCertificate</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COC</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Phase 6</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Phase 6</w:t>
            </w:r>
          </w:p>
        </w:tc>
        <w:tc>
          <w:tcPr>
            <w:tcW w:type="dxa" w:w="32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Calculate insurance penalty for members</w:t>
            </w:r>
          </w:p>
        </w:tc>
      </w:tr>
      <w:tr>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CancelInsuranceContinuityCertificate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COC</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Phase 6</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6</w:t>
            </w:r>
          </w:p>
        </w:tc>
        <w:tc>
          <w:tcPr>
            <w:tcW w:type="dxa" w:w="3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Cancel COC — insurance team workflow</w:t>
            </w:r>
          </w:p>
        </w:tc>
      </w:tr>
    </w:tbl>
    <w:p>
      <w:pPr>
        <w:spacing w:after="80"/>
      </w:pPr>
      <w:r>
        <w:t xml:space="preserve"/>
      </w:r>
    </w:p>
    <w:p>
      <w:pPr>
        <w:pStyle w:val="Heading1"/>
        <w:spacing w:after="160" w:before="320"/>
      </w:pPr>
      <w:r>
        <w:rPr>
          <w:rFonts w:ascii="Arial" w:cs="Arial" w:eastAsia="Arial" w:hAnsi="Arial"/>
          <w:b/>
          <w:bCs/>
          <w:color w:val="1F3864"/>
          <w:sz w:val="32"/>
          <w:szCs w:val="32"/>
        </w:rPr>
        <w:t xml:space="preserve">3. Enhancement Phases — Detail</w:t>
      </w:r>
    </w:p>
    <w:p>
      <w:pPr>
        <w:pStyle w:val="Heading2"/>
        <w:spacing w:after="120" w:before="240"/>
      </w:pPr>
      <w:r>
        <w:rPr>
          <w:rFonts w:ascii="Arial" w:cs="Arial" w:eastAsia="Arial" w:hAnsi="Arial"/>
          <w:b/>
          <w:bCs/>
          <w:color w:val="2E75B6"/>
          <w:sz w:val="26"/>
          <w:szCs w:val="26"/>
        </w:rPr>
        <w:t xml:space="preserve">Phase 4 — Stability, Reconciliation &amp; Prior Auth  (Q2 2026)</w:t>
      </w:r>
    </w:p>
    <w:p>
      <w:pPr>
        <w:spacing w:after="100"/>
      </w:pPr>
      <w:r>
        <w:rPr>
          <w:rFonts w:ascii="Arial" w:cs="Arial" w:eastAsia="Arial" w:hAnsi="Arial"/>
          <w:sz w:val="22"/>
          <w:szCs w:val="22"/>
        </w:rPr>
        <w:t xml:space="preserve">Priority: Complete the download story. Facilities need confidence that nothing is missed, and prior auth is a daily unaddressed pain.</w:t>
      </w:r>
    </w:p>
    <w:p>
      <w:pPr>
        <w:spacing w:after="80"/>
      </w:pPr>
      <w:r>
        <w:t xml:space="preserve"/>
      </w:r>
    </w:p>
    <w:p>
      <w:pPr>
        <w:spacing w:after="80" w:before="160"/>
      </w:pPr>
      <w:r>
        <w:rPr>
          <w:rFonts w:ascii="Arial" w:cs="Arial" w:eastAsia="Arial" w:hAnsi="Arial"/>
          <w:b/>
          <w:bCs/>
          <w:color w:val="404040"/>
          <w:sz w:val="24"/>
          <w:szCs w:val="24"/>
        </w:rPr>
        <w:t xml:space="preserve">4.1  SetTransactionDownloaded</w:t>
      </w:r>
    </w:p>
    <w:p>
      <w:pPr>
        <w:spacing w:after="100"/>
      </w:pPr>
      <w:r>
        <w:rPr>
          <w:rFonts w:ascii="Arial" w:cs="Arial" w:eastAsia="Arial" w:hAnsi="Arial"/>
          <w:sz w:val="22"/>
          <w:szCs w:val="22"/>
        </w:rPr>
        <w:t xml:space="preserve">Currently ClaimSync tracks dedup via file_manifest DB table only. The Shafafiya API has its own downloaded flag — GetNewTransactions returns only files not yet marked downloaded. Calling SetTransactionDownloaded after each file properly marks it on the Shafafiya side, enabling GetNewTransactions as a faster alternative to SearchTransactions for polling new files.</w:t>
      </w:r>
    </w:p>
    <w:p>
      <w:pPr>
        <w:pStyle w:val="ListParagraph"/>
        <w:numPr>
          <w:ilvl w:val="0"/>
          <w:numId w:val="2"/>
        </w:numPr>
        <w:spacing w:after="60"/>
      </w:pPr>
      <w:r>
        <w:rPr>
          <w:rFonts w:ascii="Arial" w:cs="Arial" w:eastAsia="Arial" w:hAnsi="Arial"/>
          <w:sz w:val="22"/>
          <w:szCs w:val="22"/>
        </w:rPr>
        <w:t xml:space="preserve">Add SetTransactionDownloaded call after successful DownloadTransactionFile in ClaimSync2.py</w:t>
      </w:r>
    </w:p>
    <w:p>
      <w:pPr>
        <w:pStyle w:val="ListParagraph"/>
        <w:numPr>
          <w:ilvl w:val="0"/>
          <w:numId w:val="2"/>
        </w:numPr>
        <w:spacing w:after="60"/>
      </w:pPr>
      <w:r>
        <w:rPr>
          <w:rFonts w:ascii="Arial" w:cs="Arial" w:eastAsia="Arial" w:hAnsi="Arial"/>
          <w:sz w:val="22"/>
          <w:szCs w:val="22"/>
        </w:rPr>
        <w:t xml:space="preserve">Engine change: small — ~20 lines in GetHistoryTxnFileDownload()</w:t>
      </w:r>
    </w:p>
    <w:p>
      <w:pPr>
        <w:pStyle w:val="ListParagraph"/>
        <w:numPr>
          <w:ilvl w:val="0"/>
          <w:numId w:val="2"/>
        </w:numPr>
        <w:spacing w:after="60"/>
      </w:pPr>
      <w:r>
        <w:rPr>
          <w:rFonts w:ascii="Arial" w:cs="Arial" w:eastAsia="Arial" w:hAnsi="Arial"/>
          <w:sz w:val="22"/>
          <w:szCs w:val="22"/>
        </w:rPr>
        <w:t xml:space="preserve">Enables GetNewTransactions as lighter daily poll (no date range needed)</w:t>
      </w:r>
    </w:p>
    <w:p>
      <w:pPr>
        <w:spacing w:after="80"/>
      </w:pPr>
      <w:r>
        <w:t xml:space="preserve"/>
      </w:r>
    </w:p>
    <w:p>
      <w:pPr>
        <w:spacing w:after="80" w:before="160"/>
      </w:pPr>
      <w:r>
        <w:rPr>
          <w:rFonts w:ascii="Arial" w:cs="Arial" w:eastAsia="Arial" w:hAnsi="Arial"/>
          <w:b/>
          <w:bCs/>
          <w:color w:val="404040"/>
          <w:sz w:val="24"/>
          <w:szCs w:val="24"/>
        </w:rPr>
        <w:t xml:space="preserve">4.2  GetClaimCountReconciliation</w:t>
      </w:r>
    </w:p>
    <w:p>
      <w:pPr>
        <w:spacing w:after="100"/>
      </w:pPr>
      <w:r>
        <w:rPr>
          <w:rFonts w:ascii="Arial" w:cs="Arial" w:eastAsia="Arial" w:hAnsi="Arial"/>
          <w:sz w:val="22"/>
          <w:szCs w:val="22"/>
        </w:rPr>
        <w:t xml:space="preserve">Allows facilities to verify: for a given date, how many files did each payer upload vs how many ClaimSync downloaded. This is currently a manual monthly exercise. Automating it builds enormous trust with facility finance teams and is a strong differentiator.</w:t>
      </w:r>
    </w:p>
    <w:p>
      <w:pPr>
        <w:pStyle w:val="ListParagraph"/>
        <w:numPr>
          <w:ilvl w:val="0"/>
          <w:numId w:val="2"/>
        </w:numPr>
        <w:spacing w:after="60"/>
      </w:pPr>
      <w:r>
        <w:rPr>
          <w:rFonts w:ascii="Arial" w:cs="Arial" w:eastAsia="Arial" w:hAnsi="Arial"/>
          <w:sz w:val="22"/>
          <w:szCs w:val="22"/>
        </w:rPr>
        <w:t xml:space="preserve">New API endpoint: POST /facilities/{id}/reconcile?date=DD/MM/YYYY</w:t>
      </w:r>
    </w:p>
    <w:p>
      <w:pPr>
        <w:pStyle w:val="ListParagraph"/>
        <w:numPr>
          <w:ilvl w:val="0"/>
          <w:numId w:val="2"/>
        </w:numPr>
        <w:spacing w:after="60"/>
      </w:pPr>
      <w:r>
        <w:rPr>
          <w:rFonts w:ascii="Arial" w:cs="Arial" w:eastAsia="Arial" w:hAnsi="Arial"/>
          <w:sz w:val="22"/>
          <w:szCs w:val="22"/>
        </w:rPr>
        <w:t xml:space="preserve">Dashboard widget: daily reconciliation status per payer (green = match, amber = gap)</w:t>
      </w:r>
    </w:p>
    <w:p>
      <w:pPr>
        <w:pStyle w:val="ListParagraph"/>
        <w:numPr>
          <w:ilvl w:val="0"/>
          <w:numId w:val="2"/>
        </w:numPr>
        <w:spacing w:after="60"/>
      </w:pPr>
      <w:r>
        <w:rPr>
          <w:rFonts w:ascii="Arial" w:cs="Arial" w:eastAsia="Arial" w:hAnsi="Arial"/>
          <w:sz w:val="22"/>
          <w:szCs w:val="22"/>
        </w:rPr>
        <w:t xml:space="preserve">Email/WhatsApp alert if download count &lt; upload count for any payer</w:t>
      </w:r>
    </w:p>
    <w:p>
      <w:pPr>
        <w:pStyle w:val="ListParagraph"/>
        <w:numPr>
          <w:ilvl w:val="0"/>
          <w:numId w:val="2"/>
        </w:numPr>
        <w:spacing w:after="60"/>
      </w:pPr>
      <w:r>
        <w:rPr>
          <w:rFonts w:ascii="Arial" w:cs="Arial" w:eastAsia="Arial" w:hAnsi="Arial"/>
          <w:sz w:val="22"/>
          <w:szCs w:val="22"/>
        </w:rPr>
        <w:t xml:space="preserve">Data stored in new DB table: claim_reconciliation_log</w:t>
      </w:r>
    </w:p>
    <w:p>
      <w:pPr>
        <w:spacing w:after="80"/>
      </w:pPr>
      <w:r>
        <w:t xml:space="preserve"/>
      </w:r>
    </w:p>
    <w:p>
      <w:pPr>
        <w:spacing w:after="80" w:before="160"/>
      </w:pPr>
      <w:r>
        <w:rPr>
          <w:rFonts w:ascii="Arial" w:cs="Arial" w:eastAsia="Arial" w:hAnsi="Arial"/>
          <w:b/>
          <w:bCs/>
          <w:color w:val="404040"/>
          <w:sz w:val="24"/>
          <w:szCs w:val="24"/>
        </w:rPr>
        <w:t xml:space="preserve">4.3  Prior Authorization Download</w:t>
      </w:r>
    </w:p>
    <w:p>
      <w:pPr>
        <w:spacing w:after="100"/>
      </w:pPr>
      <w:r>
        <w:rPr>
          <w:rFonts w:ascii="Arial" w:cs="Arial" w:eastAsia="Arial" w:hAnsi="Arial"/>
          <w:sz w:val="22"/>
          <w:szCs w:val="22"/>
        </w:rPr>
        <w:t xml:space="preserve">Prior auth is a separate workflow — facilities submit prior auth requests and then must manually check whether authorizations have been received. Two API calls handle this: CheckForNewPriorAuthorizationTransactions (returns count) and GetNewPriorAuthorizationTransactions (returns file list + download).</w:t>
      </w:r>
    </w:p>
    <w:p>
      <w:pPr>
        <w:pStyle w:val="ListParagraph"/>
        <w:numPr>
          <w:ilvl w:val="0"/>
          <w:numId w:val="2"/>
        </w:numPr>
        <w:spacing w:after="60"/>
      </w:pPr>
      <w:r>
        <w:rPr>
          <w:rFonts w:ascii="Arial" w:cs="Arial" w:eastAsia="Arial" w:hAnsi="Arial"/>
          <w:sz w:val="22"/>
          <w:szCs w:val="22"/>
        </w:rPr>
        <w:t xml:space="preserve">Add prior_auth as a third download type alongside claims and remittance</w:t>
      </w:r>
    </w:p>
    <w:p>
      <w:pPr>
        <w:pStyle w:val="ListParagraph"/>
        <w:numPr>
          <w:ilvl w:val="0"/>
          <w:numId w:val="2"/>
        </w:numPr>
        <w:spacing w:after="60"/>
      </w:pPr>
      <w:r>
        <w:rPr>
          <w:rFonts w:ascii="Arial" w:cs="Arial" w:eastAsia="Arial" w:hAnsi="Arial"/>
          <w:sz w:val="22"/>
          <w:szCs w:val="22"/>
        </w:rPr>
        <w:t xml:space="preserve">New Blob container subfolder: prior_auth/</w:t>
      </w:r>
    </w:p>
    <w:p>
      <w:pPr>
        <w:pStyle w:val="ListParagraph"/>
        <w:numPr>
          <w:ilvl w:val="0"/>
          <w:numId w:val="2"/>
        </w:numPr>
        <w:spacing w:after="60"/>
      </w:pPr>
      <w:r>
        <w:rPr>
          <w:rFonts w:ascii="Arial" w:cs="Arial" w:eastAsia="Arial" w:hAnsi="Arial"/>
          <w:sz w:val="22"/>
          <w:szCs w:val="22"/>
        </w:rPr>
        <w:t xml:space="preserve">New file_type value in file_manifest: 'prior_auth'</w:t>
      </w:r>
    </w:p>
    <w:p>
      <w:pPr>
        <w:pStyle w:val="ListParagraph"/>
        <w:numPr>
          <w:ilvl w:val="0"/>
          <w:numId w:val="2"/>
        </w:numPr>
        <w:spacing w:after="60"/>
      </w:pPr>
      <w:r>
        <w:rPr>
          <w:rFonts w:ascii="Arial" w:cs="Arial" w:eastAsia="Arial" w:hAnsi="Arial"/>
          <w:sz w:val="22"/>
          <w:szCs w:val="22"/>
        </w:rPr>
        <w:t xml:space="preserve">Dashboard tab: Prior Auth — showing pending vs received</w:t>
      </w:r>
    </w:p>
    <w:p>
      <w:pPr>
        <w:pStyle w:val="ListParagraph"/>
        <w:numPr>
          <w:ilvl w:val="0"/>
          <w:numId w:val="2"/>
        </w:numPr>
        <w:spacing w:after="60"/>
      </w:pPr>
      <w:r>
        <w:rPr>
          <w:rFonts w:ascii="Arial" w:cs="Arial" w:eastAsia="Arial" w:hAnsi="Arial"/>
          <w:sz w:val="22"/>
          <w:szCs w:val="22"/>
        </w:rPr>
        <w:t xml:space="preserve">Engine change: add mainsub() calls for prior auth after remittance loop</w:t>
      </w:r>
    </w:p>
    <w:p>
      <w:pPr>
        <w:spacing w:after="80"/>
      </w:pPr>
      <w:r>
        <w:t xml:space="preserve"/>
      </w:r>
    </w:p>
    <w:p>
      <w:pPr>
        <w:spacing w:after="80" w:before="160"/>
      </w:pPr>
      <w:r>
        <w:rPr>
          <w:rFonts w:ascii="Arial" w:cs="Arial" w:eastAsia="Arial" w:hAnsi="Arial"/>
          <w:b/>
          <w:bCs/>
          <w:color w:val="404040"/>
          <w:sz w:val="24"/>
          <w:szCs w:val="24"/>
        </w:rPr>
        <w:t xml:space="preserve">Phase 4 — Pricing Impact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0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Current (Phase 3)</w:t>
            </w:r>
          </w:p>
        </w:tc>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After Phase 4</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Starter (AED 499/mo)</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Auto-sync, dashboard, file browser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reconciliation report, prior auth download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 (AED 999/mo)</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Starter + API access</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Add: reconciliation alerts, prior auth monitoring</w:t>
            </w:r>
          </w:p>
        </w:tc>
      </w:tr>
    </w:tbl>
    <w:p>
      <w:pPr>
        <w:spacing w:after="80"/>
      </w:pPr>
      <w:r>
        <w:t xml:space="preserve"/>
      </w:r>
    </w:p>
    <w:p>
      <w:pPr>
        <w:pStyle w:val="Heading2"/>
        <w:spacing w:after="120" w:before="240"/>
      </w:pPr>
      <w:r>
        <w:rPr>
          <w:rFonts w:ascii="Arial" w:cs="Arial" w:eastAsia="Arial" w:hAnsi="Arial"/>
          <w:b/>
          <w:bCs/>
          <w:color w:val="2E75B6"/>
          <w:sz w:val="26"/>
          <w:szCs w:val="26"/>
        </w:rPr>
        <w:t xml:space="preserve">Phase 5 — Bidirectional Platform: Upload + DRG + Eligibility  (Q3 2026)</w:t>
      </w:r>
    </w:p>
    <w:p>
      <w:pPr>
        <w:spacing w:after="100"/>
      </w:pPr>
      <w:r>
        <w:rPr>
          <w:rFonts w:ascii="Arial" w:cs="Arial" w:eastAsia="Arial" w:hAnsi="Arial"/>
          <w:sz w:val="22"/>
          <w:szCs w:val="22"/>
        </w:rPr>
        <w:t xml:space="preserve">Phase 5 transforms ClaimSync from a download tool into a full claims workflow platform. This is the single biggest revenue multiplier — facilities currently submit claims manually via the DOH portal or through expensive HIS modules.</w:t>
      </w:r>
    </w:p>
    <w:p>
      <w:pPr>
        <w:spacing w:after="80"/>
      </w:pPr>
      <w:r>
        <w:t xml:space="preserve"/>
      </w:r>
    </w:p>
    <w:p>
      <w:pPr>
        <w:spacing w:after="80" w:before="160"/>
      </w:pPr>
      <w:r>
        <w:rPr>
          <w:rFonts w:ascii="Arial" w:cs="Arial" w:eastAsia="Arial" w:hAnsi="Arial"/>
          <w:b/>
          <w:bCs/>
          <w:color w:val="404040"/>
          <w:sz w:val="24"/>
          <w:szCs w:val="24"/>
        </w:rPr>
        <w:t xml:space="preserve">5.1  UploadTransaction — Claim Submission</w:t>
      </w:r>
    </w:p>
    <w:p>
      <w:pPr>
        <w:spacing w:after="100"/>
      </w:pPr>
      <w:r>
        <w:rPr>
          <w:rFonts w:ascii="Arial" w:cs="Arial" w:eastAsia="Arial" w:hAnsi="Arial"/>
          <w:sz w:val="22"/>
          <w:szCs w:val="22"/>
        </w:rPr>
        <w:t xml:space="preserve">Facilities prepare claim XML files (per Shafafiya schema) and ClaimSync uploads them directly to the DOH. This eliminates the manual DOH portal login for submission and enables the full loop: submit → wait → download response/remittance — all automated.</w:t>
      </w:r>
    </w:p>
    <w:p>
      <w:pPr>
        <w:pStyle w:val="ListParagraph"/>
        <w:numPr>
          <w:ilvl w:val="0"/>
          <w:numId w:val="2"/>
        </w:numPr>
        <w:spacing w:after="60"/>
      </w:pPr>
      <w:r>
        <w:rPr>
          <w:rFonts w:ascii="Arial" w:cs="Arial" w:eastAsia="Arial" w:hAnsi="Arial"/>
          <w:sz w:val="22"/>
          <w:szCs w:val="22"/>
        </w:rPr>
        <w:t xml:space="preserve">New dashboard page: Claim Submission — upload XML file, track submission status</w:t>
      </w:r>
    </w:p>
    <w:p>
      <w:pPr>
        <w:pStyle w:val="ListParagraph"/>
        <w:numPr>
          <w:ilvl w:val="0"/>
          <w:numId w:val="2"/>
        </w:numPr>
        <w:spacing w:after="60"/>
      </w:pPr>
      <w:r>
        <w:rPr>
          <w:rFonts w:ascii="Arial" w:cs="Arial" w:eastAsia="Arial" w:hAnsi="Arial"/>
          <w:sz w:val="22"/>
          <w:szCs w:val="22"/>
        </w:rPr>
        <w:t xml:space="preserve">New API endpoints: POST /facilities/{id}/submit, GET /facilities/{id}/submissions</w:t>
      </w:r>
    </w:p>
    <w:p>
      <w:pPr>
        <w:pStyle w:val="ListParagraph"/>
        <w:numPr>
          <w:ilvl w:val="0"/>
          <w:numId w:val="2"/>
        </w:numPr>
        <w:spacing w:after="60"/>
      </w:pPr>
      <w:r>
        <w:rPr>
          <w:rFonts w:ascii="Arial" w:cs="Arial" w:eastAsia="Arial" w:hAnsi="Arial"/>
          <w:sz w:val="22"/>
          <w:szCs w:val="22"/>
        </w:rPr>
        <w:t xml:space="preserve">Validation before upload: schema check, required field check, DRG attachment</w:t>
      </w:r>
    </w:p>
    <w:p>
      <w:pPr>
        <w:pStyle w:val="ListParagraph"/>
        <w:numPr>
          <w:ilvl w:val="0"/>
          <w:numId w:val="2"/>
        </w:numPr>
        <w:spacing w:after="60"/>
      </w:pPr>
      <w:r>
        <w:rPr>
          <w:rFonts w:ascii="Arial" w:cs="Arial" w:eastAsia="Arial" w:hAnsi="Arial"/>
          <w:sz w:val="22"/>
          <w:szCs w:val="22"/>
        </w:rPr>
        <w:t xml:space="preserve">TransactionID stored in new DB table: claim_submissions</w:t>
      </w:r>
    </w:p>
    <w:p>
      <w:pPr>
        <w:pStyle w:val="ListParagraph"/>
        <w:numPr>
          <w:ilvl w:val="0"/>
          <w:numId w:val="2"/>
        </w:numPr>
        <w:spacing w:after="60"/>
      </w:pPr>
      <w:r>
        <w:rPr>
          <w:rFonts w:ascii="Arial" w:cs="Arial" w:eastAsia="Arial" w:hAnsi="Arial"/>
          <w:sz w:val="22"/>
          <w:szCs w:val="22"/>
        </w:rPr>
        <w:t xml:space="preserve">Error report from Shafafiya displayed in dashboard if validation fails</w:t>
      </w:r>
    </w:p>
    <w:p>
      <w:pPr>
        <w:pStyle w:val="ListParagraph"/>
        <w:numPr>
          <w:ilvl w:val="0"/>
          <w:numId w:val="2"/>
        </w:numPr>
        <w:spacing w:after="60"/>
      </w:pPr>
      <w:r>
        <w:rPr>
          <w:rFonts w:ascii="Arial" w:cs="Arial" w:eastAsia="Arial" w:hAnsi="Arial"/>
          <w:sz w:val="22"/>
          <w:szCs w:val="22"/>
        </w:rPr>
        <w:t xml:space="preserve">Saleem can see all facility submissions from admin portal</w:t>
      </w:r>
    </w:p>
    <w:p>
      <w:pPr>
        <w:spacing w:after="100"/>
      </w:pPr>
      <w:r>
        <w:rPr>
          <w:rFonts w:ascii="Arial" w:cs="Arial" w:eastAsia="Arial" w:hAnsi="Arial"/>
          <w:sz w:val="22"/>
          <w:szCs w:val="22"/>
        </w:rPr>
        <w:t xml:space="preserve">Note: UploadTransaction returns an errorReport byte array — need IDP/XML parser to display errors in human-readable form. This is the first GenAI integration point.</w:t>
      </w:r>
    </w:p>
    <w:p>
      <w:pPr>
        <w:spacing w:after="80"/>
      </w:pPr>
      <w:r>
        <w:t xml:space="preserve"/>
      </w:r>
    </w:p>
    <w:p>
      <w:pPr>
        <w:spacing w:after="80" w:before="160"/>
      </w:pPr>
      <w:r>
        <w:rPr>
          <w:rFonts w:ascii="Arial" w:cs="Arial" w:eastAsia="Arial" w:hAnsi="Arial"/>
          <w:b/>
          <w:bCs/>
          <w:color w:val="404040"/>
          <w:sz w:val="24"/>
          <w:szCs w:val="24"/>
        </w:rPr>
        <w:t xml:space="preserve">5.2  DRG Integration (AddDRGToEClaim + GetDRGDetails)</w:t>
      </w:r>
    </w:p>
    <w:p>
      <w:pPr>
        <w:spacing w:after="100"/>
      </w:pPr>
      <w:r>
        <w:rPr>
          <w:rFonts w:ascii="Arial" w:cs="Arial" w:eastAsia="Arial" w:hAnsi="Arial"/>
          <w:sz w:val="22"/>
          <w:szCs w:val="22"/>
        </w:rPr>
        <w:t xml:space="preserve">Many Abu Dhabi claims require DRG (Diagnosis Related Group) codes — a grouping algorithm that assigns a standard cost category to inpatient encounters. Facilities currently either use a separate HIS module or submit without DRG (causing rejections).</w:t>
      </w:r>
    </w:p>
    <w:p>
      <w:pPr>
        <w:pStyle w:val="ListParagraph"/>
        <w:numPr>
          <w:ilvl w:val="0"/>
          <w:numId w:val="2"/>
        </w:numPr>
        <w:spacing w:after="60"/>
      </w:pPr>
      <w:r>
        <w:rPr>
          <w:rFonts w:ascii="Arial" w:cs="Arial" w:eastAsia="Arial" w:hAnsi="Arial"/>
          <w:sz w:val="22"/>
          <w:szCs w:val="22"/>
        </w:rPr>
        <w:t xml:space="preserve">Pre-submission DRG check: before uploading claim XML, call GetDRGDetails</w:t>
      </w:r>
    </w:p>
    <w:p>
      <w:pPr>
        <w:pStyle w:val="ListParagraph"/>
        <w:numPr>
          <w:ilvl w:val="0"/>
          <w:numId w:val="2"/>
        </w:numPr>
        <w:spacing w:after="60"/>
      </w:pPr>
      <w:r>
        <w:rPr>
          <w:rFonts w:ascii="Arial" w:cs="Arial" w:eastAsia="Arial" w:hAnsi="Arial"/>
          <w:sz w:val="22"/>
          <w:szCs w:val="22"/>
        </w:rPr>
        <w:t xml:space="preserve">If DRG required: call AddDRGToEClaim to generate DRG-enriched file automatically</w:t>
      </w:r>
    </w:p>
    <w:p>
      <w:pPr>
        <w:pStyle w:val="ListParagraph"/>
        <w:numPr>
          <w:ilvl w:val="0"/>
          <w:numId w:val="2"/>
        </w:numPr>
        <w:spacing w:after="60"/>
      </w:pPr>
      <w:r>
        <w:rPr>
          <w:rFonts w:ascii="Arial" w:cs="Arial" w:eastAsia="Arial" w:hAnsi="Arial"/>
          <w:sz w:val="22"/>
          <w:szCs w:val="22"/>
        </w:rPr>
        <w:t xml:space="preserve">DRG result stored alongside claim submission record</w:t>
      </w:r>
    </w:p>
    <w:p>
      <w:pPr>
        <w:pStyle w:val="ListParagraph"/>
        <w:numPr>
          <w:ilvl w:val="0"/>
          <w:numId w:val="2"/>
        </w:numPr>
        <w:spacing w:after="60"/>
      </w:pPr>
      <w:r>
        <w:rPr>
          <w:rFonts w:ascii="Arial" w:cs="Arial" w:eastAsia="Arial" w:hAnsi="Arial"/>
          <w:sz w:val="22"/>
          <w:szCs w:val="22"/>
        </w:rPr>
        <w:t xml:space="preserve">Dashboard: DRG code + weight displayed per claim</w:t>
      </w:r>
    </w:p>
    <w:p>
      <w:pPr>
        <w:spacing w:after="100"/>
      </w:pPr>
      <w:r>
        <w:rPr>
          <w:rFonts w:ascii="Arial" w:cs="Arial" w:eastAsia="Arial" w:hAnsi="Arial"/>
          <w:sz w:val="22"/>
          <w:szCs w:val="22"/>
        </w:rPr>
        <w:t xml:space="preserve">This removes a major rejection cause and is a strong selling point for hospitals with IP (inpatient) claims.</w:t>
      </w:r>
    </w:p>
    <w:p>
      <w:pPr>
        <w:spacing w:after="80"/>
      </w:pPr>
      <w:r>
        <w:t xml:space="preserve"/>
      </w:r>
    </w:p>
    <w:p>
      <w:pPr>
        <w:spacing w:after="80" w:before="160"/>
      </w:pPr>
      <w:r>
        <w:rPr>
          <w:rFonts w:ascii="Arial" w:cs="Arial" w:eastAsia="Arial" w:hAnsi="Arial"/>
          <w:b/>
          <w:bCs/>
          <w:color w:val="404040"/>
          <w:sz w:val="24"/>
          <w:szCs w:val="24"/>
        </w:rPr>
        <w:t xml:space="preserve">5.3  GetPersonInsuranceHistory — Eligibility Check</w:t>
      </w:r>
    </w:p>
    <w:p>
      <w:pPr>
        <w:spacing w:after="100"/>
      </w:pPr>
      <w:r>
        <w:rPr>
          <w:rFonts w:ascii="Arial" w:cs="Arial" w:eastAsia="Arial" w:hAnsi="Arial"/>
          <w:sz w:val="22"/>
          <w:szCs w:val="22"/>
        </w:rPr>
        <w:t xml:space="preserve">Before submitting a claim, facilities can check if the patient has active insurance coverage. Currently done manually or via payer portal. ClaimSync can provide this as a lookup feature.</w:t>
      </w:r>
    </w:p>
    <w:p>
      <w:pPr>
        <w:pStyle w:val="ListParagraph"/>
        <w:numPr>
          <w:ilvl w:val="0"/>
          <w:numId w:val="2"/>
        </w:numPr>
        <w:spacing w:after="60"/>
      </w:pPr>
      <w:r>
        <w:rPr>
          <w:rFonts w:ascii="Arial" w:cs="Arial" w:eastAsia="Arial" w:hAnsi="Arial"/>
          <w:sz w:val="22"/>
          <w:szCs w:val="22"/>
        </w:rPr>
        <w:t xml:space="preserve">New dashboard widget: Patient Eligibility Check (Emirates ID or Unified Number input)</w:t>
      </w:r>
    </w:p>
    <w:p>
      <w:pPr>
        <w:pStyle w:val="ListParagraph"/>
        <w:numPr>
          <w:ilvl w:val="0"/>
          <w:numId w:val="2"/>
        </w:numPr>
        <w:spacing w:after="60"/>
      </w:pPr>
      <w:r>
        <w:rPr>
          <w:rFonts w:ascii="Arial" w:cs="Arial" w:eastAsia="Arial" w:hAnsi="Arial"/>
          <w:sz w:val="22"/>
          <w:szCs w:val="22"/>
        </w:rPr>
        <w:t xml:space="preserve">API endpoint: GET /facilities/{id}/eligibility?emirates_id=xxx</w:t>
      </w:r>
    </w:p>
    <w:p>
      <w:pPr>
        <w:pStyle w:val="ListParagraph"/>
        <w:numPr>
          <w:ilvl w:val="0"/>
          <w:numId w:val="2"/>
        </w:numPr>
        <w:spacing w:after="60"/>
      </w:pPr>
      <w:r>
        <w:rPr>
          <w:rFonts w:ascii="Arial" w:cs="Arial" w:eastAsia="Arial" w:hAnsi="Arial"/>
          <w:sz w:val="22"/>
          <w:szCs w:val="22"/>
        </w:rPr>
        <w:t xml:space="preserve">Response: coverage dates, payer, policy expiry — displayed in dashboard</w:t>
      </w:r>
    </w:p>
    <w:p>
      <w:pPr>
        <w:spacing w:after="80"/>
      </w:pPr>
      <w:r>
        <w:t xml:space="preserve"/>
      </w:r>
    </w:p>
    <w:p>
      <w:pPr>
        <w:spacing w:after="80" w:before="160"/>
      </w:pPr>
      <w:r>
        <w:rPr>
          <w:rFonts w:ascii="Arial" w:cs="Arial" w:eastAsia="Arial" w:hAnsi="Arial"/>
          <w:b/>
          <w:bCs/>
          <w:color w:val="404040"/>
          <w:sz w:val="24"/>
          <w:szCs w:val="24"/>
        </w:rPr>
        <w:t xml:space="preserve">Phase 5 — Pricing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43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Phase 4 Price</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Phase 5 Price</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What's Added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Starter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AED 499</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AED 799</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Upload + basic DRG</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Pro</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AED 999</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AED 1,499</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Full DRG + eligibility + reconciliation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Enterprise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AED 2,999+</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TPA bulk, white-label, SLA, API access</w:t>
            </w:r>
          </w:p>
        </w:tc>
      </w:tr>
    </w:tbl>
    <w:p>
      <w:pPr>
        <w:spacing w:after="80"/>
      </w:pPr>
      <w:r>
        <w:t xml:space="preserve"/>
      </w:r>
    </w:p>
    <w:p>
      <w:pPr>
        <w:pStyle w:val="Heading2"/>
        <w:spacing w:after="120" w:before="240"/>
      </w:pPr>
      <w:r>
        <w:rPr>
          <w:rFonts w:ascii="Arial" w:cs="Arial" w:eastAsia="Arial" w:hAnsi="Arial"/>
          <w:b/>
          <w:bCs/>
          <w:color w:val="2E75B6"/>
          <w:sz w:val="26"/>
          <w:szCs w:val="26"/>
        </w:rPr>
        <w:t xml:space="preserve">Phase 6 — COC + AI Intelligence Layer  (Q4 2026 / Q1 2027)</w:t>
      </w:r>
    </w:p>
    <w:p>
      <w:pPr>
        <w:spacing w:after="80"/>
      </w:pPr>
      <w:r>
        <w:t xml:space="preserve"/>
      </w:r>
    </w:p>
    <w:p>
      <w:pPr>
        <w:spacing w:after="80" w:before="160"/>
      </w:pPr>
      <w:r>
        <w:rPr>
          <w:rFonts w:ascii="Arial" w:cs="Arial" w:eastAsia="Arial" w:hAnsi="Arial"/>
          <w:b/>
          <w:bCs/>
          <w:color w:val="404040"/>
          <w:sz w:val="24"/>
          <w:szCs w:val="24"/>
        </w:rPr>
        <w:t xml:space="preserve">6.1  Insurance Continuity Certificate (COC)</w:t>
      </w:r>
    </w:p>
    <w:p>
      <w:pPr>
        <w:spacing w:after="100"/>
      </w:pPr>
      <w:r>
        <w:rPr>
          <w:rFonts w:ascii="Arial" w:cs="Arial" w:eastAsia="Arial" w:hAnsi="Arial"/>
          <w:sz w:val="22"/>
          <w:szCs w:val="22"/>
        </w:rPr>
        <w:t xml:space="preserve">GetInsuranceContinuityCertificate calculates insurance penalties for members with gaps in coverage. Used by insurers and TPAs when processing policy renewals or corrections. CancelInsuranceContinuityCertificate manages COC lifecycle.</w:t>
      </w:r>
    </w:p>
    <w:p>
      <w:pPr>
        <w:pStyle w:val="ListParagraph"/>
        <w:numPr>
          <w:ilvl w:val="0"/>
          <w:numId w:val="2"/>
        </w:numPr>
        <w:spacing w:after="60"/>
      </w:pPr>
      <w:r>
        <w:rPr>
          <w:rFonts w:ascii="Arial" w:cs="Arial" w:eastAsia="Arial" w:hAnsi="Arial"/>
          <w:sz w:val="22"/>
          <w:szCs w:val="22"/>
        </w:rPr>
        <w:t xml:space="preserve">New dashboard section: COC Management (payer/TPA facilities only)</w:t>
      </w:r>
    </w:p>
    <w:p>
      <w:pPr>
        <w:pStyle w:val="ListParagraph"/>
        <w:numPr>
          <w:ilvl w:val="0"/>
          <w:numId w:val="2"/>
        </w:numPr>
        <w:spacing w:after="60"/>
      </w:pPr>
      <w:r>
        <w:rPr>
          <w:rFonts w:ascii="Arial" w:cs="Arial" w:eastAsia="Arial" w:hAnsi="Arial"/>
          <w:sz w:val="22"/>
          <w:szCs w:val="22"/>
        </w:rPr>
        <w:t xml:space="preserve">Batch COC calculation: upload list of Emirates IDs, get penalty report</w:t>
      </w:r>
    </w:p>
    <w:p>
      <w:pPr>
        <w:pStyle w:val="ListParagraph"/>
        <w:numPr>
          <w:ilvl w:val="0"/>
          <w:numId w:val="2"/>
        </w:numPr>
        <w:spacing w:after="60"/>
      </w:pPr>
      <w:r>
        <w:rPr>
          <w:rFonts w:ascii="Arial" w:cs="Arial" w:eastAsia="Arial" w:hAnsi="Arial"/>
          <w:sz w:val="22"/>
          <w:szCs w:val="22"/>
        </w:rPr>
        <w:t xml:space="preserve">COC PDF export from dashboard</w:t>
      </w:r>
    </w:p>
    <w:p>
      <w:pPr>
        <w:pStyle w:val="ListParagraph"/>
        <w:numPr>
          <w:ilvl w:val="0"/>
          <w:numId w:val="2"/>
        </w:numPr>
        <w:spacing w:after="60"/>
      </w:pPr>
      <w:r>
        <w:rPr>
          <w:rFonts w:ascii="Arial" w:cs="Arial" w:eastAsia="Arial" w:hAnsi="Arial"/>
          <w:sz w:val="22"/>
          <w:szCs w:val="22"/>
        </w:rPr>
        <w:t xml:space="preserve">This opens ClaimSync to payer/TPA customers — not just provider facilities</w:t>
      </w:r>
    </w:p>
    <w:p>
      <w:pPr>
        <w:spacing w:after="80"/>
      </w:pPr>
      <w:r>
        <w:t xml:space="preserve"/>
      </w:r>
    </w:p>
    <w:p>
      <w:pPr>
        <w:spacing w:after="80" w:before="160"/>
      </w:pPr>
      <w:r>
        <w:rPr>
          <w:rFonts w:ascii="Arial" w:cs="Arial" w:eastAsia="Arial" w:hAnsi="Arial"/>
          <w:b/>
          <w:bCs/>
          <w:color w:val="404040"/>
          <w:sz w:val="24"/>
          <w:szCs w:val="24"/>
        </w:rPr>
        <w:t xml:space="preserve">6.2  GenAI Intelligence Layer</w:t>
      </w:r>
    </w:p>
    <w:p>
      <w:pPr>
        <w:spacing w:after="100"/>
      </w:pPr>
      <w:r>
        <w:rPr>
          <w:rFonts w:ascii="Arial" w:cs="Arial" w:eastAsia="Arial" w:hAnsi="Arial"/>
          <w:sz w:val="22"/>
          <w:szCs w:val="22"/>
        </w:rPr>
        <w:t xml:space="preserve">Once bidirectional data flows (upload + download + reconciliation), ClaimSync can layer GenAI features that no competitor currently offers in the Abu Dhabi market: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5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Data Source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Business Value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Rejection Pattern Analysis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Remittance XMLs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RAG + LLM</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Identify top rejection reasons per payer per month</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Smart Resubmission Assistant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Rejected claim + remit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LLM + rule engine</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Suggest XML corrections before resubmission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Remittance Reconciliation AI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Claims + remittance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Vector matching + LLM</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Match payments to submissions, flag discrepancies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Natural Language Query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sync_run_log + file_manifest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LLM over SQL/API</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'How many THIQA claims last month?' via chat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Anomaly Detection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 history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ML + alerts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Volume drop = facility issue. Spike = payer batch.</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WhatsApp/Email Alerts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Reconciliation + run log</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n8n automation</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Zero-touch monitoring for Saleem and facilities</w:t>
            </w:r>
          </w:p>
        </w:tc>
      </w:tr>
    </w:tbl>
    <w:p>
      <w:pPr>
        <w:spacing w:after="80"/>
      </w:pPr>
      <w:r>
        <w:t xml:space="preserve"/>
      </w:r>
    </w:p>
    <w:p>
      <w:pPr>
        <w:pStyle w:val="Heading1"/>
        <w:spacing w:after="160" w:before="320"/>
      </w:pPr>
      <w:r>
        <w:rPr>
          <w:rFonts w:ascii="Arial" w:cs="Arial" w:eastAsia="Arial" w:hAnsi="Arial"/>
          <w:b/>
          <w:bCs/>
          <w:color w:val="1F3864"/>
          <w:sz w:val="32"/>
          <w:szCs w:val="32"/>
        </w:rPr>
        <w:t xml:space="preserve">4. Saleem Channel Partner Conversation Plan</w:t>
      </w:r>
    </w:p>
    <w:p>
      <w:pPr>
        <w:spacing w:after="100"/>
      </w:pPr>
      <w:r>
        <w:rPr>
          <w:rFonts w:ascii="Arial" w:cs="Arial" w:eastAsia="Arial" w:hAnsi="Arial"/>
          <w:sz w:val="22"/>
          <w:szCs w:val="22"/>
        </w:rPr>
        <w:t xml:space="preserve">Objective: Discovery session — understand Saleem's current manual activities, pain points, and appetite for SaaS model. Do NOT reveal the full platform is already live. Frame as 'we're planning the next phase and want your input'.</w:t>
      </w:r>
    </w:p>
    <w:p>
      <w:pPr>
        <w:spacing w:after="80"/>
      </w:pPr>
      <w:r>
        <w:t xml:space="preserve"/>
      </w:r>
    </w:p>
    <w:p>
      <w:pPr>
        <w:pStyle w:val="Heading2"/>
        <w:spacing w:after="120" w:before="240"/>
      </w:pPr>
      <w:r>
        <w:rPr>
          <w:rFonts w:ascii="Arial" w:cs="Arial" w:eastAsia="Arial" w:hAnsi="Arial"/>
          <w:b/>
          <w:bCs/>
          <w:color w:val="2E75B6"/>
          <w:sz w:val="26"/>
          <w:szCs w:val="26"/>
        </w:rPr>
        <w:t xml:space="preserve">4.1  Discovery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360"/>
      </w:tblGrid>
      <w:tr>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We're Learning</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Daily workflow</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Walk me through what you do every morning for your clients right now.</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Current manual steps — are they using v8g or the new version?</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Pain points</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What takes the most time? What do you wish was automated?</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Prioritise Phase 4/5 features by real pain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 count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How many facilities are you actively managing today?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Revenue projection basis</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Prior auth</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 your facilities handle prior authorizations? How do they track them?</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Validates Phase 4 prior auth feature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Claim submission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How do facilities currently submit their claims to DOH?</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Validates Phase 5 upload feature</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DRG</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 any of your facilities have IP claims with DRG issues?</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Validates Phase 5 DRG feature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Reconciliation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 you ever have to check if all files from a payer were received?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Validates Phase 4 reconciliation</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Growth</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Are there facilities in your network who've asked about automation but you couldn't help yet?</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Pipeline discovery</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SaaS appetite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If there was a web portal where facilities could log in and see their claim status themselves, would that help you?</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Gauge readiness for facility portal Phase 5</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Pricing sensitivity</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What does a facility typically pay you per month now for your services?</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Current benchmark for pricing discussion</w:t>
            </w:r>
          </w:p>
        </w:tc>
      </w:tr>
    </w:tbl>
    <w:p>
      <w:pPr>
        <w:spacing w:after="80"/>
      </w:pPr>
      <w:r>
        <w:t xml:space="preserve"/>
      </w:r>
    </w:p>
    <w:p>
      <w:pPr>
        <w:pStyle w:val="Heading2"/>
        <w:spacing w:after="120" w:before="240"/>
      </w:pPr>
      <w:r>
        <w:rPr>
          <w:rFonts w:ascii="Arial" w:cs="Arial" w:eastAsia="Arial" w:hAnsi="Arial"/>
          <w:b/>
          <w:bCs/>
          <w:color w:val="2E75B6"/>
          <w:sz w:val="26"/>
          <w:szCs w:val="26"/>
        </w:rPr>
        <w:t xml:space="preserve">4.2  What to Present (After Discovery)</w:t>
      </w:r>
    </w:p>
    <w:p>
      <w:pPr>
        <w:pStyle w:val="ListParagraph"/>
        <w:numPr>
          <w:ilvl w:val="0"/>
          <w:numId w:val="2"/>
        </w:numPr>
        <w:spacing w:after="60"/>
      </w:pPr>
      <w:r>
        <w:rPr>
          <w:rFonts w:ascii="Arial" w:cs="Arial" w:eastAsia="Arial" w:hAnsi="Arial"/>
          <w:sz w:val="22"/>
          <w:szCs w:val="22"/>
        </w:rPr>
        <w:t xml:space="preserve">Show the live dashboard — run timeline, file browser, stats cards</w:t>
      </w:r>
    </w:p>
    <w:p>
      <w:pPr>
        <w:pStyle w:val="ListParagraph"/>
        <w:numPr>
          <w:ilvl w:val="0"/>
          <w:numId w:val="2"/>
        </w:numPr>
        <w:spacing w:after="60"/>
      </w:pPr>
      <w:r>
        <w:rPr>
          <w:rFonts w:ascii="Arial" w:cs="Arial" w:eastAsia="Arial" w:hAnsi="Arial"/>
          <w:sz w:val="22"/>
          <w:szCs w:val="22"/>
        </w:rPr>
        <w:t xml:space="preserve">Show the Facilities page — cron schedule, blob container, KV prefix</w:t>
      </w:r>
    </w:p>
    <w:p>
      <w:pPr>
        <w:pStyle w:val="ListParagraph"/>
        <w:numPr>
          <w:ilvl w:val="0"/>
          <w:numId w:val="2"/>
        </w:numPr>
        <w:spacing w:after="60"/>
      </w:pPr>
      <w:r>
        <w:rPr>
          <w:rFonts w:ascii="Arial" w:cs="Arial" w:eastAsia="Arial" w:hAnsi="Arial"/>
          <w:sz w:val="22"/>
          <w:szCs w:val="22"/>
        </w:rPr>
        <w:t xml:space="preserve">Frame as: 'This is Phase 1. Here's what we're planning next based on what you just told me'</w:t>
      </w:r>
    </w:p>
    <w:p>
      <w:pPr>
        <w:pStyle w:val="ListParagraph"/>
        <w:numPr>
          <w:ilvl w:val="0"/>
          <w:numId w:val="2"/>
        </w:numPr>
        <w:spacing w:after="60"/>
      </w:pPr>
      <w:r>
        <w:rPr>
          <w:rFonts w:ascii="Arial" w:cs="Arial" w:eastAsia="Arial" w:hAnsi="Arial"/>
          <w:sz w:val="22"/>
          <w:szCs w:val="22"/>
        </w:rPr>
        <w:t xml:space="preserve">Show the roadmap table (Section 2 of this document) and ask which Phase 4/5 features matter most to his clients</w:t>
      </w:r>
    </w:p>
    <w:p>
      <w:pPr>
        <w:pStyle w:val="ListParagraph"/>
        <w:numPr>
          <w:ilvl w:val="0"/>
          <w:numId w:val="2"/>
        </w:numPr>
        <w:spacing w:after="60"/>
      </w:pPr>
      <w:r>
        <w:rPr>
          <w:rFonts w:ascii="Arial" w:cs="Arial" w:eastAsia="Arial" w:hAnsi="Arial"/>
          <w:sz w:val="22"/>
          <w:szCs w:val="22"/>
        </w:rPr>
        <w:t xml:space="preserve">Discuss channel partner model: Saleem brings facilities, earns 15% recurring on every subscription</w:t>
      </w:r>
    </w:p>
    <w:p>
      <w:pPr>
        <w:spacing w:after="80"/>
      </w:pPr>
      <w:r>
        <w:t xml:space="preserve"/>
      </w:r>
    </w:p>
    <w:p>
      <w:pPr>
        <w:pStyle w:val="Heading2"/>
        <w:spacing w:after="120" w:before="240"/>
      </w:pPr>
      <w:r>
        <w:rPr>
          <w:rFonts w:ascii="Arial" w:cs="Arial" w:eastAsia="Arial" w:hAnsi="Arial"/>
          <w:b/>
          <w:bCs/>
          <w:color w:val="2E75B6"/>
          <w:sz w:val="26"/>
          <w:szCs w:val="26"/>
        </w:rPr>
        <w:t xml:space="preserve">4.3  Channel Partner Model to Propose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Saleem's role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Reseller / channel partner. Brings facilities, manages client relationship.</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Revenue share</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15% of monthly subscription per facility he onboards. Automatic, monthly.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Example earnings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facilities @ AED 999/mo = AED 9,990 MRR. Saleem earns AED 1,499/mo passive.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Saleem's effort</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Onboard new clients via admin portal. Zero technical work after onboarding.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Kaaryaa's role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Platform, infrastructure, support, development. No field work.</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Agreement needed</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Simple channel partner agreement. Can be drafted as 1-page MOU initially.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First ask</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Confirm PF2576 credentials so we can activate second facility as proof point.</w:t>
            </w:r>
          </w:p>
        </w:tc>
      </w:tr>
    </w:tbl>
    <w:p>
      <w:pPr>
        <w:spacing w:after="80"/>
      </w:pPr>
      <w:r>
        <w:t xml:space="preserve"/>
      </w:r>
    </w:p>
    <w:p>
      <w:pPr>
        <w:pStyle w:val="Heading1"/>
        <w:spacing w:after="160" w:before="320"/>
      </w:pPr>
      <w:r>
        <w:rPr>
          <w:rFonts w:ascii="Arial" w:cs="Arial" w:eastAsia="Arial" w:hAnsi="Arial"/>
          <w:b/>
          <w:bCs/>
          <w:color w:val="1F3864"/>
          <w:sz w:val="32"/>
          <w:szCs w:val="32"/>
        </w:rPr>
        <w:t xml:space="preserve">5. Additional GenAI Opportunities — Beyond Shafafiya</w:t>
      </w:r>
    </w:p>
    <w:p>
      <w:pPr>
        <w:spacing w:after="100"/>
      </w:pPr>
      <w:r>
        <w:rPr>
          <w:rFonts w:ascii="Arial" w:cs="Arial" w:eastAsia="Arial" w:hAnsi="Arial"/>
          <w:sz w:val="22"/>
          <w:szCs w:val="22"/>
        </w:rPr>
        <w:t xml:space="preserve">Saleem's manual workflow and the broader UAE healthcare claims market present GenAI opportunities beyond the Shafafiya API itself:</w:t>
      </w:r>
    </w:p>
    <w:p>
      <w:pPr>
        <w:spacing w:after="8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000"/>
        <w:gridCol w:w="2300"/>
        <w:gridCol w:w="3000"/>
        <w:gridCol w:w="10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Opportunity</w:t>
            </w:r>
          </w:p>
        </w:tc>
        <w:tc>
          <w:tcPr>
            <w:tcW w:type="dxa" w:w="2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Problem Today</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GenAI Solution</w:t>
            </w:r>
          </w:p>
        </w:tc>
        <w:tc>
          <w:tcPr>
            <w:tcW w:type="dxa" w:w="1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Phase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IDP for Claim XML Validation</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Facilities submit wrong XML structure, causing rejections. Manual fix.</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LLM validates claim XML against Shafafiya schema, highlights errors, suggests corrections before upload.</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5</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Remittance Reconciliation Assistant</w:t>
            </w:r>
          </w:p>
        </w:tc>
        <w:tc>
          <w:tcPr>
            <w:tcW w:type="dxa" w:w="2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Finance teams manually match remittance payments to submitted claims — hours of spreadsheet work.</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RAG over claim + remittance XMLs. Auto-match, flag unmatched, export discrepancy report.</w:t>
            </w:r>
          </w:p>
        </w:tc>
        <w:tc>
          <w:tcPr>
            <w:tcW w:type="dxa" w:w="1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Phase 6</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Rejection Code Intelligence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When a claim is rejected, staff read the rejection code and manually look up the fix.</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LLM maps rejection codes to plain-language explanations + suggested fixes. Integrated into dashboard.</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6</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Natural Language BI</w:t>
            </w:r>
          </w:p>
        </w:tc>
        <w:tc>
          <w:tcPr>
            <w:tcW w:type="dxa" w:w="2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Finance managers want answers like 'How many DAMAN claims were rejected Q1?' but can't query the DB.</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Chat interface over ClaimSync DB. n8n + LLM + SQL generation. WhatsApp or dashboard.</w:t>
            </w:r>
          </w:p>
        </w:tc>
        <w:tc>
          <w:tcPr>
            <w:tcW w:type="dxa" w:w="1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Phase 6</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Licence Renewal Automation</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Saleem manually tracks facility licence expiry dates and reminds clients.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Automated expiry detection from facility_subscriptions table. Email/WhatsApp alert 30/15/7 days before.</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4</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Credential Rotation Alerts</w:t>
            </w:r>
          </w:p>
        </w:tc>
        <w:tc>
          <w:tcPr>
            <w:tcW w:type="dxa" w:w="2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When Shafafiya credentials expire or are changed, Saleem is the bottleneck.</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Facility admin portal — self-service password update writes directly to Key Vault. Zero Saleem involvement.</w:t>
            </w:r>
          </w:p>
        </w:tc>
        <w:tc>
          <w:tcPr>
            <w:tcW w:type="dxa" w:w="1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Phase 4</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Claim Count Dashboard for Facility Finance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Finance managers want daily visibility into what was submitted vs received vs paid.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Per-facility reconciliation dashboard. Upload count vs download count vs remittance amount — one screen.</w:t>
            </w:r>
          </w:p>
        </w:tc>
        <w:tc>
          <w:tcPr>
            <w:tcW w:type="dxa" w:w="1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5</w:t>
            </w:r>
          </w:p>
        </w:tc>
      </w:tr>
    </w:tbl>
    <w:p>
      <w:pPr>
        <w:spacing w:after="80"/>
      </w:pPr>
      <w:r>
        <w:t xml:space="preserve"/>
      </w:r>
    </w:p>
    <w:p>
      <w:pPr>
        <w:pStyle w:val="Heading1"/>
        <w:spacing w:after="160" w:before="320"/>
      </w:pPr>
      <w:r>
        <w:rPr>
          <w:rFonts w:ascii="Arial" w:cs="Arial" w:eastAsia="Arial" w:hAnsi="Arial"/>
          <w:b/>
          <w:bCs/>
          <w:color w:val="1F3864"/>
          <w:sz w:val="32"/>
          <w:szCs w:val="32"/>
        </w:rPr>
        <w:t xml:space="preserve">6. Revenue Projection by Phase</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3200"/>
        <w:gridCol w:w="1500"/>
        <w:gridCol w:w="1500"/>
        <w:gridCol w:w="176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Timeline</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Features Added</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Price/Facility/Mo</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Facilities Target</w:t>
            </w:r>
          </w:p>
        </w:tc>
        <w:tc>
          <w:tcPr>
            <w:tcW w:type="dxa" w:w="1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MRR Target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3 (live)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 2026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Download, audit trail, dashboard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AED 499</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(MF2618+PF2576)</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AED 998</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Phase 4</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Q2 2026</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Reconciliation, prior auth, SetDownloaded</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AED 499</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5-8 facilities</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AED 2,500-4,000</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Q3 2026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Upload, DRG, eligibility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AED 999</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10-15 facilities</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AED 10,000-15,000</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Phase 6</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Q4 2026-Q1 2027</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AI layer, COC, NL query, anomaly detection</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AED 1,499</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20-30 facilities</w:t>
            </w:r>
          </w:p>
        </w:tc>
        <w:tc>
          <w:tcPr>
            <w:tcW w:type="dxa" w:w="1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AED 30,000-45,000</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7 (Dubai)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Q2-Q3 2027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DHA API adapter, second market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AED 999</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+15-20 DHA fac.</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+AED 15,000-20,000</w:t>
            </w:r>
          </w:p>
        </w:tc>
      </w:tr>
    </w:tbl>
    <w:p>
      <w:pPr>
        <w:spacing w:after="80"/>
      </w:pPr>
      <w:r>
        <w:t xml:space="preserve"/>
      </w:r>
    </w:p>
    <w:p>
      <w:pPr>
        <w:spacing w:after="100"/>
      </w:pPr>
      <w:r>
        <w:rPr>
          <w:rFonts w:ascii="Arial" w:cs="Arial" w:eastAsia="Arial" w:hAnsi="Arial"/>
          <w:b/>
          <w:bCs/>
          <w:sz w:val="22"/>
          <w:szCs w:val="22"/>
        </w:rPr>
        <w:t xml:space="preserve">First-year ARR target (Phase 3-4): AED 48,000-72,000. Phase 5 activation (Q3 2026) targets AED 120,000-180,000 ARR.</w:t>
      </w:r>
    </w:p>
    <w:p>
      <w:pPr>
        <w:spacing w:after="80"/>
      </w:pPr>
      <w:r>
        <w:t xml:space="preserve"/>
      </w:r>
    </w:p>
    <w:p>
      <w:pPr>
        <w:pStyle w:val="Heading1"/>
        <w:spacing w:after="160" w:before="320"/>
      </w:pPr>
      <w:r>
        <w:rPr>
          <w:rFonts w:ascii="Arial" w:cs="Arial" w:eastAsia="Arial" w:hAnsi="Arial"/>
          <w:b/>
          <w:bCs/>
          <w:color w:val="1F3864"/>
          <w:sz w:val="32"/>
          <w:szCs w:val="32"/>
        </w:rPr>
        <w:t xml:space="preserve">7. Immediate Next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1600"/>
        <w:gridCol w:w="3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Target Date</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Confirm PF2576 credentials with Saleem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Anbu</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This week</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Creates KV secrets, activates second facility</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Schedule Saleem discovery conversation</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Anbu</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This week</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Use question list in Section 4.1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 Phase 4 sprint (VNet + P3-T06)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Anbu+Claude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Next session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4 items from runbook</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Wire Adhoc Run button (SDK + engine)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Anbu+Claude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Next session</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azure-mgmt-appcontainers + CLAIMSSYNC_ADHOC env vars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Draft channel partner agreement (1-page)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Anbu</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Before Saleem meeting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MOU style — revenue share, responsibilities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SetTransactionDownloaded implementation</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Anbu+Claude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Phase 4 sprint</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Engine change + test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GetClaimCountReconciliation API + widget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Anbu+Claude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4 sprint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New endpoint + dashboard widget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Phase 5 scoping — UploadTransaction design</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Anbu+Claude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Q2 2026</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Schema + API design session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Register company / legal structure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Anbu</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Within 3 months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Freezone or wife's name — needed before scaling beyond 5 clients</w:t>
            </w:r>
          </w:p>
        </w:tc>
      </w:tr>
    </w:tbl>
    <w:p>
      <w:pPr>
        <w:spacing w:after="80"/>
      </w:pPr>
      <w:r>
        <w:t xml:space="preserve"/>
      </w:r>
    </w:p>
    <w:p>
      <w:pPr>
        <w:spacing w:before="320"/>
        <w:jc w:val="center"/>
      </w:pPr>
      <w:r>
        <w:rPr>
          <w:rFonts w:ascii="Arial" w:cs="Arial" w:eastAsia="Arial" w:hAnsi="Arial"/>
          <w:color w:val="AAAAAA"/>
          <w:sz w:val="18"/>
          <w:szCs w:val="18"/>
        </w:rPr>
        <w:t xml:space="preserve">ClaimSync Enhancement Plan v1  |  Kaaryaa GenAI Solutions  |  March 2026  |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2026-03-14T13:26:06.464Z</dcterms:created>
  <dcterms:modified xsi:type="dcterms:W3CDTF">2026-03-14T13:26:06.466Z</dcterms:modified>
</cp:coreProperties>
</file>

<file path=docProps/custom.xml><?xml version="1.0" encoding="utf-8"?>
<Properties xmlns="http://schemas.openxmlformats.org/officeDocument/2006/custom-properties" xmlns:vt="http://schemas.openxmlformats.org/officeDocument/2006/docPropsVTypes"/>
</file>