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5C" w:sz="1"/>
              <w:left w:val="single" w:color="1B3A5C" w:sz="1"/>
              <w:bottom w:val="single" w:color="1B3A5C" w:sz="1"/>
              <w:right w:val="single" w:color="1B3A5C" w:sz="1"/>
            </w:tcBorders>
            <w:shd w:fill="1B3A5C" w:val="clear"/>
            <w:tcMar>
              <w:top w:type="dxa" w:w="560"/>
              <w:left w:type="dxa" w:w="480"/>
              <w:bottom w:type="dxa" w:w="560"/>
              <w:right w:type="dxa" w:w="480"/>
            </w:tcMar>
          </w:tcPr>
          <w:p>
            <w:pPr>
              <w:spacing w:after="80"/>
              <w:jc w:val="center"/>
            </w:pPr>
            <w:r>
              <w:rPr>
                <w:rFonts w:ascii="Arial" w:cs="Arial" w:eastAsia="Arial" w:hAnsi="Arial"/>
                <w:b/>
                <w:bCs/>
                <w:color w:val="FFFFFF"/>
                <w:sz w:val="80"/>
                <w:szCs w:val="80"/>
              </w:rPr>
              <w:t xml:space="preserve">ClaimsSync</w:t>
            </w:r>
          </w:p>
          <w:p>
            <w:pPr>
              <w:spacing w:after="80"/>
              <w:jc w:val="center"/>
            </w:pPr>
            <w:r>
              <w:rPr>
                <w:rFonts w:ascii="Arial" w:cs="Arial" w:eastAsia="Arial" w:hAnsi="Arial"/>
                <w:color w:val="AED6F1"/>
                <w:sz w:val="36"/>
                <w:szCs w:val="36"/>
              </w:rPr>
              <w:t xml:space="preserve">From Tool to Product</w:t>
            </w:r>
          </w:p>
          <w:p>
            <w:pPr>
              <w:jc w:val="center"/>
            </w:pPr>
            <w:r>
              <w:rPr>
                <w:rFonts w:ascii="Arial" w:cs="Arial" w:eastAsia="Arial" w:hAnsi="Arial"/>
                <w:color w:val="85C1E9"/>
                <w:sz w:val="22"/>
                <w:szCs w:val="22"/>
              </w:rPr>
              <w:t xml:space="preserve">Business Transformation Story  |  Why SaaS  |  Who Wins &amp; How</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1C2833"/>
                <w:sz w:val="18"/>
                <w:szCs w:val="18"/>
              </w:rPr>
              <w:t xml:space="preserve">Prepared by
Kaaryaa GenAI Solutions</w:t>
            </w:r>
          </w:p>
        </w:tc>
        <w:tc>
          <w:tcPr>
            <w:tcW w:type="dxa" w:w="3067"/>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7A6E"/>
                <w:sz w:val="18"/>
                <w:szCs w:val="18"/>
              </w:rPr>
              <w:t xml:space="preserve">Product
ClaimsSync v1.0</w:t>
            </w:r>
          </w:p>
        </w:tc>
        <w:tc>
          <w:tcPr>
            <w:tcW w:type="dxa" w:w="3067"/>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1C2833"/>
                <w:sz w:val="18"/>
                <w:szCs w:val="18"/>
              </w:rPr>
              <w:t xml:space="preserve">March 2026
CONFIDENTIAL</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8860B" w:sz="1"/>
              <w:left w:val="single" w:color="B8860B" w:sz="12"/>
              <w:bottom w:val="single" w:color="B8860B" w:sz="1"/>
              <w:right w:val="single" w:color="B8860B" w:sz="1"/>
            </w:tcBorders>
            <w:shd w:fill="FDF3E3" w:val="clear"/>
            <w:tcMar>
              <w:top w:type="dxa" w:w="120"/>
              <w:left w:type="dxa" w:w="200"/>
              <w:bottom w:type="dxa" w:w="120"/>
              <w:right w:type="dxa" w:w="200"/>
            </w:tcMar>
          </w:tcPr>
          <w:p>
            <w:r>
              <w:rPr>
                <w:rFonts w:ascii="Arial" w:cs="Arial" w:eastAsia="Arial" w:hAnsi="Arial"/>
                <w:i/>
                <w:iCs/>
                <w:color w:val="1C2833"/>
                <w:sz w:val="20"/>
                <w:szCs w:val="20"/>
              </w:rPr>
              <w:t xml:space="preserve">"Work on what the market wants — not just your passion. Focus on the project where there is a client ready to buy." — A founding principle of this journey</w:t>
            </w:r>
          </w:p>
        </w:tc>
      </w:tr>
    </w:tbl>
    <w:p>
      <w:r>
        <w:br w:type="page"/>
      </w:r>
    </w:p>
    <w:p>
      <w:pPr>
        <w:pStyle w:val="Heading1"/>
        <w:spacing w:before="360" w:after="180"/>
      </w:pPr>
      <w:r>
        <w:rPr>
          <w:rFonts w:ascii="Arial" w:cs="Arial" w:eastAsia="Arial" w:hAnsi="Arial"/>
          <w:b/>
          <w:bCs/>
          <w:color w:val="1B3A5C"/>
          <w:sz w:val="40"/>
          <w:szCs w:val="40"/>
        </w:rPr>
        <w:t xml:space="preserve">1.  The Story So Far</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ClaimsSync did not begin as a product. It began as a solution to a real, painful, daily problem faced by UAE healthcare facilities — and that is exactly why it has the potential to become a significant SaaS business.</w:t>
      </w:r>
    </w:p>
    <w:p>
      <w:r>
        <w:t xml:space="preserve"/>
      </w:r>
    </w:p>
    <w:p>
      <w:pPr>
        <w:pStyle w:val="Heading2"/>
        <w:spacing w:before="280" w:after="120"/>
      </w:pPr>
      <w:r>
        <w:rPr>
          <w:rFonts w:ascii="Arial" w:cs="Arial" w:eastAsia="Arial" w:hAnsi="Arial"/>
          <w:b/>
          <w:bCs/>
          <w:color w:val="1A7A6E"/>
          <w:sz w:val="30"/>
          <w:szCs w:val="30"/>
        </w:rPr>
        <w:t xml:space="preserve">1.1  How It Started</w:t>
      </w:r>
    </w:p>
    <w:p>
      <w:pPr>
        <w:spacing w:before="80" w:after="80"/>
      </w:pPr>
      <w:r>
        <w:rPr>
          <w:rFonts w:ascii="Arial" w:cs="Arial" w:eastAsia="Arial" w:hAnsi="Arial"/>
          <w:b w:val="false"/>
          <w:bCs w:val="false"/>
          <w:color w:val="1C2833"/>
          <w:sz w:val="20"/>
          <w:szCs w:val="20"/>
        </w:rPr>
        <w:t xml:space="preserve">A small group of healthcare IT professionals, led by Saleem in the UAE, identified that licensed health facilities connected to the DOH Shafafiya system were spending significant manual effort to download, reconcile, and archive their claims and remittance files every day. No affordable, lightweight tool existed to automate this. The Shafafiya API was available but technically demanding — SOAP/XML, credential management, file handling, and a hidden 1,000-record cap that silently dropped data.</w:t>
      </w:r>
    </w:p>
    <w:p>
      <w:r>
        <w:t xml:space="preserve"/>
      </w:r>
    </w:p>
    <w:p>
      <w:pPr>
        <w:spacing w:before="80" w:after="80"/>
      </w:pPr>
      <w:r>
        <w:rPr>
          <w:rFonts w:ascii="Arial" w:cs="Arial" w:eastAsia="Arial" w:hAnsi="Arial"/>
          <w:b w:val="false"/>
          <w:bCs w:val="false"/>
          <w:color w:val="1C2833"/>
          <w:sz w:val="20"/>
          <w:szCs w:val="20"/>
        </w:rPr>
        <w:t xml:space="preserve">The team built a solution. Over multiple versions, the tool matured: multi-facility support, encrypted licensing, archive management, resubmission handling, and finally the 2-hour interval windowing fix (v8b) that solved the silent data truncation problem entirely. Real facilities came on board. Real claims were processed. Real problems were solved.</w:t>
      </w:r>
    </w:p>
    <w:p>
      <w:r>
        <w:t xml:space="preserve"/>
      </w:r>
    </w:p>
    <w:p>
      <w:pPr>
        <w:pStyle w:val="Heading2"/>
        <w:spacing w:before="280" w:after="120"/>
      </w:pPr>
      <w:r>
        <w:rPr>
          <w:rFonts w:ascii="Arial" w:cs="Arial" w:eastAsia="Arial" w:hAnsi="Arial"/>
          <w:b/>
          <w:bCs/>
          <w:color w:val="1A7A6E"/>
          <w:sz w:val="30"/>
          <w:szCs w:val="30"/>
        </w:rPr>
        <w:t xml:space="preserve">1.2  What Was Built — The Current Model</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Aspect</w:t>
            </w:r>
          </w:p>
        </w:tc>
        <w:tc>
          <w:tcPr>
            <w:tcW w:type="dxa" w:w="7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Reality</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Delivery</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Windows desktop application (.exe) installed and run on a single local PC at the operator's premises</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Configuration</w:t>
            </w:r>
          </w:p>
        </w:tc>
        <w:tc>
          <w:tcPr>
            <w:tcW w:type="dxa" w:w="7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INI file (shafafiaapi.ini) — manually created per client, contains facility IDs, credentials, folder paths, schedule settings</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Credentials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Facilities share their Shafafiya login/password directly with Saleem. He updates the INI file manually and holds credentials on his PC</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Execution</w:t>
            </w:r>
          </w:p>
        </w:tc>
        <w:tc>
          <w:tcPr>
            <w:tcW w:type="dxa" w:w="7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Manually triggered — Saleem or the facility operator runs the .exe. No automation, no scheduling. Dependent on the PC being on and accessible</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Support</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Remote AnyDesk sessions from India. Every issue, every enhancement, every config change requires a manual remote session</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Reporting</w:t>
            </w:r>
          </w:p>
        </w:tc>
        <w:tc>
          <w:tcPr>
            <w:tcW w:type="dxa" w:w="7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Power BI Desktop running locally on the same PC. Reports manually refreshed and sent to clients by email. No self-service access for clients</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Revenue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One-time payment per client. Enhancements delivered free of charge. No retainer, no ongoing commercial structure, no formal agreement</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Multi-client</w:t>
            </w:r>
          </w:p>
        </w:tc>
        <w:tc>
          <w:tcPr>
            <w:tcW w:type="dxa" w:w="7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Multiple [client-config-N] blocks in one INI file. Works, but entirely manual — every new facility requires direct developer involvement</w:t>
            </w:r>
          </w:p>
        </w:tc>
      </w:tr>
    </w:tbl>
    <w:p>
      <w:r>
        <w:t xml:space="preserve"/>
      </w:r>
    </w:p>
    <w:p>
      <w:pPr>
        <w:pStyle w:val="Heading2"/>
        <w:spacing w:before="280" w:after="120"/>
      </w:pPr>
      <w:r>
        <w:rPr>
          <w:rFonts w:ascii="Arial" w:cs="Arial" w:eastAsia="Arial" w:hAnsi="Arial"/>
          <w:b/>
          <w:bCs/>
          <w:color w:val="1A7A6E"/>
          <w:sz w:val="30"/>
          <w:szCs w:val="30"/>
        </w:rPr>
        <w:t xml:space="preserve">1.3  What Works — The Real Strengths</w:t>
      </w:r>
    </w:p>
    <w:p>
      <w:pPr>
        <w:spacing w:before="80" w:after="80"/>
      </w:pPr>
      <w:r>
        <w:rPr>
          <w:rFonts w:ascii="Arial" w:cs="Arial" w:eastAsia="Arial" w:hAnsi="Arial"/>
          <w:b w:val="false"/>
          <w:bCs w:val="false"/>
          <w:color w:val="1C2833"/>
          <w:sz w:val="20"/>
          <w:szCs w:val="20"/>
        </w:rPr>
        <w:t xml:space="preserve">Before looking at what needs to change, it is important to recognise what has been genuinely achieved. This is not a prototype or a concept. This is a production-tested tool with:</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Years of live operation with real UAE DOH-licensed facilities</w:t>
      </w:r>
    </w:p>
    <w:p>
      <w:pPr>
        <w:pStyle w:val="ListParagraph"/>
        <w:numPr>
          <w:ilvl w:val="0"/>
          <w:numId w:val="2"/>
        </w:numPr>
        <w:spacing w:before="60" w:after="60"/>
      </w:pPr>
      <w:r>
        <w:rPr>
          <w:rFonts w:ascii="Arial" w:cs="Arial" w:eastAsia="Arial" w:hAnsi="Arial"/>
          <w:b w:val="false"/>
          <w:bCs w:val="false"/>
          <w:color w:val="1C2833"/>
          <w:sz w:val="20"/>
          <w:szCs w:val="20"/>
        </w:rPr>
        <w:t xml:space="preserve">Proven Shafafiya API integration covering the core workflow — search, download, archive, resubmit</w:t>
      </w:r>
    </w:p>
    <w:p>
      <w:pPr>
        <w:pStyle w:val="ListParagraph"/>
        <w:numPr>
          <w:ilvl w:val="0"/>
          <w:numId w:val="2"/>
        </w:numPr>
        <w:spacing w:before="60" w:after="60"/>
      </w:pPr>
      <w:r>
        <w:rPr>
          <w:rFonts w:ascii="Arial" w:cs="Arial" w:eastAsia="Arial" w:hAnsi="Arial"/>
          <w:b w:val="false"/>
          <w:bCs w:val="false"/>
          <w:color w:val="1C2833"/>
          <w:sz w:val="20"/>
          <w:szCs w:val="20"/>
        </w:rPr>
        <w:t xml:space="preserve">Idempotent design: files can be re-downloaded safely at any time, no data loss risk, natural failure recovery</w:t>
      </w:r>
    </w:p>
    <w:p>
      <w:pPr>
        <w:pStyle w:val="ListParagraph"/>
        <w:numPr>
          <w:ilvl w:val="0"/>
          <w:numId w:val="2"/>
        </w:numPr>
        <w:spacing w:before="60" w:after="60"/>
      </w:pPr>
      <w:r>
        <w:rPr>
          <w:rFonts w:ascii="Arial" w:cs="Arial" w:eastAsia="Arial" w:hAnsi="Arial"/>
          <w:b w:val="false"/>
          <w:bCs w:val="false"/>
          <w:color w:val="1C2833"/>
          <w:sz w:val="20"/>
          <w:szCs w:val="20"/>
        </w:rPr>
        <w:t xml:space="preserve">2-hour interval windowing solving the silent 1,000-record API cap — a non-trivial production fix</w:t>
      </w:r>
    </w:p>
    <w:p>
      <w:pPr>
        <w:pStyle w:val="ListParagraph"/>
        <w:numPr>
          <w:ilvl w:val="0"/>
          <w:numId w:val="2"/>
        </w:numPr>
        <w:spacing w:before="60" w:after="60"/>
      </w:pPr>
      <w:r>
        <w:rPr>
          <w:rFonts w:ascii="Arial" w:cs="Arial" w:eastAsia="Arial" w:hAnsi="Arial"/>
          <w:b w:val="false"/>
          <w:bCs w:val="false"/>
          <w:color w:val="1C2833"/>
          <w:sz w:val="20"/>
          <w:szCs w:val="20"/>
        </w:rPr>
        <w:t xml:space="preserve">Two run modes: daily automated (defaultsearch=y) and historical backfill (defaultsearch=n)</w:t>
      </w:r>
    </w:p>
    <w:p>
      <w:pPr>
        <w:pStyle w:val="ListParagraph"/>
        <w:numPr>
          <w:ilvl w:val="0"/>
          <w:numId w:val="2"/>
        </w:numPr>
        <w:spacing w:before="60" w:after="60"/>
      </w:pPr>
      <w:r>
        <w:rPr>
          <w:rFonts w:ascii="Arial" w:cs="Arial" w:eastAsia="Arial" w:hAnsi="Arial"/>
          <w:b w:val="false"/>
          <w:bCs w:val="false"/>
          <w:color w:val="1C2833"/>
          <w:sz w:val="20"/>
          <w:szCs w:val="20"/>
        </w:rPr>
        <w:t xml:space="preserve">Multi-facility support within a single run — multiple [client-config-N] blocks processed sequentially</w:t>
      </w:r>
    </w:p>
    <w:p>
      <w:pPr>
        <w:pStyle w:val="ListParagraph"/>
        <w:numPr>
          <w:ilvl w:val="0"/>
          <w:numId w:val="2"/>
        </w:numPr>
        <w:spacing w:before="60" w:after="60"/>
      </w:pPr>
      <w:r>
        <w:rPr>
          <w:rFonts w:ascii="Arial" w:cs="Arial" w:eastAsia="Arial" w:hAnsi="Arial"/>
          <w:b w:val="false"/>
          <w:bCs w:val="false"/>
          <w:color w:val="1C2833"/>
          <w:sz w:val="20"/>
          <w:szCs w:val="20"/>
        </w:rPr>
        <w:t xml:space="preserve">Encrypted licensing and host-locking — showing awareness of IP protection from day one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A6E" w:sz="1"/>
              <w:left w:val="single" w:color="1A7A6E" w:sz="12"/>
              <w:bottom w:val="single" w:color="1A7A6E" w:sz="1"/>
              <w:right w:val="single" w:color="1A7A6E" w:sz="1"/>
            </w:tcBorders>
            <w:shd w:fill="E8F5EE" w:val="clear"/>
            <w:tcMar>
              <w:top w:type="dxa" w:w="120"/>
              <w:left w:type="dxa" w:w="200"/>
              <w:bottom w:type="dxa" w:w="120"/>
              <w:right w:type="dxa" w:w="200"/>
            </w:tcMar>
          </w:tcPr>
          <w:p>
            <w:r>
              <w:rPr>
                <w:rFonts w:ascii="Arial" w:cs="Arial" w:eastAsia="Arial" w:hAnsi="Arial"/>
                <w:i/>
                <w:iCs/>
                <w:color w:val="1C2833"/>
                <w:sz w:val="20"/>
                <w:szCs w:val="20"/>
              </w:rPr>
              <w:t xml:space="preserve">The foundation is solid. The transformation is not about replacing what works — it is about removing what constrains it from becoming a scalable product.</w:t>
            </w:r>
          </w:p>
        </w:tc>
      </w:tr>
    </w:tbl>
    <w:p>
      <w:r>
        <w:br w:type="page"/>
      </w:r>
    </w:p>
    <w:p>
      <w:pPr>
        <w:pStyle w:val="Heading1"/>
        <w:spacing w:before="360" w:after="180"/>
      </w:pPr>
      <w:r>
        <w:rPr>
          <w:rFonts w:ascii="Arial" w:cs="Arial" w:eastAsia="Arial" w:hAnsi="Arial"/>
          <w:b/>
          <w:bCs/>
          <w:color w:val="1B3A5C"/>
          <w:sz w:val="40"/>
          <w:szCs w:val="40"/>
        </w:rPr>
        <w:t xml:space="preserve">2.  Why the Current Model Cannot Scale</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The current model worked well for a small number of facilities managed by one person in one location. But every single element of the model becomes a liability as the number of clients grows. Below is an honest assessment of the structural breaking points.</w:t>
      </w:r>
    </w:p>
    <w:p>
      <w:r>
        <w:t xml:space="preserve"/>
      </w:r>
    </w:p>
    <w:p>
      <w:pPr>
        <w:pStyle w:val="Heading2"/>
        <w:spacing w:before="280" w:after="120"/>
      </w:pPr>
      <w:r>
        <w:rPr>
          <w:rFonts w:ascii="Arial" w:cs="Arial" w:eastAsia="Arial" w:hAnsi="Arial"/>
          <w:b/>
          <w:bCs/>
          <w:color w:val="8B1A1A"/>
          <w:sz w:val="30"/>
          <w:szCs w:val="30"/>
        </w:rPr>
        <w:t xml:space="preserve">2.1  The Single Point of Failure Problem</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Scenario</w:t>
            </w:r>
          </w:p>
        </w:tc>
        <w:tc>
          <w:tcPr>
            <w:tcW w:type="dxa" w:w="3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Impact</w:t>
            </w:r>
          </w:p>
        </w:tc>
        <w:tc>
          <w:tcPr>
            <w:tcW w:type="dxa" w:w="3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Risk Level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Saleem's PC crashes or is replaced</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All facilities go dark. No downloads, no reports, no recovery without manual rebuild</w:t>
            </w:r>
          </w:p>
        </w:tc>
        <w:tc>
          <w:tcPr>
            <w:tcW w:type="dxa" w:w="31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8B1A1A"/>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Saleem is unavailable for a week</w:t>
            </w:r>
          </w:p>
        </w:tc>
        <w:tc>
          <w:tcPr>
            <w:tcW w:type="dxa" w:w="31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No support, no config changes, no new facility onboarding possible</w:t>
            </w:r>
          </w:p>
        </w:tc>
        <w:tc>
          <w:tcPr>
            <w:tcW w:type="dxa" w:w="31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center"/>
            </w:pPr>
            <w:r>
              <w:rPr>
                <w:rFonts w:ascii="Arial" w:cs="Arial" w:eastAsia="Arial" w:hAnsi="Arial"/>
                <w:b/>
                <w:bCs/>
                <w:color w:val="B8860B"/>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Facility changes their Shafafiya password</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Manual INI update required via AnyDesk. Sync stops until this is done</w:t>
            </w:r>
          </w:p>
        </w:tc>
        <w:tc>
          <w:tcPr>
            <w:tcW w:type="dxa" w:w="31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center"/>
            </w:pPr>
            <w:r>
              <w:rPr>
                <w:rFonts w:ascii="Arial" w:cs="Arial" w:eastAsia="Arial" w:hAnsi="Arial"/>
                <w:b/>
                <w:bCs/>
                <w:color w:val="B8860B"/>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DOH releases a Shafafiya API update</w:t>
            </w:r>
          </w:p>
        </w:tc>
        <w:tc>
          <w:tcPr>
            <w:tcW w:type="dxa" w:w="31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Manual update to .exe, manual re-deployment to every client PC individually</w:t>
            </w:r>
          </w:p>
        </w:tc>
        <w:tc>
          <w:tcPr>
            <w:tcW w:type="dxa" w:w="31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center"/>
            </w:pPr>
            <w:r>
              <w:rPr>
                <w:rFonts w:ascii="Arial" w:cs="Arial" w:eastAsia="Arial" w:hAnsi="Arial"/>
                <w:b/>
                <w:bCs/>
                <w:color w:val="B8860B"/>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New facility wants to onboard</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Full manual setup: AnyDesk, INI edit, folder creation, testing. Half a day of developer time per client</w:t>
            </w:r>
          </w:p>
        </w:tc>
        <w:tc>
          <w:tcPr>
            <w:tcW w:type="dxa" w:w="31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center"/>
            </w:pPr>
            <w:r>
              <w:rPr>
                <w:rFonts w:ascii="Arial" w:cs="Arial" w:eastAsia="Arial" w:hAnsi="Arial"/>
                <w:b/>
                <w:bCs/>
                <w:color w:val="1A7A6E"/>
                <w:sz w:val="19"/>
                <w:szCs w:val="19"/>
              </w:rPr>
              <w:t xml:space="preserve">MEDIUM</w:t>
            </w:r>
          </w:p>
        </w:tc>
      </w:tr>
    </w:tbl>
    <w:p>
      <w:r>
        <w:t xml:space="preserve"/>
      </w:r>
    </w:p>
    <w:p>
      <w:pPr>
        <w:pStyle w:val="Heading2"/>
        <w:spacing w:before="280" w:after="120"/>
      </w:pPr>
      <w:r>
        <w:rPr>
          <w:rFonts w:ascii="Arial" w:cs="Arial" w:eastAsia="Arial" w:hAnsi="Arial"/>
          <w:b/>
          <w:bCs/>
          <w:color w:val="8B1A1A"/>
          <w:sz w:val="30"/>
          <w:szCs w:val="30"/>
        </w:rPr>
        <w:t xml:space="preserve">2.2  The Credentials Problem</w:t>
      </w:r>
    </w:p>
    <w:p>
      <w:pPr>
        <w:spacing w:before="80" w:after="80"/>
      </w:pPr>
      <w:r>
        <w:rPr>
          <w:rFonts w:ascii="Arial" w:cs="Arial" w:eastAsia="Arial" w:hAnsi="Arial"/>
          <w:b w:val="false"/>
          <w:bCs w:val="false"/>
          <w:color w:val="1C2833"/>
          <w:sz w:val="20"/>
          <w:szCs w:val="20"/>
        </w:rPr>
        <w:t xml:space="preserve">This is the most serious structural issue. The current flow requires facilities to share their official Shafafiya government portal credentials — login ID and password — with a third party (Saleem) who stores them in a plain text configuration file on a personal computer. This is:</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A security risk: credentials on a personal PC, accessible via AnyDesk remote sessions</w:t>
      </w:r>
    </w:p>
    <w:p>
      <w:pPr>
        <w:pStyle w:val="ListParagraph"/>
        <w:numPr>
          <w:ilvl w:val="0"/>
          <w:numId w:val="2"/>
        </w:numPr>
        <w:spacing w:before="60" w:after="60"/>
      </w:pPr>
      <w:r>
        <w:rPr>
          <w:rFonts w:ascii="Arial" w:cs="Arial" w:eastAsia="Arial" w:hAnsi="Arial"/>
          <w:b w:val="false"/>
          <w:bCs w:val="false"/>
          <w:color w:val="1C2833"/>
          <w:sz w:val="20"/>
          <w:szCs w:val="20"/>
        </w:rPr>
        <w:t xml:space="preserve">A compliance risk: UAE health regulations and ADHICS standards require controlled access to health system credentials</w:t>
      </w:r>
    </w:p>
    <w:p>
      <w:pPr>
        <w:pStyle w:val="ListParagraph"/>
        <w:numPr>
          <w:ilvl w:val="0"/>
          <w:numId w:val="2"/>
        </w:numPr>
        <w:spacing w:before="60" w:after="60"/>
      </w:pPr>
      <w:r>
        <w:rPr>
          <w:rFonts w:ascii="Arial" w:cs="Arial" w:eastAsia="Arial" w:hAnsi="Arial"/>
          <w:b w:val="false"/>
          <w:bCs w:val="false"/>
          <w:color w:val="1C2833"/>
          <w:sz w:val="20"/>
          <w:szCs w:val="20"/>
        </w:rPr>
        <w:t xml:space="preserve">A trust barrier: potential new clients will hesitate when asked to share their DOH credentials to an unknown party</w:t>
      </w:r>
    </w:p>
    <w:p>
      <w:pPr>
        <w:pStyle w:val="ListParagraph"/>
        <w:numPr>
          <w:ilvl w:val="0"/>
          <w:numId w:val="2"/>
        </w:numPr>
        <w:spacing w:before="60" w:after="60"/>
      </w:pPr>
      <w:r>
        <w:rPr>
          <w:rFonts w:ascii="Arial" w:cs="Arial" w:eastAsia="Arial" w:hAnsi="Arial"/>
          <w:b w:val="false"/>
          <w:bCs w:val="false"/>
          <w:color w:val="1C2833"/>
          <w:sz w:val="20"/>
          <w:szCs w:val="20"/>
        </w:rPr>
        <w:t xml:space="preserve">An operational burden: every password change requires a manual AnyDesk call to update the INI file</w:t>
      </w:r>
    </w:p>
    <w:p>
      <w:r>
        <w:t xml:space="preserve"/>
      </w:r>
    </w:p>
    <w:p>
      <w:pPr>
        <w:pStyle w:val="Heading2"/>
        <w:spacing w:before="280" w:after="120"/>
      </w:pPr>
      <w:r>
        <w:rPr>
          <w:rFonts w:ascii="Arial" w:cs="Arial" w:eastAsia="Arial" w:hAnsi="Arial"/>
          <w:b/>
          <w:bCs/>
          <w:color w:val="8B1A1A"/>
          <w:sz w:val="30"/>
          <w:szCs w:val="30"/>
        </w:rPr>
        <w:t xml:space="preserve">2.3  The Commercial Problem</w:t>
      </w:r>
    </w:p>
    <w:p>
      <w:pPr>
        <w:spacing w:before="80" w:after="80"/>
      </w:pPr>
      <w:r>
        <w:rPr>
          <w:rFonts w:ascii="Arial" w:cs="Arial" w:eastAsia="Arial" w:hAnsi="Arial"/>
          <w:b w:val="false"/>
          <w:bCs w:val="false"/>
          <w:color w:val="1C2833"/>
          <w:sz w:val="20"/>
          <w:szCs w:val="20"/>
        </w:rPr>
        <w:t xml:space="preserve">The current commercial model — one-time payment, free enhancements, no formal agreement — has three serious problems that directly affect the builders of this product:</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Free enhancements: Every improvement — including the technically significant 2-hour windowing fix, zip archival, resubmission handling — was delivered at no additional cost. The value created was not captured.</w:t>
      </w:r>
    </w:p>
    <w:p>
      <w:pPr>
        <w:pStyle w:val="ListParagraph"/>
        <w:numPr>
          <w:ilvl w:val="0"/>
          <w:numId w:val="2"/>
        </w:numPr>
        <w:spacing w:before="60" w:after="60"/>
      </w:pPr>
      <w:r>
        <w:rPr>
          <w:rFonts w:ascii="Arial" w:cs="Arial" w:eastAsia="Arial" w:hAnsi="Arial"/>
          <w:b w:val="false"/>
          <w:bCs w:val="false"/>
          <w:color w:val="1C2833"/>
          <w:sz w:val="20"/>
          <w:szCs w:val="20"/>
        </w:rPr>
        <w:t xml:space="preserve">No visibility: The development team has no direct relationship with the end facilities. What Saleem charges them, how he positions the product, whether clients are satisfied — none of this is visible to the builders.</w:t>
      </w:r>
    </w:p>
    <w:p>
      <w:pPr>
        <w:pStyle w:val="ListParagraph"/>
        <w:numPr>
          <w:ilvl w:val="0"/>
          <w:numId w:val="2"/>
        </w:numPr>
        <w:spacing w:before="60" w:after="60"/>
      </w:pPr>
      <w:r>
        <w:rPr>
          <w:rFonts w:ascii="Arial" w:cs="Arial" w:eastAsia="Arial" w:hAnsi="Arial"/>
          <w:b w:val="false"/>
          <w:bCs w:val="false"/>
          <w:color w:val="1C2833"/>
          <w:sz w:val="20"/>
          <w:szCs w:val="20"/>
        </w:rPr>
        <w:t xml:space="preserve">No recurring revenue: A one-time payment model means the team must continuously find new clients just to maintain income. There is no compounding, no retention value, no business asset being built.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B1A1A" w:sz="1"/>
              <w:left w:val="single" w:color="8B1A1A" w:sz="12"/>
              <w:bottom w:val="single" w:color="8B1A1A" w:sz="1"/>
              <w:right w:val="single" w:color="8B1A1A" w:sz="1"/>
            </w:tcBorders>
            <w:shd w:fill="FDECEA" w:val="clear"/>
            <w:tcMar>
              <w:top w:type="dxa" w:w="120"/>
              <w:left w:type="dxa" w:w="200"/>
              <w:bottom w:type="dxa" w:w="120"/>
              <w:right w:type="dxa" w:w="200"/>
            </w:tcMar>
          </w:tcPr>
          <w:p>
            <w:r>
              <w:rPr>
                <w:rFonts w:ascii="Arial" w:cs="Arial" w:eastAsia="Arial" w:hAnsi="Arial"/>
                <w:i/>
                <w:iCs/>
                <w:color w:val="1C2833"/>
                <w:sz w:val="20"/>
                <w:szCs w:val="20"/>
              </w:rPr>
              <w:t xml:space="preserve">A business where the people who create all the value capture none of the recurring value is not a business — it is a service dependency. The SaaS transformation fixes this at the root.</w:t>
            </w:r>
          </w:p>
        </w:tc>
      </w:tr>
    </w:tbl>
    <w:p>
      <w:r>
        <w:br w:type="page"/>
      </w:r>
    </w:p>
    <w:p>
      <w:pPr>
        <w:pStyle w:val="Heading1"/>
        <w:spacing w:before="360" w:after="180"/>
      </w:pPr>
      <w:r>
        <w:rPr>
          <w:rFonts w:ascii="Arial" w:cs="Arial" w:eastAsia="Arial" w:hAnsi="Arial"/>
          <w:b/>
          <w:bCs/>
          <w:color w:val="1B3A5C"/>
          <w:sz w:val="40"/>
          <w:szCs w:val="40"/>
        </w:rPr>
        <w:t xml:space="preserve">3.  The SaaS Transformation — What Changes and Why</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The transformation from desktop tool to cloud SaaS is not a technology project. It is a business model redesign that happens to require technology. Every change has a direct business reason.</w:t>
      </w:r>
    </w:p>
    <w:p>
      <w:r>
        <w:t xml:space="preserve"/>
      </w:r>
    </w:p>
    <w:p>
      <w:pPr>
        <w:pStyle w:val="Heading2"/>
        <w:spacing w:before="280" w:after="120"/>
      </w:pPr>
      <w:r>
        <w:rPr>
          <w:rFonts w:ascii="Arial" w:cs="Arial" w:eastAsia="Arial" w:hAnsi="Arial"/>
          <w:b/>
          <w:bCs/>
          <w:color w:val="1A7A6E"/>
          <w:sz w:val="30"/>
          <w:szCs w:val="30"/>
        </w:rPr>
        <w:t xml:space="preserve">3.1  The Before and After</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Model (Desktop Tool)</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SaaS Model (ClaimsSync Cloud)</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Who runs it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Saleem manually triggers .exe on a local PC</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Automated scheduler runs on Azure — no human trigger needed</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Credentials</w:t>
            </w:r>
          </w:p>
        </w:tc>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Shared with Saleem, stored in plain text INI file on a PC</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Facility enters own credentials on secure portal. Encrypted in Azure Key Vault. Nobody else can read them.</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Client access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No direct access. Reports emailed by Saleem when he remembers</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Facility logs into their own dashboard anytime. Live sync status, file downloads, run history — all self-service</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New client</w:t>
            </w:r>
          </w:p>
        </w:tc>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Half a day: AnyDesk session, manual INI setup, folder creation, testing</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15 minutes: facility admin fills web onboarding form. Account live automatically.</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Reporting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Local Power BI, manually refreshed, sent by email</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Live dashboard in portal. Key stats always current. Optional Power BI Service connection for advanced users.</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Revenue</w:t>
            </w:r>
          </w:p>
        </w:tc>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One-time payment. Free enhancements. No predictable income.</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Monthly subscription per facility. Predictable, recurring, scalable revenue.</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Failure recovery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Manual AnyDesk session, manual re-run, manual check</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Automatic alerts on failure. One-click re-run from dashboard. Azure monitoring tracks every run.</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Scale limit</w:t>
            </w:r>
          </w:p>
        </w:tc>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Practically limited to what Saleem can manually manage — a handful of clients</w:t>
            </w:r>
          </w:p>
        </w:tc>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Each new tenant is self-contained. 100 facilities cost the same to operate as 10.</w:t>
            </w:r>
          </w:p>
        </w:tc>
      </w:tr>
    </w:tbl>
    <w:p>
      <w:r>
        <w:t xml:space="preserve"/>
      </w:r>
    </w:p>
    <w:p>
      <w:pPr>
        <w:pStyle w:val="Heading2"/>
        <w:spacing w:before="280" w:after="120"/>
      </w:pPr>
      <w:r>
        <w:rPr>
          <w:rFonts w:ascii="Arial" w:cs="Arial" w:eastAsia="Arial" w:hAnsi="Arial"/>
          <w:b/>
          <w:bCs/>
          <w:color w:val="1A7A6E"/>
          <w:sz w:val="30"/>
          <w:szCs w:val="30"/>
        </w:rPr>
        <w:t xml:space="preserve">3.2  The Idempotency Advantage — A Hidden Strength</w:t>
      </w:r>
    </w:p>
    <w:p>
      <w:pPr>
        <w:spacing w:before="80" w:after="80"/>
      </w:pPr>
      <w:r>
        <w:rPr>
          <w:rFonts w:ascii="Arial" w:cs="Arial" w:eastAsia="Arial" w:hAnsi="Arial"/>
          <w:b w:val="false"/>
          <w:bCs w:val="false"/>
          <w:color w:val="1C2833"/>
          <w:sz w:val="20"/>
          <w:szCs w:val="20"/>
        </w:rPr>
        <w:t xml:space="preserve">One of the most important design decisions in the current tool was intentional and will carry forward unchanged into the cloud version: SetTransactionDownloaded is deliberately NOT called after file download.</w:t>
      </w:r>
    </w:p>
    <w:p>
      <w:r>
        <w:t xml:space="preserve"/>
      </w:r>
    </w:p>
    <w:p>
      <w:pPr>
        <w:spacing w:before="80" w:after="80"/>
      </w:pPr>
      <w:r>
        <w:rPr>
          <w:rFonts w:ascii="Arial" w:cs="Arial" w:eastAsia="Arial" w:hAnsi="Arial"/>
          <w:b w:val="false"/>
          <w:bCs w:val="false"/>
          <w:color w:val="1C2833"/>
          <w:sz w:val="20"/>
          <w:szCs w:val="20"/>
        </w:rPr>
        <w:t xml:space="preserve">This means files always remain available for re-download on the Shafafiya side. Any failed run can simply be re-triggered — files come back, overwrite cleanly, no data is ever lost. This is a professional-grade design choice that makes the cloud version inherently resilient without complex error recovery logic.</w:t>
      </w:r>
    </w:p>
    <w:p>
      <w:r>
        <w:t xml:space="preserve"/>
      </w:r>
    </w:p>
    <w:p>
      <w:pPr>
        <w:spacing w:before="80" w:after="80"/>
      </w:pPr>
      <w:r>
        <w:rPr>
          <w:rFonts w:ascii="Arial" w:cs="Arial" w:eastAsia="Arial" w:hAnsi="Arial"/>
          <w:b w:val="false"/>
          <w:bCs w:val="false"/>
          <w:color w:val="1C2833"/>
          <w:sz w:val="20"/>
          <w:szCs w:val="20"/>
        </w:rPr>
        <w:t xml:space="preserve">Combined with the two run modes — daily automated sync (defaultsearch=y, previous day to now) and historical backfill (defaultsearch=n, any date range) — the cloud version can handle both routine operations and full onboarding catch-ups for new facilities without any special tooling.</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A6E" w:sz="1"/>
              <w:left w:val="single" w:color="1A7A6E" w:sz="12"/>
              <w:bottom w:val="single" w:color="1A7A6E" w:sz="1"/>
              <w:right w:val="single" w:color="1A7A6E" w:sz="1"/>
            </w:tcBorders>
            <w:shd w:fill="E8F5EE" w:val="clear"/>
            <w:tcMar>
              <w:top w:type="dxa" w:w="120"/>
              <w:left w:type="dxa" w:w="200"/>
              <w:bottom w:type="dxa" w:w="120"/>
              <w:right w:type="dxa" w:w="200"/>
            </w:tcMar>
          </w:tcPr>
          <w:p>
            <w:r>
              <w:rPr>
                <w:rFonts w:ascii="Arial" w:cs="Arial" w:eastAsia="Arial" w:hAnsi="Arial"/>
                <w:i/>
                <w:iCs/>
                <w:color w:val="1C2833"/>
                <w:sz w:val="20"/>
                <w:szCs w:val="20"/>
              </w:rPr>
              <w:t xml:space="preserve">The core engine is already cloud-ready in philosophy. The transformation is about the delivery model, not the logic.</w:t>
            </w:r>
          </w:p>
        </w:tc>
      </w:tr>
    </w:tbl>
    <w:p>
      <w:r>
        <w:br w:type="page"/>
      </w:r>
    </w:p>
    <w:p>
      <w:pPr>
        <w:pStyle w:val="Heading1"/>
        <w:spacing w:before="360" w:after="180"/>
      </w:pPr>
      <w:r>
        <w:rPr>
          <w:rFonts w:ascii="Arial" w:cs="Arial" w:eastAsia="Arial" w:hAnsi="Arial"/>
          <w:b/>
          <w:bCs/>
          <w:color w:val="1B3A5C"/>
          <w:sz w:val="40"/>
          <w:szCs w:val="40"/>
        </w:rPr>
        <w:t xml:space="preserve">4.  Who Wins — and How</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The SaaS model is not a win for one party at the expense of another. Each stakeholder in this ecosystem gains something real and concrete. This is why the model is sustainable.</w:t>
      </w:r>
    </w:p>
    <w:p>
      <w:r>
        <w:t xml:space="preserve"/>
      </w:r>
    </w:p>
    <w:p>
      <w:pPr>
        <w:pStyle w:val="Heading2"/>
        <w:spacing w:before="280" w:after="120"/>
      </w:pPr>
      <w:r>
        <w:rPr>
          <w:rFonts w:ascii="Arial" w:cs="Arial" w:eastAsia="Arial" w:hAnsi="Arial"/>
          <w:b/>
          <w:bCs/>
          <w:color w:val="1A7A6E"/>
          <w:sz w:val="30"/>
          <w:szCs w:val="30"/>
        </w:rPr>
        <w:t xml:space="preserve">4.1  The Facilities Win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They Gain</w:t>
            </w:r>
          </w:p>
        </w:tc>
        <w:tc>
          <w:tcPr>
            <w:tcW w:type="dxa" w:w="6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Credential security</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They enter their own Shafafiya credentials directly. Nobody — not Kaaryaa, not Saleem — ever sees them. This is a major upgrade from current practice where credentials sit on a third-party PC.</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Always-on automation</w:t>
            </w:r>
          </w:p>
        </w:tc>
        <w:tc>
          <w:tcPr>
            <w:tcW w:type="dxa" w:w="6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Sync runs daily without anyone triggering it. No dependency on Saleem being available, no PC needing to be on. Claims and remittance files appear in their portal every morning.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Self-service access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Finance manager logs in anytime, sees sync status, downloads files, checks reconciliation counts. No waiting for an email from Saleem.</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Transparent pricing</w:t>
            </w:r>
          </w:p>
        </w:tc>
        <w:tc>
          <w:tcPr>
            <w:tcW w:type="dxa" w:w="6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Published subscription tiers. They know exactly what they pay and what they get. No surprise charges, no negotiation.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Business continuity</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The service does not depend on any individual person's availability. DOH inspection tomorrow? Files are already downloaded, archived, accessible.</w:t>
            </w:r>
          </w:p>
        </w:tc>
      </w:tr>
    </w:tbl>
    <w:p>
      <w:r>
        <w:t xml:space="preserve"/>
      </w:r>
    </w:p>
    <w:p>
      <w:pPr>
        <w:pStyle w:val="Heading2"/>
        <w:spacing w:before="280" w:after="120"/>
      </w:pPr>
      <w:r>
        <w:rPr>
          <w:rFonts w:ascii="Arial" w:cs="Arial" w:eastAsia="Arial" w:hAnsi="Arial"/>
          <w:b/>
          <w:bCs/>
          <w:color w:val="1A7A6E"/>
          <w:sz w:val="30"/>
          <w:szCs w:val="30"/>
        </w:rPr>
        <w:t xml:space="preserve">4.2  Saleem Wins — If He Chooses To</w:t>
      </w:r>
    </w:p>
    <w:p>
      <w:pPr>
        <w:spacing w:before="80" w:after="80"/>
      </w:pPr>
      <w:r>
        <w:rPr>
          <w:rFonts w:ascii="Arial" w:cs="Arial" w:eastAsia="Arial" w:hAnsi="Arial"/>
          <w:b w:val="false"/>
          <w:bCs w:val="false"/>
          <w:color w:val="1C2833"/>
          <w:sz w:val="20"/>
          <w:szCs w:val="20"/>
        </w:rPr>
        <w:t xml:space="preserve">The SaaS model actually creates a better commercial outcome for Saleem too — provided he accepts the formalisation of his role. The conversation is not confrontational. It is an upgrade offer.</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Situation</w:t>
            </w:r>
          </w:p>
        </w:tc>
        <w:tc>
          <w:tcPr>
            <w:tcW w:type="dxa" w:w="6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New Partner Model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Technical operations burden: manages INI files, AnyDesk sessions, manual re-runs</w:t>
            </w:r>
          </w:p>
        </w:tc>
        <w:tc>
          <w:tcPr>
            <w:tcW w:type="dxa" w:w="6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Zero technical operations: platform runs itself. Saleem focuses only on client relationships and bringing new facilities.</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No predictable income: one-time payments, irregular</w:t>
            </w:r>
          </w:p>
        </w:tc>
        <w:tc>
          <w:tcPr>
            <w:tcW w:type="dxa" w:w="6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Recurring partner commission: 15-20% of every monthly subscription for every facility he brings on. Passive, compounding income.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Holds credentials: liability and responsibility</w:t>
            </w:r>
          </w:p>
        </w:tc>
        <w:tc>
          <w:tcPr>
            <w:tcW w:type="dxa" w:w="6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Never touches credentials again: facilities manage their own. Saleem's liability is eliminated.</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Product depends entirely on him to operate</w:t>
            </w:r>
          </w:p>
        </w:tc>
        <w:tc>
          <w:tcPr>
            <w:tcW w:type="dxa" w:w="6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Product operates independently. His value is his UAE network and client trust — which is genuinely valuable.</w:t>
            </w:r>
          </w:p>
        </w:tc>
      </w:tr>
    </w:tbl>
    <w:p>
      <w:r>
        <w:t xml:space="preserve"/>
      </w:r>
    </w:p>
    <w:p>
      <w:pPr>
        <w:spacing w:before="80" w:after="80"/>
      </w:pPr>
      <w:r>
        <w:rPr>
          <w:rFonts w:ascii="Arial" w:cs="Arial" w:eastAsia="Arial" w:hAnsi="Arial"/>
          <w:b/>
          <w:bCs/>
          <w:color w:val="1B3A5C"/>
          <w:sz w:val="20"/>
          <w:szCs w:val="20"/>
        </w:rPr>
        <w:t xml:space="preserve">The ask is simple: </w:t>
      </w:r>
      <w:r>
        <w:rPr>
          <w:rFonts w:ascii="Arial" w:cs="Arial" w:eastAsia="Arial" w:hAnsi="Arial"/>
          <w:sz w:val="20"/>
          <w:szCs w:val="20"/>
        </w:rPr>
        <w:t xml:space="preserve">sign a channel partner agreement, bring your existing clients onto the platform, earn a percentage of every invoice they pay — every month, automatically, without doing any technical work.</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A6E" w:sz="1"/>
              <w:left w:val="single" w:color="1A7A6E" w:sz="12"/>
              <w:bottom w:val="single" w:color="1A7A6E" w:sz="1"/>
              <w:right w:val="single" w:color="1A7A6E" w:sz="1"/>
            </w:tcBorders>
            <w:shd w:fill="E8F5EE" w:val="clear"/>
            <w:tcMar>
              <w:top w:type="dxa" w:w="120"/>
              <w:left w:type="dxa" w:w="200"/>
              <w:bottom w:type="dxa" w:w="120"/>
              <w:right w:type="dxa" w:w="200"/>
            </w:tcMar>
          </w:tcPr>
          <w:p>
            <w:r>
              <w:rPr>
                <w:rFonts w:ascii="Arial" w:cs="Arial" w:eastAsia="Arial" w:hAnsi="Arial"/>
                <w:i/>
                <w:iCs/>
                <w:color w:val="1C2833"/>
                <w:sz w:val="20"/>
                <w:szCs w:val="20"/>
              </w:rPr>
              <w:t xml:space="preserve">10 active facilities at AED 999/month = AED 1,500/month passive income for Saleem from a 15% partner fee. Better than any one-time payment model.</w:t>
            </w:r>
          </w:p>
        </w:tc>
      </w:tr>
    </w:tbl>
    <w:p>
      <w:r>
        <w:t xml:space="preserve"/>
      </w:r>
    </w:p>
    <w:p>
      <w:pPr>
        <w:pStyle w:val="Heading2"/>
        <w:spacing w:before="280" w:after="120"/>
      </w:pPr>
      <w:r>
        <w:rPr>
          <w:rFonts w:ascii="Arial" w:cs="Arial" w:eastAsia="Arial" w:hAnsi="Arial"/>
          <w:b/>
          <w:bCs/>
          <w:color w:val="1A7A6E"/>
          <w:sz w:val="30"/>
          <w:szCs w:val="30"/>
        </w:rPr>
        <w:t xml:space="preserve">4.3  Kaaryaa GenAI Solutions Wins — The Biggest Win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Changes</w:t>
            </w:r>
          </w:p>
        </w:tc>
        <w:tc>
          <w:tcPr>
            <w:tcW w:type="dxa" w:w="6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The Business Value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From service provider to product owner</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Kaaryaa owns the IP, the platform, the customer relationships. This is a business asset — not a billable hours dependency.</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Recurring Monthly Revenue (MRR)</w:t>
            </w:r>
          </w:p>
        </w:tc>
        <w:tc>
          <w:tcPr>
            <w:tcW w:type="dxa" w:w="6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Every facility that subscribes generates compounding monthly income. 10 facilities = AED 9,990/month. 30 facilities = AED 30,000/month. The business grows without proportional effort increase.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Formal commercial structure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Enhancements are part of the product roadmap — not free favours. Every improvement increases product value and justifies pricing, not just goodwill.</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Direct client relationships</w:t>
            </w:r>
          </w:p>
        </w:tc>
        <w:tc>
          <w:tcPr>
            <w:tcW w:type="dxa" w:w="6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Facilities are ClaimsSync customers, not Saleem's customers. If Saleem walks away, the business continues. The client base is an asset Kaaryaa owns.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Credibility for GenAI vision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 live, revenue-generating SaaS product in UAE healthcare is the proof point that makes every future Kaaryaa pitch — for GuardRailSuite, for AI products — credible.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bCs/>
                <w:color w:val="1C2833"/>
                <w:sz w:val="19"/>
                <w:szCs w:val="19"/>
              </w:rPr>
              <w:t xml:space="preserve">Scalable without proportional cost</w:t>
            </w:r>
          </w:p>
        </w:tc>
        <w:tc>
          <w:tcPr>
            <w:tcW w:type="dxa" w:w="6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Going from 10 to 50 facilities does not require 5x the people or effort. Cloud infrastructure scales, but the team stays lean.</w:t>
            </w:r>
          </w:p>
        </w:tc>
      </w:tr>
    </w:tbl>
    <w:p>
      <w:r>
        <w:t xml:space="preserve"/>
      </w:r>
    </w:p>
    <w:p>
      <w:pPr>
        <w:pStyle w:val="Heading2"/>
        <w:spacing w:before="280" w:after="120"/>
      </w:pPr>
      <w:r>
        <w:rPr>
          <w:rFonts w:ascii="Arial" w:cs="Arial" w:eastAsia="Arial" w:hAnsi="Arial"/>
          <w:b/>
          <w:bCs/>
          <w:color w:val="1A7A6E"/>
          <w:sz w:val="30"/>
          <w:szCs w:val="30"/>
        </w:rPr>
        <w:t xml:space="preserve">4.4  The Market Wins</w:t>
      </w:r>
    </w:p>
    <w:p>
      <w:pPr>
        <w:spacing w:before="80" w:after="80"/>
      </w:pPr>
      <w:r>
        <w:rPr>
          <w:rFonts w:ascii="Arial" w:cs="Arial" w:eastAsia="Arial" w:hAnsi="Arial"/>
          <w:b w:val="false"/>
          <w:bCs w:val="false"/>
          <w:color w:val="1C2833"/>
          <w:sz w:val="20"/>
          <w:szCs w:val="20"/>
        </w:rPr>
        <w:t xml:space="preserve">Beyond the three direct stakeholders, there is a broader market benefit that ClaimsSync provides — and this matters for positioning and marketing:</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Small and mid-sized clinics that cannot afford large HIS systems finally have an affordable, professional API sync tool</w:t>
      </w:r>
    </w:p>
    <w:p>
      <w:pPr>
        <w:pStyle w:val="ListParagraph"/>
        <w:numPr>
          <w:ilvl w:val="0"/>
          <w:numId w:val="2"/>
        </w:numPr>
        <w:spacing w:before="60" w:after="60"/>
      </w:pPr>
      <w:r>
        <w:rPr>
          <w:rFonts w:ascii="Arial" w:cs="Arial" w:eastAsia="Arial" w:hAnsi="Arial"/>
          <w:b w:val="false"/>
          <w:bCs w:val="false"/>
          <w:color w:val="1C2833"/>
          <w:sz w:val="20"/>
          <w:szCs w:val="20"/>
        </w:rPr>
        <w:t xml:space="preserve">Finance managers get their time back — hours spent on manual claims reconciliation every day are eliminated</w:t>
      </w:r>
    </w:p>
    <w:p>
      <w:pPr>
        <w:pStyle w:val="ListParagraph"/>
        <w:numPr>
          <w:ilvl w:val="0"/>
          <w:numId w:val="2"/>
        </w:numPr>
        <w:spacing w:before="60" w:after="60"/>
      </w:pPr>
      <w:r>
        <w:rPr>
          <w:rFonts w:ascii="Arial" w:cs="Arial" w:eastAsia="Arial" w:hAnsi="Arial"/>
          <w:b w:val="false"/>
          <w:bCs w:val="false"/>
          <w:color w:val="1C2833"/>
          <w:sz w:val="20"/>
          <w:szCs w:val="20"/>
        </w:rPr>
        <w:t xml:space="preserve">DOH compliance improves across the market — automated sync means fewer missed files, fewer rejected claims, fewer penalty situations</w:t>
      </w:r>
    </w:p>
    <w:p>
      <w:pPr>
        <w:pStyle w:val="ListParagraph"/>
        <w:numPr>
          <w:ilvl w:val="0"/>
          <w:numId w:val="2"/>
        </w:numPr>
        <w:spacing w:before="60" w:after="60"/>
      </w:pPr>
      <w:r>
        <w:rPr>
          <w:rFonts w:ascii="Arial" w:cs="Arial" w:eastAsia="Arial" w:hAnsi="Arial"/>
          <w:b w:val="false"/>
          <w:bCs w:val="false"/>
          <w:color w:val="1C2833"/>
          <w:sz w:val="20"/>
          <w:szCs w:val="20"/>
        </w:rPr>
        <w:t xml:space="preserve">The UAE healthtech ecosystem gets a local, focused, cloud-native product rather than a generic international tool that doesn't understand Shafafiya</w:t>
      </w:r>
    </w:p>
    <w:p>
      <w:r>
        <w:br w:type="page"/>
      </w:r>
    </w:p>
    <w:p>
      <w:pPr>
        <w:pStyle w:val="Heading1"/>
        <w:spacing w:before="360" w:after="180"/>
      </w:pPr>
      <w:r>
        <w:rPr>
          <w:rFonts w:ascii="Arial" w:cs="Arial" w:eastAsia="Arial" w:hAnsi="Arial"/>
          <w:b/>
          <w:bCs/>
          <w:color w:val="1B3A5C"/>
          <w:sz w:val="40"/>
          <w:szCs w:val="40"/>
        </w:rPr>
        <w:t xml:space="preserve">5.  The Channel Partner Framework</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The relationship with Saleem — and any future UAE-based partners including SaaSSandhai.AI network contacts — should be formalised into a clear, written Channel Partner Agreement before any existing clients are migrated to the cloud platform. This protects everyone and sets clear expectations.</w:t>
      </w:r>
    </w:p>
    <w:p>
      <w:r>
        <w:t xml:space="preserve"/>
      </w:r>
    </w:p>
    <w:p>
      <w:pPr>
        <w:pStyle w:val="Heading2"/>
        <w:spacing w:before="280" w:after="120"/>
      </w:pPr>
      <w:r>
        <w:rPr>
          <w:rFonts w:ascii="Arial" w:cs="Arial" w:eastAsia="Arial" w:hAnsi="Arial"/>
          <w:b/>
          <w:bCs/>
          <w:color w:val="1A7A6E"/>
          <w:sz w:val="30"/>
          <w:szCs w:val="30"/>
        </w:rPr>
        <w:t xml:space="preserve">5.1  Partner Roles — What They Do and Don't Do</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6"/>
      </w:tblGrid>
      <w:tr>
        <w:tc>
          <w:tcPr>
            <w:tcW w:type="dxa" w:w="306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Activity</w:t>
            </w:r>
          </w:p>
        </w:tc>
        <w:tc>
          <w:tcPr>
            <w:tcW w:type="dxa" w:w="306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Partner (Saleem)</w:t>
            </w:r>
          </w:p>
        </w:tc>
        <w:tc>
          <w:tcPr>
            <w:tcW w:type="dxa" w:w="3066"/>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Kaaryaa (Product Owner)</w:t>
            </w:r>
          </w:p>
        </w:tc>
      </w:tr>
      <w:tr>
        <w:tc>
          <w:tcPr>
            <w:tcW w:type="dxa" w:w="306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Client acquisition &amp; introductions</w:t>
            </w:r>
          </w:p>
        </w:tc>
        <w:tc>
          <w:tcPr>
            <w:tcW w:type="dxa" w:w="3067"/>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  Primary responsibility</w:t>
            </w:r>
          </w:p>
        </w:tc>
        <w:tc>
          <w:tcPr>
            <w:tcW w:type="dxa" w:w="30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Support with materials, demos</w:t>
            </w:r>
          </w:p>
        </w:tc>
      </w:tr>
      <w:tr>
        <w:tc>
          <w:tcPr>
            <w:tcW w:type="dxa" w:w="3067"/>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Product demo &amp; onboarding walk-through</w:t>
            </w:r>
          </w:p>
        </w:tc>
        <w:tc>
          <w:tcPr>
            <w:tcW w:type="dxa" w:w="3067"/>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  First contact</w:t>
            </w:r>
          </w:p>
        </w:tc>
        <w:tc>
          <w:tcPr>
            <w:tcW w:type="dxa" w:w="3066"/>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  Technical onboarding support</w:t>
            </w:r>
          </w:p>
        </w:tc>
      </w:tr>
      <w:tr>
        <w:tc>
          <w:tcPr>
            <w:tcW w:type="dxa" w:w="306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Credential management</w:t>
            </w:r>
          </w:p>
        </w:tc>
        <w:tc>
          <w:tcPr>
            <w:tcW w:type="dxa" w:w="3067"/>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  Not involved</w:t>
            </w:r>
          </w:p>
        </w:tc>
        <w:tc>
          <w:tcPr>
            <w:tcW w:type="dxa" w:w="30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Platform handles via Key Vault</w:t>
            </w:r>
          </w:p>
        </w:tc>
      </w:tr>
      <w:tr>
        <w:tc>
          <w:tcPr>
            <w:tcW w:type="dxa" w:w="3067"/>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Technical support &amp; issue resolution</w:t>
            </w:r>
          </w:p>
        </w:tc>
        <w:tc>
          <w:tcPr>
            <w:tcW w:type="dxa" w:w="3067"/>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  Not involved</w:t>
            </w:r>
          </w:p>
        </w:tc>
        <w:tc>
          <w:tcPr>
            <w:tcW w:type="dxa" w:w="3066"/>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  Kaaryaa support team via ticket</w:t>
            </w:r>
          </w:p>
        </w:tc>
      </w:tr>
      <w:tr>
        <w:tc>
          <w:tcPr>
            <w:tcW w:type="dxa" w:w="306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Product enhancements &amp; roadmap</w:t>
            </w:r>
          </w:p>
        </w:tc>
        <w:tc>
          <w:tcPr>
            <w:tcW w:type="dxa" w:w="306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Can submit requests</w:t>
            </w:r>
          </w:p>
        </w:tc>
        <w:tc>
          <w:tcPr>
            <w:tcW w:type="dxa" w:w="30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  Kaaryaa decides, builds, ships</w:t>
            </w:r>
          </w:p>
        </w:tc>
      </w:tr>
      <w:tr>
        <w:tc>
          <w:tcPr>
            <w:tcW w:type="dxa" w:w="3067"/>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Subscription invoicing &amp; collection</w:t>
            </w:r>
          </w:p>
        </w:tc>
        <w:tc>
          <w:tcPr>
            <w:tcW w:type="dxa" w:w="3067"/>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  Not involved</w:t>
            </w:r>
          </w:p>
        </w:tc>
        <w:tc>
          <w:tcPr>
            <w:tcW w:type="dxa" w:w="3066"/>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  Kaaryaa invoices directly to facility</w:t>
            </w:r>
          </w:p>
        </w:tc>
      </w:tr>
      <w:tr>
        <w:tc>
          <w:tcPr>
            <w:tcW w:type="dxa" w:w="306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Partner commission</w:t>
            </w:r>
          </w:p>
        </w:tc>
        <w:tc>
          <w:tcPr>
            <w:tcW w:type="dxa" w:w="3067"/>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Receives monthly % automatically</w:t>
            </w:r>
          </w:p>
        </w:tc>
        <w:tc>
          <w:tcPr>
            <w:tcW w:type="dxa" w:w="30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Pays partner via automated calculation</w:t>
            </w:r>
          </w:p>
        </w:tc>
      </w:tr>
    </w:tbl>
    <w:p>
      <w:r>
        <w:t xml:space="preserve"/>
      </w:r>
    </w:p>
    <w:p>
      <w:pPr>
        <w:pStyle w:val="Heading2"/>
        <w:spacing w:before="280" w:after="120"/>
      </w:pPr>
      <w:r>
        <w:rPr>
          <w:rFonts w:ascii="Arial" w:cs="Arial" w:eastAsia="Arial" w:hAnsi="Arial"/>
          <w:b/>
          <w:bCs/>
          <w:color w:val="1A7A6E"/>
          <w:sz w:val="30"/>
          <w:szCs w:val="30"/>
        </w:rPr>
        <w:t xml:space="preserve">5.2  Commission Structure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Rate</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Onboarding fee (first 3 months subscription)</w:t>
            </w:r>
          </w:p>
        </w:tc>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6B3A"/>
                <w:sz w:val="19"/>
                <w:szCs w:val="19"/>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Starter @ AED 499/mo × 3 × 20% = AED 300 one-time</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Monthly recurring commission</w:t>
            </w:r>
          </w:p>
        </w:tc>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6B3A"/>
                <w:sz w:val="19"/>
                <w:szCs w:val="19"/>
              </w:rPr>
              <w:t xml:space="preserve">15%</w:t>
            </w:r>
          </w:p>
        </w:tc>
        <w:tc>
          <w:tcPr>
            <w:tcW w:type="dxa" w:w="4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10 facilities × AED 999 × 15% = AED 1,499/month passive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Commission duration</w:t>
            </w:r>
          </w:p>
        </w:tc>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6B3A"/>
                <w:sz w:val="19"/>
                <w:szCs w:val="19"/>
              </w:rPr>
              <w:t xml:space="preserve">Lifetime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As long as facility remains subscribed — no expiry</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New client bonus (if &gt;5 new in a quarter)</w:t>
            </w:r>
          </w:p>
        </w:tc>
        <w:tc>
          <w:tcPr>
            <w:tcW w:type="dxa" w:w="22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center"/>
            </w:pPr>
            <w:r>
              <w:rPr>
                <w:rFonts w:ascii="Arial" w:cs="Arial" w:eastAsia="Arial" w:hAnsi="Arial"/>
                <w:b/>
                <w:bCs/>
                <w:color w:val="B8860B"/>
                <w:sz w:val="19"/>
                <w:szCs w:val="19"/>
              </w:rPr>
              <w:t xml:space="preserve">+5% for quarter</w:t>
            </w:r>
          </w:p>
        </w:tc>
        <w:tc>
          <w:tcPr>
            <w:tcW w:type="dxa" w:w="4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Incentive for active pipeline building</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A6E" w:sz="1"/>
              <w:left w:val="single" w:color="1A7A6E" w:sz="12"/>
              <w:bottom w:val="single" w:color="1A7A6E" w:sz="1"/>
              <w:right w:val="single" w:color="1A7A6E" w:sz="1"/>
            </w:tcBorders>
            <w:shd w:fill="E8F5EE" w:val="clear"/>
            <w:tcMar>
              <w:top w:type="dxa" w:w="120"/>
              <w:left w:type="dxa" w:w="200"/>
              <w:bottom w:type="dxa" w:w="120"/>
              <w:right w:type="dxa" w:w="200"/>
            </w:tcMar>
          </w:tcPr>
          <w:p>
            <w:r>
              <w:rPr>
                <w:rFonts w:ascii="Arial" w:cs="Arial" w:eastAsia="Arial" w:hAnsi="Arial"/>
                <w:i/>
                <w:iCs/>
                <w:color w:val="1C2833"/>
                <w:sz w:val="20"/>
                <w:szCs w:val="20"/>
              </w:rPr>
              <w:t xml:space="preserve">This structure means Saleem earns more, reliably, doing less operational work — and Kaaryaa retains full product control, client relationships, and IP ownership. It is genuinely better for both parties than the current arrangement.</w:t>
            </w:r>
          </w:p>
        </w:tc>
      </w:tr>
    </w:tbl>
    <w:p>
      <w:r>
        <w:br w:type="page"/>
      </w:r>
    </w:p>
    <w:p>
      <w:pPr>
        <w:pStyle w:val="Heading1"/>
        <w:spacing w:before="360" w:after="180"/>
      </w:pPr>
      <w:r>
        <w:rPr>
          <w:rFonts w:ascii="Arial" w:cs="Arial" w:eastAsia="Arial" w:hAnsi="Arial"/>
          <w:b/>
          <w:bCs/>
          <w:color w:val="1B3A5C"/>
          <w:sz w:val="40"/>
          <w:szCs w:val="40"/>
        </w:rPr>
        <w:t xml:space="preserve">6.  The Sure Win Case</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Most SaaS businesses launch into an unknown market hoping to find customers. ClaimsSync launches with structural advantages that make this the closest thing to a sure win in the healthtech space.</w:t>
      </w:r>
    </w:p>
    <w:p>
      <w:r>
        <w:t xml:space="preserve"/>
      </w:r>
    </w:p>
    <w:p>
      <w:pPr>
        <w:pStyle w:val="Heading2"/>
        <w:spacing w:before="280" w:after="120"/>
      </w:pPr>
      <w:r>
        <w:rPr>
          <w:rFonts w:ascii="Arial" w:cs="Arial" w:eastAsia="Arial" w:hAnsi="Arial"/>
          <w:b/>
          <w:bCs/>
          <w:color w:val="1A7A6E"/>
          <w:sz w:val="30"/>
          <w:szCs w:val="30"/>
        </w:rPr>
        <w:t xml:space="preserve">6.1  Why This is Different from a Cold Start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Risk Factor in Typical SaaS Launch</w:t>
            </w:r>
          </w:p>
        </w:tc>
        <w:tc>
          <w:tcPr>
            <w:tcW w:type="dxa" w:w="5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ClaimsSync Position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Does the product work? (Technical risk)</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Eliminated. v8b is in production with real facilities. The core logic is proven.</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Is there a real market? (Market risk)</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Eliminated. 1,200+ DOH-licensed facilities in Abu Dhabi alone, all mandated to use Shafafiya. The market is not hypothetical.</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Will anyone pay? (Revenue risk)</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De-risked. Existing clients are already paying — just in a sub-optimal model. Converting them to subscription is the ask, not a new sale.</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Is the API stable? (Dependency risk)</w:t>
            </w:r>
          </w:p>
        </w:tc>
        <w:tc>
          <w:tcPr>
            <w:tcW w:type="dxa" w:w="52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Low. DOH Shafafiya API v3.5 has been stable since 2019. Government health infrastructure. Versioned WSDL. Staging environment available for testing.</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Can we reach customers? (GTM risk)</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Low. SaaSSandhai.AI Dubai network, existing facility contacts, direct LinkedIn outreach to finance managers. Warm channels available from day one.</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Can we support customers? (Ops risk)</w:t>
            </w:r>
          </w:p>
        </w:tc>
        <w:tc>
          <w:tcPr>
            <w:tcW w:type="dxa" w:w="5200"/>
            <w:tcBorders>
              <w:top w:val="single" w:color="CCCCCC" w:sz="1"/>
              <w:left w:val="single" w:color="CCCCCC" w:sz="1"/>
              <w:bottom w:val="single" w:color="CCCCCC" w:sz="1"/>
              <w:right w:val="single" w:color="CCCCCC" w:sz="1"/>
            </w:tcBorders>
            <w:shd w:fill="FDF3E3"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Low. Cloud infrastructure self-manages. Azure monitoring and alerts reduce support load vs current AnyDesk model. First 10 clients manageable by one person.</w:t>
            </w:r>
          </w:p>
        </w:tc>
      </w:tr>
    </w:tbl>
    <w:p>
      <w:r>
        <w:t xml:space="preserve"/>
      </w:r>
    </w:p>
    <w:p>
      <w:pPr>
        <w:pStyle w:val="Heading2"/>
        <w:spacing w:before="280" w:after="120"/>
      </w:pPr>
      <w:r>
        <w:rPr>
          <w:rFonts w:ascii="Arial" w:cs="Arial" w:eastAsia="Arial" w:hAnsi="Arial"/>
          <w:b/>
          <w:bCs/>
          <w:color w:val="1A7A6E"/>
          <w:sz w:val="30"/>
          <w:szCs w:val="30"/>
        </w:rPr>
        <w:t xml:space="preserve">6.2  The Revenue Projection — Conservative and Realistic</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Milestone</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Facilities</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Avg Tier</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MRR (AED)</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ARR (AED)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Launch (Month 1-2)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2 pilot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Free / Beta</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w:t>
            </w:r>
          </w:p>
        </w:tc>
      </w:tr>
      <w:tr>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 3</w:t>
            </w:r>
          </w:p>
        </w:tc>
        <w:tc>
          <w:tcPr>
            <w:tcW w:type="dxa" w:w="19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3 paying</w:t>
            </w:r>
          </w:p>
        </w:tc>
        <w:tc>
          <w:tcPr>
            <w:tcW w:type="dxa" w:w="19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Starter</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C2833"/>
                <w:sz w:val="19"/>
                <w:szCs w:val="19"/>
              </w:rPr>
              <w:t xml:space="preserve">1,497</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17,964</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 6</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7 paying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Mixed</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C2833"/>
                <w:sz w:val="19"/>
                <w:szCs w:val="19"/>
              </w:rPr>
              <w:t xml:space="preserve">5,500</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66,000</w:t>
            </w:r>
          </w:p>
        </w:tc>
      </w:tr>
      <w:tr>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 12</w:t>
            </w:r>
          </w:p>
        </w:tc>
        <w:tc>
          <w:tcPr>
            <w:tcW w:type="dxa" w:w="19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15 paying</w:t>
            </w:r>
          </w:p>
        </w:tc>
        <w:tc>
          <w:tcPr>
            <w:tcW w:type="dxa" w:w="19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Mixed</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6B3A"/>
                <w:sz w:val="19"/>
                <w:szCs w:val="19"/>
              </w:rPr>
              <w:t xml:space="preserve">12,000</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A6B3A"/>
                <w:sz w:val="19"/>
                <w:szCs w:val="19"/>
              </w:rPr>
              <w:t xml:space="preserve">144,000</w:t>
            </w:r>
          </w:p>
        </w:tc>
      </w:tr>
    </w:tbl>
    <w:p>
      <w:r>
        <w:t xml:space="preserve"/>
      </w:r>
    </w:p>
    <w:p>
      <w:pPr>
        <w:spacing w:before="80" w:after="80"/>
      </w:pPr>
      <w:r>
        <w:rPr>
          <w:rFonts w:ascii="Arial" w:cs="Arial" w:eastAsia="Arial" w:hAnsi="Arial"/>
          <w:b w:val="false"/>
          <w:bCs w:val="false"/>
          <w:color w:val="5D6D7E"/>
          <w:sz w:val="20"/>
          <w:szCs w:val="20"/>
        </w:rPr>
        <w:t xml:space="preserve">These are conservative numbers assuming AED 499–999/month average and modest growth through the Saleem + SaaSSandhai.AI channel. 15 facilities is less than 2% of the Abu Dhabi market alone.</w:t>
      </w:r>
    </w:p>
    <w:p>
      <w:r>
        <w:t xml:space="preserve"/>
      </w:r>
    </w:p>
    <w:p>
      <w:pPr>
        <w:pStyle w:val="Heading2"/>
        <w:spacing w:before="280" w:after="120"/>
      </w:pPr>
      <w:r>
        <w:rPr>
          <w:rFonts w:ascii="Arial" w:cs="Arial" w:eastAsia="Arial" w:hAnsi="Arial"/>
          <w:b/>
          <w:bCs/>
          <w:color w:val="1A7A6E"/>
          <w:sz w:val="30"/>
          <w:szCs w:val="30"/>
        </w:rPr>
        <w:t xml:space="preserve">6.3  The Compounding Advantage</w:t>
      </w:r>
    </w:p>
    <w:p>
      <w:pPr>
        <w:spacing w:before="80" w:after="80"/>
      </w:pPr>
      <w:r>
        <w:rPr>
          <w:rFonts w:ascii="Arial" w:cs="Arial" w:eastAsia="Arial" w:hAnsi="Arial"/>
          <w:b w:val="false"/>
          <w:bCs w:val="false"/>
          <w:color w:val="1C2833"/>
          <w:sz w:val="20"/>
          <w:szCs w:val="20"/>
        </w:rPr>
        <w:t xml:space="preserve">This is the most important long-term point. Unlike a service business where revenue starts at zero every month, a SaaS business compounds:</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Every facility that subscribes this month still pays next month — unless they cancel</w:t>
      </w:r>
    </w:p>
    <w:p>
      <w:pPr>
        <w:pStyle w:val="ListParagraph"/>
        <w:numPr>
          <w:ilvl w:val="0"/>
          <w:numId w:val="2"/>
        </w:numPr>
        <w:spacing w:before="60" w:after="60"/>
      </w:pPr>
      <w:r>
        <w:rPr>
          <w:rFonts w:ascii="Arial" w:cs="Arial" w:eastAsia="Arial" w:hAnsi="Arial"/>
          <w:b w:val="false"/>
          <w:bCs w:val="false"/>
          <w:color w:val="1C2833"/>
          <w:sz w:val="20"/>
          <w:szCs w:val="20"/>
        </w:rPr>
        <w:t xml:space="preserve">Churn in a B2B compliance tool is historically low — facilities that embed ClaimsSync into their daily workflow do not switch</w:t>
      </w:r>
    </w:p>
    <w:p>
      <w:pPr>
        <w:pStyle w:val="ListParagraph"/>
        <w:numPr>
          <w:ilvl w:val="0"/>
          <w:numId w:val="2"/>
        </w:numPr>
        <w:spacing w:before="60" w:after="60"/>
      </w:pPr>
      <w:r>
        <w:rPr>
          <w:rFonts w:ascii="Arial" w:cs="Arial" w:eastAsia="Arial" w:hAnsi="Arial"/>
          <w:b w:val="false"/>
          <w:bCs w:val="false"/>
          <w:color w:val="1C2833"/>
          <w:sz w:val="20"/>
          <w:szCs w:val="20"/>
        </w:rPr>
        <w:t xml:space="preserve">Each new client adds to the base — so the business grows even if growth rate stays flat</w:t>
      </w:r>
    </w:p>
    <w:p>
      <w:pPr>
        <w:pStyle w:val="ListParagraph"/>
        <w:numPr>
          <w:ilvl w:val="0"/>
          <w:numId w:val="2"/>
        </w:numPr>
        <w:spacing w:before="60" w:after="60"/>
      </w:pPr>
      <w:r>
        <w:rPr>
          <w:rFonts w:ascii="Arial" w:cs="Arial" w:eastAsia="Arial" w:hAnsi="Arial"/>
          <w:b w:val="false"/>
          <w:bCs w:val="false"/>
          <w:color w:val="1C2833"/>
          <w:sz w:val="20"/>
          <w:szCs w:val="20"/>
        </w:rPr>
        <w:t xml:space="preserve">The product gets better over time with no proportional increase in cost — new API features, dashboard improvements, AI layer — all shared across the entire customer base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8860B" w:sz="1"/>
              <w:left w:val="single" w:color="B8860B" w:sz="12"/>
              <w:bottom w:val="single" w:color="B8860B" w:sz="1"/>
              <w:right w:val="single" w:color="B8860B" w:sz="1"/>
            </w:tcBorders>
            <w:shd w:fill="FDF3E3" w:val="clear"/>
            <w:tcMar>
              <w:top w:type="dxa" w:w="120"/>
              <w:left w:type="dxa" w:w="200"/>
              <w:bottom w:type="dxa" w:w="120"/>
              <w:right w:type="dxa" w:w="200"/>
            </w:tcMar>
          </w:tcPr>
          <w:p>
            <w:r>
              <w:rPr>
                <w:rFonts w:ascii="Arial" w:cs="Arial" w:eastAsia="Arial" w:hAnsi="Arial"/>
                <w:i/>
                <w:iCs/>
                <w:color w:val="1C2833"/>
                <w:sz w:val="20"/>
                <w:szCs w:val="20"/>
              </w:rPr>
              <w:t xml:space="preserve">A service business sells time. A SaaS business sells access. Access compounds. Time does not.</w:t>
            </w:r>
          </w:p>
        </w:tc>
      </w:tr>
    </w:tbl>
    <w:p>
      <w:r>
        <w:br w:type="page"/>
      </w:r>
    </w:p>
    <w:p>
      <w:pPr>
        <w:pStyle w:val="Heading1"/>
        <w:spacing w:before="360" w:after="180"/>
      </w:pPr>
      <w:r>
        <w:rPr>
          <w:rFonts w:ascii="Arial" w:cs="Arial" w:eastAsia="Arial" w:hAnsi="Arial"/>
          <w:b/>
          <w:bCs/>
          <w:color w:val="1B3A5C"/>
          <w:sz w:val="40"/>
          <w:szCs w:val="40"/>
        </w:rPr>
        <w:t xml:space="preserve">7.  The Network Play — SaaSSandhai.AI &amp; UAE Presence</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Beyond Saleem, there is a wider network opportunity that the SaaS model makes accessible. The key insight is: a product can be introduced through a network. A service cannot.</w:t>
      </w:r>
    </w:p>
    <w:p>
      <w:r>
        <w:t xml:space="preserve"/>
      </w:r>
    </w:p>
    <w:p>
      <w:pPr>
        <w:pStyle w:val="Heading2"/>
        <w:spacing w:before="280" w:after="120"/>
      </w:pPr>
      <w:r>
        <w:rPr>
          <w:rFonts w:ascii="Arial" w:cs="Arial" w:eastAsia="Arial" w:hAnsi="Arial"/>
          <w:b/>
          <w:bCs/>
          <w:color w:val="1A7A6E"/>
          <w:sz w:val="30"/>
          <w:szCs w:val="30"/>
        </w:rPr>
        <w:t xml:space="preserve">7.1  Why the Product Model Opens Doors</w:t>
      </w:r>
    </w:p>
    <w:p>
      <w:pPr>
        <w:spacing w:before="80" w:after="80"/>
      </w:pPr>
      <w:r>
        <w:rPr>
          <w:rFonts w:ascii="Arial" w:cs="Arial" w:eastAsia="Arial" w:hAnsi="Arial"/>
          <w:b w:val="false"/>
          <w:bCs w:val="false"/>
          <w:color w:val="1C2833"/>
          <w:sz w:val="20"/>
          <w:szCs w:val="20"/>
        </w:rPr>
        <w:t xml:space="preserve">When you walk into a SaaSSandhai.AI Dubai meetup with a live cloud URL, a two-minute demo, and a 30-day free trial offer — that is a completely different conversation from 'we built a custom tool, let us know if you need something similar.'</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A product can be demoed in 5 minutes — no proposal, no scoping, no custom quote</w:t>
      </w:r>
    </w:p>
    <w:p>
      <w:pPr>
        <w:pStyle w:val="ListParagraph"/>
        <w:numPr>
          <w:ilvl w:val="0"/>
          <w:numId w:val="2"/>
        </w:numPr>
        <w:spacing w:before="60" w:after="60"/>
      </w:pPr>
      <w:r>
        <w:rPr>
          <w:rFonts w:ascii="Arial" w:cs="Arial" w:eastAsia="Arial" w:hAnsi="Arial"/>
          <w:b w:val="false"/>
          <w:bCs w:val="false"/>
          <w:color w:val="1C2833"/>
          <w:sz w:val="20"/>
          <w:szCs w:val="20"/>
        </w:rPr>
        <w:t xml:space="preserve">A trial can be offered instantly — the facility tests it themselves, with their own credentials, before they pay anything</w:t>
      </w:r>
    </w:p>
    <w:p>
      <w:pPr>
        <w:pStyle w:val="ListParagraph"/>
        <w:numPr>
          <w:ilvl w:val="0"/>
          <w:numId w:val="2"/>
        </w:numPr>
        <w:spacing w:before="60" w:after="60"/>
      </w:pPr>
      <w:r>
        <w:rPr>
          <w:rFonts w:ascii="Arial" w:cs="Arial" w:eastAsia="Arial" w:hAnsi="Arial"/>
          <w:b w:val="false"/>
          <w:bCs w:val="false"/>
          <w:color w:val="1C2833"/>
          <w:sz w:val="20"/>
          <w:szCs w:val="20"/>
        </w:rPr>
        <w:t xml:space="preserve">A referral is natural — one finance manager tells another. The product spreads through trust networks, not through cold sales</w:t>
      </w:r>
    </w:p>
    <w:p>
      <w:pPr>
        <w:pStyle w:val="ListParagraph"/>
        <w:numPr>
          <w:ilvl w:val="0"/>
          <w:numId w:val="2"/>
        </w:numPr>
        <w:spacing w:before="60" w:after="60"/>
      </w:pPr>
      <w:r>
        <w:rPr>
          <w:rFonts w:ascii="Arial" w:cs="Arial" w:eastAsia="Arial" w:hAnsi="Arial"/>
          <w:b w:val="false"/>
          <w:bCs w:val="false"/>
          <w:color w:val="1C2833"/>
          <w:sz w:val="20"/>
          <w:szCs w:val="20"/>
        </w:rPr>
        <w:t xml:space="preserve">A network contact can become a channel partner using the same framework as Saleem — self-replicating GTM</w:t>
      </w:r>
    </w:p>
    <w:p>
      <w:r>
        <w:t xml:space="preserve"/>
      </w:r>
    </w:p>
    <w:p>
      <w:pPr>
        <w:pStyle w:val="Heading2"/>
        <w:spacing w:before="280" w:after="120"/>
      </w:pPr>
      <w:r>
        <w:rPr>
          <w:rFonts w:ascii="Arial" w:cs="Arial" w:eastAsia="Arial" w:hAnsi="Arial"/>
          <w:b/>
          <w:bCs/>
          <w:color w:val="1A7A6E"/>
          <w:sz w:val="30"/>
          <w:szCs w:val="30"/>
        </w:rPr>
        <w:t xml:space="preserve">7.2  The Timing Logic</w:t>
      </w:r>
    </w:p>
    <w:p>
      <w:pPr>
        <w:spacing w:before="80" w:after="80"/>
      </w:pPr>
      <w:r>
        <w:rPr>
          <w:rFonts w:ascii="Arial" w:cs="Arial" w:eastAsia="Arial" w:hAnsi="Arial"/>
          <w:b w:val="false"/>
          <w:bCs w:val="false"/>
          <w:color w:val="1C2833"/>
          <w:sz w:val="20"/>
          <w:szCs w:val="20"/>
        </w:rPr>
        <w:t xml:space="preserve">The decision not to wait for Saleem or colleagues before building the cloud version is strategically correct. Here is why:</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If you wait for consensus</w:t>
            </w:r>
          </w:p>
        </w:tc>
        <w:tc>
          <w:tcPr>
            <w:tcW w:type="dxa" w:w="5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If you build first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Months of discussion, negotiation, alignment</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Months of building. Product ships.</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Others control the timeline</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You control the timeline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No product = no proof = no credibility</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Live product = proof = credibility in every conversation</w:t>
            </w:r>
          </w:p>
        </w:tc>
      </w:tr>
      <w:tr>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Saleem joins reluctantly if at all</w:t>
            </w:r>
          </w:p>
        </w:tc>
        <w:tc>
          <w:tcPr>
            <w:tcW w:type="dxa" w:w="5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Saleem joins enthusiastically when he sees clients moving to the platform</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8860B" w:sz="1"/>
              <w:left w:val="single" w:color="B8860B" w:sz="12"/>
              <w:bottom w:val="single" w:color="B8860B" w:sz="1"/>
              <w:right w:val="single" w:color="B8860B" w:sz="1"/>
            </w:tcBorders>
            <w:shd w:fill="FDF3E3" w:val="clear"/>
            <w:tcMar>
              <w:top w:type="dxa" w:w="120"/>
              <w:left w:type="dxa" w:w="200"/>
              <w:bottom w:type="dxa" w:w="120"/>
              <w:right w:type="dxa" w:w="200"/>
            </w:tcMar>
          </w:tcPr>
          <w:p>
            <w:r>
              <w:rPr>
                <w:rFonts w:ascii="Arial" w:cs="Arial" w:eastAsia="Arial" w:hAnsi="Arial"/>
                <w:i/>
                <w:iCs/>
                <w:color w:val="1C2833"/>
                <w:sz w:val="20"/>
                <w:szCs w:val="20"/>
              </w:rPr>
              <w:t xml:space="preserve">Build it. The product is the pitch. A working URL changes every conversation — with Saleem, with SaaSSandhai.AI, with new facilities, with future investors.</w:t>
            </w:r>
          </w:p>
        </w:tc>
      </w:tr>
    </w:tbl>
    <w:p>
      <w:r>
        <w:br w:type="page"/>
      </w:r>
    </w:p>
    <w:p>
      <w:pPr>
        <w:pStyle w:val="Heading1"/>
        <w:spacing w:before="360" w:after="180"/>
      </w:pPr>
      <w:r>
        <w:rPr>
          <w:rFonts w:ascii="Arial" w:cs="Arial" w:eastAsia="Arial" w:hAnsi="Arial"/>
          <w:b/>
          <w:bCs/>
          <w:color w:val="1B3A5C"/>
          <w:sz w:val="40"/>
          <w:szCs w:val="40"/>
        </w:rPr>
        <w:t xml:space="preserve">8.  From Story to Execution</w:t>
      </w:r>
    </w:p>
    <w:p>
      <w:pPr>
        <w:pBdr>
          <w:bottom w:val="single" w:color="1A7A6E" w:sz="8" w:space="1"/>
        </w:pBdr>
        <w:spacing w:before="0" w:after="160"/>
      </w:pPr>
      <w:r>
        <w:t xml:space="preserve"/>
      </w:r>
    </w:p>
    <w:p>
      <w:pPr>
        <w:spacing w:before="80" w:after="80"/>
      </w:pPr>
      <w:r>
        <w:rPr>
          <w:rFonts w:ascii="Arial" w:cs="Arial" w:eastAsia="Arial" w:hAnsi="Arial"/>
          <w:b w:val="false"/>
          <w:bCs w:val="false"/>
          <w:color w:val="1C2833"/>
          <w:sz w:val="20"/>
          <w:szCs w:val="20"/>
        </w:rPr>
        <w:t xml:space="preserve">This document captures the why. Everything discussed — the broken model, the transformation, the win-win structure, the sure win case — now becomes the foundation for the execution plan. The tech implementation starts here.</w:t>
      </w:r>
    </w:p>
    <w:p>
      <w:r>
        <w:t xml:space="preserve"/>
      </w:r>
    </w:p>
    <w:p>
      <w:pPr>
        <w:pStyle w:val="Heading2"/>
        <w:spacing w:before="280" w:after="120"/>
      </w:pPr>
      <w:r>
        <w:rPr>
          <w:rFonts w:ascii="Arial" w:cs="Arial" w:eastAsia="Arial" w:hAnsi="Arial"/>
          <w:b/>
          <w:bCs/>
          <w:color w:val="1A7A6E"/>
          <w:sz w:val="30"/>
          <w:szCs w:val="30"/>
        </w:rPr>
        <w:t xml:space="preserve">8.1  The Agreement That Must Come First</w:t>
      </w:r>
    </w:p>
    <w:p>
      <w:pPr>
        <w:spacing w:before="80" w:after="80"/>
      </w:pPr>
      <w:r>
        <w:rPr>
          <w:rFonts w:ascii="Arial" w:cs="Arial" w:eastAsia="Arial" w:hAnsi="Arial"/>
          <w:b w:val="false"/>
          <w:bCs w:val="false"/>
          <w:color w:val="1C2833"/>
          <w:sz w:val="20"/>
          <w:szCs w:val="20"/>
        </w:rPr>
        <w:t xml:space="preserve">Before migrating a single existing facility to the cloud version, one conversation with Saleem must happen — and it is a business conversation, not a technical one:</w:t>
      </w:r>
    </w:p>
    <w:p>
      <w:r>
        <w:t xml:space="preserve"/>
      </w:r>
    </w:p>
    <w:p>
      <w:pPr>
        <w:pStyle w:val="ListParagraph"/>
        <w:numPr>
          <w:ilvl w:val="0"/>
          <w:numId w:val="2"/>
        </w:numPr>
        <w:spacing w:before="60" w:after="60"/>
      </w:pPr>
      <w:r>
        <w:rPr>
          <w:rFonts w:ascii="Arial" w:cs="Arial" w:eastAsia="Arial" w:hAnsi="Arial"/>
          <w:b w:val="false"/>
          <w:bCs w:val="false"/>
          <w:color w:val="1C2833"/>
          <w:sz w:val="20"/>
          <w:szCs w:val="20"/>
        </w:rPr>
        <w:t xml:space="preserve">Present the channel partner framework (Section 5 of this document)</w:t>
      </w:r>
    </w:p>
    <w:p>
      <w:pPr>
        <w:pStyle w:val="ListParagraph"/>
        <w:numPr>
          <w:ilvl w:val="0"/>
          <w:numId w:val="2"/>
        </w:numPr>
        <w:spacing w:before="60" w:after="60"/>
      </w:pPr>
      <w:r>
        <w:rPr>
          <w:rFonts w:ascii="Arial" w:cs="Arial" w:eastAsia="Arial" w:hAnsi="Arial"/>
          <w:b w:val="false"/>
          <w:bCs w:val="false"/>
          <w:color w:val="1C2833"/>
          <w:sz w:val="20"/>
          <w:szCs w:val="20"/>
        </w:rPr>
        <w:t xml:space="preserve">Agree on his role: client acquisition and relationship only — no technical operations</w:t>
      </w:r>
    </w:p>
    <w:p>
      <w:pPr>
        <w:pStyle w:val="ListParagraph"/>
        <w:numPr>
          <w:ilvl w:val="0"/>
          <w:numId w:val="2"/>
        </w:numPr>
        <w:spacing w:before="60" w:after="60"/>
      </w:pPr>
      <w:r>
        <w:rPr>
          <w:rFonts w:ascii="Arial" w:cs="Arial" w:eastAsia="Arial" w:hAnsi="Arial"/>
          <w:b w:val="false"/>
          <w:bCs w:val="false"/>
          <w:color w:val="1C2833"/>
          <w:sz w:val="20"/>
          <w:szCs w:val="20"/>
        </w:rPr>
        <w:t xml:space="preserve">Agree on commission structure: 15% recurring, 20% onboarding bonus</w:t>
      </w:r>
    </w:p>
    <w:p>
      <w:pPr>
        <w:pStyle w:val="ListParagraph"/>
        <w:numPr>
          <w:ilvl w:val="0"/>
          <w:numId w:val="2"/>
        </w:numPr>
        <w:spacing w:before="60" w:after="60"/>
      </w:pPr>
      <w:r>
        <w:rPr>
          <w:rFonts w:ascii="Arial" w:cs="Arial" w:eastAsia="Arial" w:hAnsi="Arial"/>
          <w:b w:val="false"/>
          <w:bCs w:val="false"/>
          <w:color w:val="1C2833"/>
          <w:sz w:val="20"/>
          <w:szCs w:val="20"/>
        </w:rPr>
        <w:t xml:space="preserve">Sign a written partner agreement: protects both parties, defines IP ownership clearly as Kaaryaa</w:t>
      </w:r>
    </w:p>
    <w:p>
      <w:pPr>
        <w:pStyle w:val="ListParagraph"/>
        <w:numPr>
          <w:ilvl w:val="0"/>
          <w:numId w:val="2"/>
        </w:numPr>
        <w:spacing w:before="60" w:after="60"/>
      </w:pPr>
      <w:r>
        <w:rPr>
          <w:rFonts w:ascii="Arial" w:cs="Arial" w:eastAsia="Arial" w:hAnsi="Arial"/>
          <w:b w:val="false"/>
          <w:bCs w:val="false"/>
          <w:color w:val="1C2833"/>
          <w:sz w:val="20"/>
          <w:szCs w:val="20"/>
        </w:rPr>
        <w:t xml:space="preserve">Agree on client migration timeline: existing facilities move to cloud over 4-6 weeks</w:t>
      </w:r>
    </w:p>
    <w:p>
      <w:r>
        <w:t xml:space="preserve"/>
      </w:r>
    </w:p>
    <w:p>
      <w:pPr>
        <w:spacing w:before="80" w:after="80"/>
      </w:pPr>
      <w:r>
        <w:rPr>
          <w:rFonts w:ascii="Arial" w:cs="Arial" w:eastAsia="Arial" w:hAnsi="Arial"/>
          <w:b w:val="false"/>
          <w:bCs w:val="false"/>
          <w:color w:val="1C2833"/>
          <w:sz w:val="20"/>
          <w:szCs w:val="20"/>
        </w:rPr>
        <w:t xml:space="preserve">If Saleem agrees — excellent. He becomes a formalised, motivated partner with a financial stake in growing the platform. If he does not agree, the product still launches. His existing clients will be approached directly once the platform is live. The product stands on its own.</w:t>
      </w:r>
    </w:p>
    <w:p>
      <w:r>
        <w:t xml:space="preserve"/>
      </w:r>
    </w:p>
    <w:p>
      <w:pPr>
        <w:pStyle w:val="Heading2"/>
        <w:spacing w:before="280" w:after="120"/>
      </w:pPr>
      <w:r>
        <w:rPr>
          <w:rFonts w:ascii="Arial" w:cs="Arial" w:eastAsia="Arial" w:hAnsi="Arial"/>
          <w:b/>
          <w:bCs/>
          <w:color w:val="1A7A6E"/>
          <w:sz w:val="30"/>
          <w:szCs w:val="30"/>
        </w:rPr>
        <w:t xml:space="preserve">8.2  The 90-Day Launch Sequence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Weeks</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Focus</w:t>
            </w:r>
          </w:p>
        </w:tc>
        <w:tc>
          <w:tcPr>
            <w:tcW w:type="dxa" w:w="5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Output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Code Foundation</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Python engine refactored: httpx replaces curl, ConfigProvider interface, structured logging, Dockerfile</w:t>
            </w:r>
          </w:p>
        </w:tc>
      </w:tr>
      <w:tr>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3–5</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Cloud Build</w:t>
            </w:r>
          </w:p>
        </w:tc>
        <w:tc>
          <w:tcPr>
            <w:tcW w:type="dxa" w:w="5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Azure UAE North provisioned: PostgreSQL, Blob Storage, Key Vault, Container Registry, monitoring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6–8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Engine Live</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Sync engine running as Azure Container App with DB-backed config. First test tenant syncing successfully.</w:t>
            </w:r>
          </w:p>
        </w:tc>
      </w:tr>
      <w:tr>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9–12</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Dashboard</w:t>
            </w:r>
          </w:p>
        </w:tc>
        <w:tc>
          <w:tcPr>
            <w:tcW w:type="dxa" w:w="5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Web portal: facility onboarding, run monitor, file downloads, subscription management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2833"/>
                <w:sz w:val="19"/>
                <w:szCs w:val="19"/>
              </w:rPr>
              <w:t xml:space="preserve">13–16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Beta Launch</w:t>
            </w:r>
          </w:p>
        </w:tc>
        <w:tc>
          <w:tcPr>
            <w:tcW w:type="dxa" w:w="5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2833"/>
                <w:sz w:val="19"/>
                <w:szCs w:val="19"/>
              </w:rPr>
              <w:t xml:space="preserve">3 pilot tenants live. Saleem partner agreement signed. First paying subscriptions.</w:t>
            </w:r>
          </w:p>
        </w:tc>
      </w:tr>
    </w:tbl>
    <w:p>
      <w:r>
        <w:t xml:space="preserve"/>
      </w:r>
    </w:p>
    <w:p>
      <w:pPr>
        <w:pStyle w:val="Heading2"/>
        <w:spacing w:before="280" w:after="120"/>
      </w:pPr>
      <w:r>
        <w:rPr>
          <w:rFonts w:ascii="Arial" w:cs="Arial" w:eastAsia="Arial" w:hAnsi="Arial"/>
          <w:b/>
          <w:bCs/>
          <w:color w:val="1A7A6E"/>
          <w:sz w:val="30"/>
          <w:szCs w:val="30"/>
        </w:rPr>
        <w:t xml:space="preserve">8.3  The Closing Principle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5C" w:sz="1"/>
              <w:left w:val="single" w:color="1B3A5C" w:sz="12"/>
              <w:bottom w:val="single" w:color="1B3A5C" w:sz="1"/>
              <w:right w:val="single" w:color="1B3A5C" w:sz="1"/>
            </w:tcBorders>
            <w:shd w:fill="E8F4F8" w:val="clear"/>
            <w:tcMar>
              <w:top w:type="dxa" w:w="120"/>
              <w:left w:type="dxa" w:w="200"/>
              <w:bottom w:type="dxa" w:w="120"/>
              <w:right w:type="dxa" w:w="200"/>
            </w:tcMar>
          </w:tcPr>
          <w:p>
            <w:r>
              <w:rPr>
                <w:rFonts w:ascii="Arial" w:cs="Arial" w:eastAsia="Arial" w:hAnsi="Arial"/>
                <w:i/>
                <w:iCs/>
                <w:color w:val="1C2833"/>
                <w:sz w:val="20"/>
                <w:szCs w:val="20"/>
              </w:rPr>
              <w:t xml:space="preserve">Your Bro's principle was right: work on what the market wants. The market wants exactly what ClaimsSync does — it just does not know the product exists yet. That is the only thing left to fix.</w:t>
            </w:r>
          </w:p>
        </w:tc>
      </w:tr>
    </w:tbl>
    <w:p>
      <w:r>
        <w:t xml:space="preserve"/>
      </w:r>
    </w:p>
    <w:p>
      <w:pPr>
        <w:spacing w:before="200"/>
        <w:jc w:val="center"/>
      </w:pPr>
      <w:r>
        <w:rPr>
          <w:rFonts w:ascii="Arial" w:cs="Arial" w:eastAsia="Arial" w:hAnsi="Arial"/>
          <w:b/>
          <w:bCs/>
          <w:color w:val="1B3A5C"/>
          <w:sz w:val="24"/>
          <w:szCs w:val="24"/>
        </w:rPr>
        <w:t xml:space="preserve">The story has been told. Now the product gets built.</w:t>
      </w:r>
    </w:p>
    <w:p>
      <w:r>
        <w:t xml:space="preserve"/>
      </w:r>
    </w:p>
    <w:p>
      <w:pPr>
        <w:pBdr>
          <w:bottom w:val="single" w:color="1B3A5C" w:sz="8" w:space="1"/>
        </w:pBdr>
        <w:spacing w:before="0" w:after="160"/>
      </w:pPr>
      <w:r>
        <w:t xml:space="preserve"/>
      </w:r>
    </w:p>
    <w:p>
      <w:pPr>
        <w:jc w:val="center"/>
      </w:pPr>
      <w:r>
        <w:rPr>
          <w:rFonts w:ascii="Arial" w:cs="Arial" w:eastAsia="Arial" w:hAnsi="Arial"/>
          <w:i/>
          <w:iCs/>
          <w:color w:val="5D6D7E"/>
          <w:sz w:val="16"/>
          <w:szCs w:val="16"/>
        </w:rPr>
        <w:t xml:space="preserve">ClaimsSync  |  Kaaryaa GenAI Solutions  |  Business Transformation Document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space="1"/>
      </w:pBdr>
    </w:pPr>
    <w:r>
      <w:rPr>
        <w:rFonts w:ascii="Arial" w:cs="Arial" w:eastAsia="Arial" w:hAnsi="Arial"/>
        <w:i/>
        <w:iCs/>
        <w:color w:val="5D6D7E"/>
        <w:sz w:val="16"/>
        <w:szCs w:val="16"/>
      </w:rPr>
      <w:t xml:space="preserve">March 2026  —  From Tool to Product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1"/>
      </w:pBdr>
      <w:tabs>
        <w:tab w:val="right" w:pos="9026"/>
      </w:tabs>
    </w:pPr>
    <w:r>
      <w:rPr>
        <w:rFonts w:ascii="Arial" w:cs="Arial" w:eastAsia="Arial" w:hAnsi="Arial"/>
        <w:color w:val="5D6D7E"/>
        <w:sz w:val="16"/>
        <w:szCs w:val="16"/>
      </w:rPr>
      <w:t xml:space="preserve">ClaimsSync — Business Transformation Story</w:t>
    </w:r>
    <w:r>
      <w:rPr>
        <w:rFonts w:ascii="Arial" w:cs="Arial" w:eastAsia="Arial" w:hAnsi="Arial"/>
        <w:color w:val="5D6D7E"/>
        <w:sz w:val="16"/>
        <w:szCs w:val="16"/>
      </w:rPr>
      <w:t xml:space="preserve">	Kaaryaa GenAI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6E"/>
      <w:sz w:val="30"/>
      <w:szCs w:val="30"/>
    </w:rPr>
  </w:style>
  <w:style w:type="paragraph" w:styleId="Heading3">
    <w:name w:val="Heading 3"/>
    <w:basedOn w:val="Normal"/>
    <w:next w:val="Normal"/>
    <w:qFormat/>
    <w:pPr>
      <w:spacing w:before="18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2026-03-07T08:37:23.783Z</dcterms:created>
  <dcterms:modified xsi:type="dcterms:W3CDTF">2026-03-07T08:37:23.784Z</dcterms:modified>
</cp:coreProperties>
</file>

<file path=docProps/custom.xml><?xml version="1.0" encoding="utf-8"?>
<Properties xmlns="http://schemas.openxmlformats.org/officeDocument/2006/custom-properties" xmlns:vt="http://schemas.openxmlformats.org/officeDocument/2006/docPropsVTypes"/>
</file>