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6E6E"/>
          <w:sz w:val="64"/>
          <w:szCs w:val="64"/>
        </w:rPr>
        <w:t xml:space="preserve">ClaimSync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From Manual Downloads to Cloud SaaS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Internal Team Briefing  |  Karthick &amp; Senthil  |  27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Live Facilities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MF2618 + MF5360 active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Model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Live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SALEEM-GROUP + standalone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Reseller Portal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Saleem self-serve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4F0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Next Target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Billing + Reporting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The Journey — Where We Started vs Where We Are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THEN — Manual Local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NOW — ClaimSync SaaS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PyInstaller exe on Saleem's PC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Manual credential files (shafafiaapi.ini)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Files saved to local Windows folders only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audit trail, no monitoring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Single facility, single operator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No client grouping — no reseller portal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Saleem calls Anbu for every issue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Azure Container App Job — 06:00 UAE daily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Secure email token credential onboarding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Azure Blob + Reggr pull — structured folders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Full audit trail — DB + interval SOAP XML viewer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Multi-tenant — unlimited facilities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Client entity — 1:N group or 1:1 standalone</w:t>
            </w:r>
          </w:p>
          <w:p>
            <w:pPr>
              <w:spacing w:after="35" w:before="35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Saleem self-serves via reseller portal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Four Layers — The Full Hierarchy (All Live)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 (Kaaryaa)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Reseller (Saleem)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4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(Group) NEW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Approve onboarding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All clients + facilities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Revenue overview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Adhoc runs + XML 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Create clients (new/existing)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Submit facility onboarding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Monitor runs + files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Trigger adhoc runs self-serve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15% revenue share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Billing unit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Groups 1 or N facilities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Single invoice per group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Shared contact / email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Future: client login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Sync unit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Receives email token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Activated in 24 hours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Fully automated daily</w:t>
            </w:r>
          </w:p>
          <w:p>
            <w:pPr>
              <w:spacing w:after="25" w:before="2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Reggr pull to PC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Client Architecture + Reseller Portal — Live Today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14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Reseller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Reseller Portal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SALEEM-GROUP (Pro)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MF2618, MF5360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1:N 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 history, adhoc, XML viewer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PF2576-CLIENT (Starter)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1:1 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Inactive — pending credentials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(New facility — next week)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MF-XXXX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1:1 ✅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Will appear automatically</w:t>
            </w:r>
          </w:p>
        </w:tc>
      </w:tr>
    </w:tbl>
    <w:p>
      <w:pPr>
        <w:spacing w:after="0" w:before="80"/>
      </w:pP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Saleem's reseller portal now shows: run history with Files + Intervals tabs, side-by-side SOAP XML viewer, adhoc run trigger, and recent sync activity across all facilities — all scoped to his reseller ID.</w:t>
      </w:r>
    </w:p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Phase Roadmap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76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 SaaS + Reseller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Engine, client hierarchy, admin + reseller portals, full audit, Reggr pull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27 Mar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Reporting + Portal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Per-client reports, /facility/* self-service, PF2576 activation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VNet + Security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Private Endpoints, dedicated CAE, ClaimSync.Cloud 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Beta Launch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self-service billing, per-client invoice, upload APIs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GenAI 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Rejection analysis, smart resubmission, NL query, anomaly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Q3 2026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A6E6E" w:sz="8" w:space="4"/>
        </w:pBdr>
        <w:spacing w:after="100" w:before="32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Consulting Engagement Opportunity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A6E6E"/>
                <w:sz w:val="20"/>
                <w:szCs w:val="20"/>
              </w:rPr>
              <w:t xml:space="preserve">Where You Add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Healthcare domain — Shafafiya, DOH, payer ecosystem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Facility onboarding — client relationships in UAE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Claims validation — rejection patterns, resubmission rules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QA — file counts, intervals, routing validation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Phase 6 GenAI — rejection + reconciliation rule definition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GCC expansion — DHA, MOH, NPHIES 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Revenue Model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AED 499/mo Starter · AED 999/mo Pro per facility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Consulting fees for onboarding + QA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• Revenue share TBD based on contribution</w:t>
            </w:r>
          </w:p>
          <w:p>
            <w:pPr>
              <w:spacing w:after="0" w:before="60"/>
            </w:pPr>
          </w:p>
          <w:p>
            <w:pPr>
              <w:spacing w:after="30" w:before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 facilities = AED 9,990/mo MRR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200+ Shafafiya facilities in Abu Dhabi alone</w:t>
            </w:r>
          </w:p>
        </w:tc>
      </w:tr>
    </w:tbl>
    <w:p>
      <w:pPr>
        <w:spacing w:after="0" w:before="16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8" w:sz="4" w:space="4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For Internal Use Only — Kaaryaa GenAI Solutions — 27 March 2026 (Final)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6E" w:sz="6" w:space="4"/>
      </w:pBdr>
      <w:spacing w:after="60" w:before="0"/>
    </w:pPr>
    <w:r>
      <w:rPr>
        <w:rFonts w:ascii="Arial" w:cs="Arial" w:eastAsia="Arial" w:hAnsi="Arial"/>
        <w:b/>
        <w:bCs/>
        <w:color w:val="0A6E6E"/>
        <w:sz w:val="22"/>
        <w:szCs w:val="22"/>
      </w:rPr>
      <w:t xml:space="preserve">ClaimSync</w:t>
    </w:r>
    <w:r>
      <w:rPr>
        <w:rFonts w:ascii="Arial" w:cs="Arial" w:eastAsia="Arial" w:hAnsi="Arial"/>
        <w:color w:val="888888"/>
        <w:sz w:val="16"/>
        <w:szCs w:val="16"/>
      </w:rPr>
      <w:t xml:space="preserve">  |  Internal Team Briefing  |  Kaaryaa GenAI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0A6E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2026-03-27T08:44:40.801Z</dcterms:created>
  <dcterms:modified xsi:type="dcterms:W3CDTF">2026-03-27T08:44:40.801Z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