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DE71" w14:textId="23D0B81E" w:rsidR="00A4162C" w:rsidRPr="00021FD4" w:rsidRDefault="00D72698" w:rsidP="00C056A0">
      <w:pPr>
        <w:spacing w:line="480" w:lineRule="auto"/>
        <w:rPr>
          <w:rFonts w:asciiTheme="minorHAnsi" w:hAnsiTheme="minorHAnsi" w:cstheme="minorHAnsi"/>
          <w:b/>
          <w:bCs/>
          <w:sz w:val="22"/>
          <w:szCs w:val="22"/>
        </w:rPr>
      </w:pPr>
      <w:r w:rsidRPr="00021FD4">
        <w:rPr>
          <w:rFonts w:asciiTheme="minorHAnsi" w:hAnsiTheme="minorHAnsi" w:cstheme="minorHAnsi"/>
          <w:b/>
          <w:bCs/>
          <w:sz w:val="22"/>
          <w:szCs w:val="22"/>
        </w:rPr>
        <w:t xml:space="preserve">Supplemental material contains calculation equations for the drug dose calculations and final total calculations from the TAPH database. </w:t>
      </w:r>
    </w:p>
    <w:p w14:paraId="193419AE" w14:textId="56B69A76" w:rsidR="00130652" w:rsidRPr="00021FD4" w:rsidRDefault="002971F6" w:rsidP="00C056A0">
      <w:pPr>
        <w:pStyle w:val="ListParagraph"/>
        <w:numPr>
          <w:ilvl w:val="1"/>
          <w:numId w:val="1"/>
        </w:numPr>
        <w:spacing w:after="0" w:line="480" w:lineRule="auto"/>
        <w:ind w:left="0"/>
        <w:rPr>
          <w:rFonts w:cstheme="minorHAnsi"/>
        </w:rPr>
      </w:pPr>
      <w:r w:rsidRPr="00021FD4">
        <w:rPr>
          <w:rFonts w:cstheme="minorHAnsi"/>
        </w:rPr>
        <w:t>Average daily dose measure</w:t>
      </w:r>
    </w:p>
    <w:p w14:paraId="53D5B2EB" w14:textId="21C918F2" w:rsidR="002971F6" w:rsidRPr="00021FD4" w:rsidRDefault="002971F6" w:rsidP="00C056A0">
      <w:pPr>
        <w:pStyle w:val="ListParagraph"/>
        <w:spacing w:after="0" w:line="480" w:lineRule="auto"/>
        <w:ind w:left="0"/>
        <w:rPr>
          <w:rFonts w:eastAsia="Times New Roman" w:cstheme="minorHAnsi"/>
        </w:rPr>
      </w:pPr>
      <w:r w:rsidRPr="00021FD4">
        <w:rPr>
          <w:rFonts w:eastAsia="Times New Roman" w:cstheme="minorHAnsi"/>
        </w:rPr>
        <w:t xml:space="preserve">Score boundaries range from 0 to an upper boundary that depends on the highest score and number of medications included. No suggested categorization of values is provided. The score is independent of follow-up time. Average daily dose may be calculated by summing the total anticholinergic potency of all anticholinergics prescribed over the period considered by the ACB scales and dividing the resulting value by the number of days in the period: </w:t>
      </w:r>
    </w:p>
    <w:p w14:paraId="5CA3323E" w14:textId="49D08BAA" w:rsidR="002971F6" w:rsidRPr="00021FD4" w:rsidRDefault="002971F6" w:rsidP="00F64B25">
      <w:pPr>
        <w:pStyle w:val="ListParagraph"/>
        <w:spacing w:after="0" w:line="240" w:lineRule="auto"/>
        <w:ind w:left="0"/>
        <w:rPr>
          <w:rFonts w:eastAsia="Times New Roman" w:cstheme="minorHAnsi"/>
          <w:position w:val="-2"/>
        </w:rPr>
      </w:pPr>
    </w:p>
    <w:p w14:paraId="483DBE48" w14:textId="59E2E413" w:rsidR="002971F6" w:rsidRPr="00021FD4" w:rsidRDefault="00F64B25" w:rsidP="00F64B25">
      <w:pPr>
        <w:pStyle w:val="ListParagraph"/>
        <w:spacing w:after="0" w:line="240" w:lineRule="auto"/>
        <w:ind w:left="0" w:firstLine="340"/>
        <w:rPr>
          <w:rFonts w:eastAsia="Times New Roman" w:cstheme="minorHAnsi"/>
        </w:rPr>
      </w:pPr>
      <w:r w:rsidRPr="00021FD4">
        <w:rPr>
          <w:rFonts w:eastAsia="Times New Roman" w:cstheme="minorHAnsi"/>
          <w:b/>
          <w:bCs/>
          <w:position w:val="-2"/>
        </w:rPr>
        <w:t xml:space="preserve">                   </w:t>
      </w:r>
      <w:r w:rsidR="001329F5" w:rsidRPr="00021FD4">
        <w:rPr>
          <w:rFonts w:eastAsia="Times New Roman" w:cstheme="minorHAnsi"/>
          <w:b/>
          <w:bCs/>
          <w:position w:val="-2"/>
        </w:rPr>
        <w:tab/>
      </w:r>
      <w:r w:rsidR="001329F5" w:rsidRPr="00021FD4">
        <w:rPr>
          <w:rFonts w:eastAsia="Times New Roman" w:cstheme="minorHAnsi"/>
          <w:b/>
          <w:bCs/>
          <w:position w:val="-2"/>
        </w:rPr>
        <w:tab/>
      </w:r>
      <w:r w:rsidR="001329F5" w:rsidRPr="00021FD4">
        <w:rPr>
          <w:rFonts w:eastAsia="Times New Roman" w:cstheme="minorHAnsi"/>
          <w:b/>
          <w:bCs/>
          <w:position w:val="-2"/>
        </w:rPr>
        <w:tab/>
      </w:r>
      <w:r w:rsidR="001329F5" w:rsidRPr="00021FD4">
        <w:rPr>
          <w:rFonts w:eastAsia="Times New Roman" w:cstheme="minorHAnsi"/>
          <w:b/>
          <w:bCs/>
          <w:position w:val="-2"/>
        </w:rPr>
        <w:tab/>
      </w:r>
      <w:r w:rsidRPr="00021FD4">
        <w:rPr>
          <w:rFonts w:eastAsia="Times New Roman" w:cstheme="minorHAnsi"/>
          <w:b/>
          <w:bCs/>
          <w:position w:val="-2"/>
        </w:rPr>
        <w:t xml:space="preserve">  </w:t>
      </w:r>
      <w:r w:rsidR="002971F6" w:rsidRPr="00021FD4">
        <w:rPr>
          <w:rFonts w:eastAsia="Times New Roman" w:cstheme="minorHAnsi"/>
          <w:b/>
          <w:bCs/>
          <w:position w:val="-2"/>
        </w:rPr>
        <w:t>∑</w:t>
      </w:r>
      <w:r w:rsidR="002971F6" w:rsidRPr="00021FD4">
        <w:rPr>
          <w:rFonts w:eastAsia="Times New Roman" w:cstheme="minorHAnsi"/>
          <w:position w:val="-2"/>
        </w:rPr>
        <w:t xml:space="preserve"> </w:t>
      </w:r>
      <w:r w:rsidR="002971F6" w:rsidRPr="00021FD4">
        <w:rPr>
          <w:rFonts w:eastAsia="Times New Roman" w:cstheme="minorHAnsi"/>
        </w:rPr>
        <w:t xml:space="preserve">(Drug A # days supplied x ACB score) </w:t>
      </w:r>
    </w:p>
    <w:p w14:paraId="3966B0CE" w14:textId="07BE1719" w:rsidR="00254B5E" w:rsidRPr="00021FD4" w:rsidRDefault="001329F5" w:rsidP="00F64B25">
      <w:pPr>
        <w:pStyle w:val="ListParagraph"/>
        <w:spacing w:after="0" w:line="240" w:lineRule="auto"/>
        <w:ind w:left="0"/>
        <w:rPr>
          <w:rFonts w:eastAsia="Times New Roman" w:cstheme="minorHAnsi"/>
          <w:u w:val="single"/>
        </w:rPr>
      </w:pPr>
      <w:r w:rsidRPr="00021FD4">
        <w:rPr>
          <w:rFonts w:eastAsia="Times New Roman" w:cstheme="minorHAnsi"/>
        </w:rPr>
        <w:t xml:space="preserve">Mean total ACB score </w:t>
      </w:r>
      <w:r w:rsidR="002971F6" w:rsidRPr="00021FD4">
        <w:rPr>
          <w:rFonts w:eastAsia="Times New Roman" w:cstheme="minorHAnsi"/>
        </w:rPr>
        <w:t xml:space="preserve">=   </w:t>
      </w:r>
      <w:r w:rsidR="00254B5E" w:rsidRPr="00021FD4">
        <w:rPr>
          <w:rFonts w:eastAsia="Times New Roman" w:cstheme="minorHAnsi"/>
        </w:rPr>
        <w:tab/>
      </w:r>
      <w:r w:rsidR="00F64B25" w:rsidRPr="00021FD4">
        <w:rPr>
          <w:rFonts w:eastAsia="Times New Roman" w:cstheme="minorHAnsi"/>
        </w:rPr>
        <w:t xml:space="preserve">  </w:t>
      </w:r>
      <w:r w:rsidR="002971F6" w:rsidRPr="00021FD4">
        <w:rPr>
          <w:rFonts w:eastAsia="Times New Roman" w:cstheme="minorHAnsi"/>
          <w:u w:val="single"/>
        </w:rPr>
        <w:t xml:space="preserve">+ (Drug B # days supplied x ACB score ) + (Drug X...) </w:t>
      </w:r>
    </w:p>
    <w:p w14:paraId="2112A52A" w14:textId="1D347D89" w:rsidR="002971F6" w:rsidRPr="00021FD4" w:rsidRDefault="00F64B25" w:rsidP="00F64B25">
      <w:pPr>
        <w:pStyle w:val="ListParagraph"/>
        <w:spacing w:after="0" w:line="240" w:lineRule="auto"/>
        <w:ind w:left="0" w:firstLine="340"/>
        <w:rPr>
          <w:rFonts w:eastAsia="Times New Roman" w:cstheme="minorHAnsi"/>
          <w:u w:val="single"/>
        </w:rPr>
      </w:pPr>
      <w:r w:rsidRPr="00021FD4">
        <w:rPr>
          <w:rFonts w:eastAsia="Times New Roman" w:cstheme="minorHAnsi"/>
        </w:rPr>
        <w:t xml:space="preserve">                          </w:t>
      </w:r>
      <w:r w:rsidR="001329F5" w:rsidRPr="00021FD4">
        <w:rPr>
          <w:rFonts w:eastAsia="Times New Roman" w:cstheme="minorHAnsi"/>
        </w:rPr>
        <w:tab/>
      </w:r>
      <w:r w:rsidR="001329F5" w:rsidRPr="00021FD4">
        <w:rPr>
          <w:rFonts w:eastAsia="Times New Roman" w:cstheme="minorHAnsi"/>
        </w:rPr>
        <w:tab/>
      </w:r>
      <w:r w:rsidR="001329F5" w:rsidRPr="00021FD4">
        <w:rPr>
          <w:rFonts w:eastAsia="Times New Roman" w:cstheme="minorHAnsi"/>
        </w:rPr>
        <w:tab/>
      </w:r>
      <w:r w:rsidR="001329F5" w:rsidRPr="00021FD4">
        <w:rPr>
          <w:rFonts w:eastAsia="Times New Roman" w:cstheme="minorHAnsi"/>
        </w:rPr>
        <w:tab/>
      </w:r>
      <w:r w:rsidR="002971F6" w:rsidRPr="00021FD4">
        <w:rPr>
          <w:rFonts w:eastAsia="Times New Roman" w:cstheme="minorHAnsi"/>
        </w:rPr>
        <w:t xml:space="preserve"># days in </w:t>
      </w:r>
      <w:r w:rsidR="002971F6" w:rsidRPr="00021FD4">
        <w:rPr>
          <w:rFonts w:eastAsia="Times New Roman" w:cstheme="minorHAnsi"/>
          <w:i/>
          <w:iCs/>
        </w:rPr>
        <w:t xml:space="preserve">the exposure period </w:t>
      </w:r>
    </w:p>
    <w:p w14:paraId="36507A08" w14:textId="77777777" w:rsidR="002971F6" w:rsidRPr="00021FD4" w:rsidRDefault="002971F6" w:rsidP="00F64B25">
      <w:pPr>
        <w:pStyle w:val="ListParagraph"/>
        <w:spacing w:after="0" w:line="240" w:lineRule="auto"/>
        <w:ind w:left="0"/>
        <w:rPr>
          <w:rFonts w:cstheme="minorHAnsi"/>
        </w:rPr>
      </w:pPr>
    </w:p>
    <w:p w14:paraId="5E48DF35" w14:textId="77777777" w:rsidR="000628BA" w:rsidRPr="00021FD4" w:rsidRDefault="002971F6" w:rsidP="00C056A0">
      <w:pPr>
        <w:pStyle w:val="ListParagraph"/>
        <w:numPr>
          <w:ilvl w:val="1"/>
          <w:numId w:val="1"/>
        </w:numPr>
        <w:spacing w:after="0" w:line="480" w:lineRule="auto"/>
        <w:ind w:left="0"/>
        <w:rPr>
          <w:rFonts w:cstheme="minorHAnsi"/>
        </w:rPr>
      </w:pPr>
      <w:r w:rsidRPr="00021FD4">
        <w:rPr>
          <w:rFonts w:cstheme="minorHAnsi"/>
        </w:rPr>
        <w:t xml:space="preserve">Cumulative dose measure </w:t>
      </w:r>
    </w:p>
    <w:p w14:paraId="0293D689" w14:textId="65839569" w:rsidR="000628BA" w:rsidRDefault="000628BA" w:rsidP="00C056A0">
      <w:pPr>
        <w:pStyle w:val="ListParagraph"/>
        <w:spacing w:after="0" w:line="480" w:lineRule="auto"/>
        <w:ind w:left="0"/>
        <w:rPr>
          <w:rFonts w:cstheme="minorHAnsi"/>
        </w:rPr>
      </w:pPr>
      <w:r w:rsidRPr="00021FD4">
        <w:rPr>
          <w:rFonts w:cstheme="minorHAnsi"/>
        </w:rPr>
        <w:t>To calculate scores based on this measure, medication doses are first standardized and then summed to derive an estimate of cumulative exposure, described as cumulative total standardized daily dose (TSDD).</w:t>
      </w:r>
      <w:r w:rsidRPr="00021FD4">
        <w:rPr>
          <w:rFonts w:cstheme="minorHAnsi"/>
        </w:rPr>
        <w:fldChar w:fldCharType="begin" w:fldLock="1"/>
      </w:r>
      <w:r w:rsidR="00C62000" w:rsidRPr="00021FD4">
        <w:rPr>
          <w:rFonts w:cstheme="minorHAnsi"/>
        </w:rPr>
        <w:instrText>ADDIN CSL_CITATION {"citationItems":[{"id":"ITEM-1","itemData":{"DOI":"10.1016/J.ARCHGER.2019.05.010","ISSN":"1872-6976","PMID":"31155228","abstract":"Background/objectives: Available metrics for characterizing cumulative anticholinergic exposure over time may not be well suited for use across all US data sources. In this review, the properties of existing anticholinergic scales and measures were evaluated to determine their suitability for implementation in observational studies relying on administrative data. Methods: A targeted literature review was conducted to identify available anticholinergic scales and measures. Suitability of the identified scales and measures for quantification of anticholinergic exposure was evaluated based on pre-defined criteria. Agreement between selected scales was characterized by the percentage overlap of included drugs and inter-scale Spearman's correlation of scores. Results: Sixteen scales were identified; six were relevant and suitable for the quantification of anticholinergic exposure. When implemented on administrative data the Anticholinergic Drug Scale and Anticholinergic Cognitive Burden scale demonstrated the most agreement, with an inter-scale correlation coefficient of 0.82. Scale performance varied by outcome of interest, and underlying disease profile of the population of interest. Variability across the two measures (“average daily dose” and “cumulative dose”) was observed, with neither considering both dose and anticholinergic potency in score calculations. Conclusions: Accurate quantification of anticholinergic burden is important in assessing relative risks versus benefits of prescribing anticholinergic medications. In this review, the Anticholinergic Drug Scale and the Anticholinergic Cognitive Burden scale and the average daily dose and cumulative dose measures, were determined to be well suited for the quantification of anticholinergic exposure, particularly in the context of administrative data analyses; however, methods to characterize anticholinergic burden through consideration of both anticholinergic dose and potency are needed.","author":[{"dropping-particle":"","family":"Lozano-Ortega","given":"Greta","non-dropping-particle":"","parse-names":false,"suffix":""},{"dropping-particle":"","family":"Johnston","given":"Karissa M.","non-dropping-particle":"","parse-names":false,"suffix":""},{"dropping-particle":"","family":"Cheung","given":"Antoinette","non-dropping-particle":"","parse-names":false,"suffix":""},{"dropping-particle":"","family":"Wagg","given":"Adrian","non-dropping-particle":"","parse-names":false,"suffix":""},{"dropping-particle":"","family":"Campbell","given":"Noll L.","non-dropping-particle":"","parse-names":false,"suffix":""},{"dropping-particle":"","family":"Dmochowski","given":"Roger R.","non-dropping-particle":"","parse-names":false,"suffix":""},{"dropping-particle":"","family":"Ng","given":"Daniel B.","non-dropping-particle":"","parse-names":false,"suffix":""}],"container-title":"Archives of gerontology and geriatrics","id":"ITEM-1","issued":{"date-parts":[["2020","3","1"]]},"publisher":"Arch Gerontol Geriatr","title":"A review of published anticholinergic scales and measures and their applicability in database analyses","type":"article-journal","volume":"87"},"uris":["http://www.mendeley.com/documents/?uuid=56cf3424-8265-3d5e-9dfd-bdce60e3e81e"]},{"id":"ITEM-2","itemData":{"DOI":"10.1001/jamainternmed.2014.7663.Cumulative","ISBN":"2168-6106","ISSN":"2168-6106","PMID":"25621434","abstract":"IMPORTANCE Many medications have anticholinergic effects. In general, anticholinergic- induced cognitive impairment is considered reversible on discontinuation of anticholinergic therapy.However, a fewstudies suggest that anticholinergicsmay be associated with an increased risk for dementia. OBJECTIVE To examine whether cumulative anticholinergic use is associated with a higher risk for incident dementia. DESIGN, SETTING,ANDPARTICIPANTS Prospective population-based cohort study using data from the Adult Changes in Thought study in Group Health, an integrated health care delivery system in Seattle,Washington.We included 3434 participants 65 years or older with no dementia at study entry. Initial recruitment occurred from 1994 through 1996 and from 2000through 2003. Beginning in 2004, continuous replacement for deaths occurred. All participantswere followed up every 2 years.Data through September 30, 2012,were included in these analyses. EXPOSURES Computerized pharmacy dispensing datawere used to ascertain cumulative anticholinergic exposure, whichwas defined as the total standardized daily doses (TSDDs) dispensed in the past 10years. The most recent 12 months of usewas excluded to avoid use related to prodromal symptoms. Cumulative exposurewas updated as participantswere followed up over time. MAIN OUTCOMES AND MEASURES Incident dementia and Alzheimer disease using standard diagnostic criteria. Statistical analysis used Cox proportional hazards regression models adjusted for demographic characteristics, health behaviors, and health status, including comorbidities. RESULTS The most common anticholinergic classes usedwere tricyclic antidepressants, first-generation antihistamines, and bladder antimuscarinics. During a mean follow-up of 7.3 years, 797 participants (23.2%) developed dementia (637 of these [79.9%] developed Alzheimer disease). A 10-year cumulative dose-response relationshipwas observed for dementia and Alzheimer disease (test for trend, P &lt; .001). For dementia, adjusted hazard ratios for cumulative anticholinergic use compared with nonusewere0.92 (95%CI,0.74-1.16) for TSDDs of 1 to 90; 1.19 (95%CI,0.94-1.51) for TSDDs of 91 to 365; 1.23 (95%CI,0.94-1.62) for TSDDs of 366 to 1095; and. 1.54 (95%CI, 1.21-1.96) for TSDDs greater than 1095. A similar pattern of resultswas noted for Alzheimer disease. Resultswere robust in secondary, sensitivity, and post hoc analyses. CONCLUSIONS AND RELEVANCE Higher cumulative anticholinergic use is associated w…","author":[{"dropping-particle":"","family":"Gray","given":"Shelly L","non-dropping-particle":"","parse-names":false,"suffix":""},{"dropping-particle":"","family":"Anderson","given":"Melissa L","non-dropping-particle":"","parse-names":false,"suffix":""},{"dropping-particle":"","family":"Dublin","given":"Sascha","non-dropping-particle":"","parse-names":false,"suffix":""},{"dropping-particle":"","family":"Hanlon","given":"Joseph T","non-dropping-particle":"","parse-names":false,"suffix":""},{"dropping-particle":"","family":"Hubbard","given":"Rebecca","non-dropping-particle":"","parse-names":false,"suffix":""},{"dropping-particle":"","family":"Walker","given":"Rod","non-dropping-particle":"","parse-names":false,"suffix":""},{"dropping-particle":"","family":"Yu","given":"Onchee","non-dropping-particle":"","parse-names":false,"suffix":""},{"dropping-particle":"","family":"Crane","given":"Paul","non-dropping-particle":"","parse-names":false,"suffix":""},{"dropping-particle":"","family":"Larson","given":"Eric B","non-dropping-particle":"","parse-names":false,"suffix":""}],"container-title":"JAMA Intern Med.","id":"ITEM-2","issue":"3","issued":{"date-parts":[["2015"]]},"page":"401-407","title":"Cumulative Use of Strong Anticholinergic Medications and Incident Dementia Shelly","type":"article-journal","volume":"175"},"uris":["http://www.mendeley.com/documents/?uuid=2b6ec01b-d88c-42de-ab99-874f5cc06b20"]}],"mendeley":{"formattedCitation":"&lt;sup&gt;1,2&lt;/sup&gt;","plainTextFormattedCitation":"1,2","previouslyFormattedCitation":"&lt;sup&gt;1,2&lt;/sup&gt;"},"properties":{"noteIndex":0},"schema":"https://github.com/citation-style-language/schema/raw/master/csl-citation.json"}</w:instrText>
      </w:r>
      <w:r w:rsidRPr="00021FD4">
        <w:rPr>
          <w:rFonts w:cstheme="minorHAnsi"/>
        </w:rPr>
        <w:fldChar w:fldCharType="separate"/>
      </w:r>
      <w:r w:rsidRPr="00021FD4">
        <w:rPr>
          <w:rFonts w:cstheme="minorHAnsi"/>
          <w:noProof/>
          <w:vertAlign w:val="superscript"/>
        </w:rPr>
        <w:t>1,2</w:t>
      </w:r>
      <w:r w:rsidRPr="00021FD4">
        <w:rPr>
          <w:rFonts w:cstheme="minorHAnsi"/>
        </w:rPr>
        <w:fldChar w:fldCharType="end"/>
      </w:r>
      <w:r w:rsidRPr="00021FD4">
        <w:rPr>
          <w:rFonts w:cstheme="minorHAnsi"/>
        </w:rPr>
        <w:t xml:space="preserve">  Steps to calculate TSDD are: 1) calculate total medication dose for each prescription dispensation of a medication considered by ant anticholinergic scale, by multiplying the tablet strength by the number of tablets dispensed; 2) for each prescription dispensation, calculate the standardized daily dose (SDD) by dividing the estimated total medication dose by the minimum-effective dose per day (MED) recommended for use in older adults; and 3) for each participant, sum the SDD for all anticholinergic pharmacy dispensations during the exposure period to generate a TSDD. </w:t>
      </w:r>
      <w:r w:rsidR="00C62000" w:rsidRPr="00021FD4">
        <w:rPr>
          <w:rFonts w:cstheme="minorHAnsi"/>
        </w:rPr>
        <w:t>Our team used Greta Lozano-</w:t>
      </w:r>
      <w:proofErr w:type="spellStart"/>
      <w:r w:rsidR="00C62000" w:rsidRPr="00021FD4">
        <w:rPr>
          <w:rFonts w:cstheme="minorHAnsi"/>
        </w:rPr>
        <w:t>Orega</w:t>
      </w:r>
      <w:proofErr w:type="spellEnd"/>
      <w:r w:rsidR="00C62000" w:rsidRPr="00021FD4">
        <w:rPr>
          <w:rFonts w:cstheme="minorHAnsi"/>
        </w:rPr>
        <w:t>, 2020 as a guide to</w:t>
      </w:r>
      <w:r w:rsidRPr="00021FD4">
        <w:rPr>
          <w:rFonts w:cstheme="minorHAnsi"/>
        </w:rPr>
        <w:t xml:space="preserve"> categorized the resulting TSDD into “no use” (score of 0); 1–90; 91–365; 366–1095; or greater than 1095, with cut points based on clinical interpretability and the observed exposure distribution.</w:t>
      </w:r>
      <w:r w:rsidR="00C62000" w:rsidRPr="00021FD4">
        <w:rPr>
          <w:rFonts w:cstheme="minorHAnsi"/>
        </w:rPr>
        <w:fldChar w:fldCharType="begin" w:fldLock="1"/>
      </w:r>
      <w:r w:rsidR="00021FD4">
        <w:rPr>
          <w:rFonts w:cstheme="minorHAnsi"/>
        </w:rPr>
        <w:instrText>ADDIN CSL_CITATION {"citationItems":[{"id":"ITEM-1","itemData":{"DOI":"10.1016/J.ARCHGER.2019.05.010","ISSN":"1872-6976","PMID":"31155228","abstract":"Background/objectives: Available metrics for characterizing cumulative anticholinergic exposure over time may not be well suited for use across all US data sources. In this review, the properties of existing anticholinergic scales and measures were evaluated to determine their suitability for implementation in observational studies relying on administrative data. Methods: A targeted literature review was conducted to identify available anticholinergic scales and measures. Suitability of the identified scales and measures for quantification of anticholinergic exposure was evaluated based on pre-defined criteria. Agreement between selected scales was characterized by the percentage overlap of included drugs and inter-scale Spearman's correlation of scores. Results: Sixteen scales were identified; six were relevant and suitable for the quantification of anticholinergic exposure. When implemented on administrative data the Anticholinergic Drug Scale and Anticholinergic Cognitive Burden scale demonstrated the most agreement, with an inter-scale correlation coefficient of 0.82. Scale performance varied by outcome of interest, and underlying disease profile of the population of interest. Variability across the two measures (“average daily dose” and “cumulative dose”) was observed, with neither considering both dose and anticholinergic potency in score calculations. Conclusions: Accurate quantification of anticholinergic burden is important in assessing relative risks versus benefits of prescribing anticholinergic medications. In this review, the Anticholinergic Drug Scale and the Anticholinergic Cognitive Burden scale and the average daily dose and cumulative dose measures, were determined to be well suited for the quantification of anticholinergic exposure, particularly in the context of administrative data analyses; however, methods to characterize anticholinergic burden through consideration of both anticholinergic dose and potency are needed.","author":[{"dropping-particle":"","family":"Lozano-Ortega","given":"Greta","non-dropping-particle":"","parse-names":false,"suffix":""},{"dropping-particle":"","family":"Johnston","given":"Karissa M.","non-dropping-particle":"","parse-names":false,"suffix":""},{"dropping-particle":"","family":"Cheung","given":"Antoinette","non-dropping-particle":"","parse-names":false,"suffix":""},{"dropping-particle":"","family":"Wagg","given":"Adrian","non-dropping-particle":"","parse-names":false,"suffix":""},{"dropping-particle":"","family":"Campbell","given":"Noll L.","non-dropping-particle":"","parse-names":false,"suffix":""},{"dropping-particle":"","family":"Dmochowski","given":"Roger R.","non-dropping-particle":"","parse-names":false,"suffix":""},{"dropping-particle":"","family":"Ng","given":"Daniel B.","non-dropping-particle":"","parse-names":false,"suffix":""}],"container-title":"Archives of gerontology and geriatrics","id":"ITEM-1","issued":{"date-parts":[["2020","3","1"]]},"publisher":"Arch Gerontol Geriatr","title":"A review of published anticholinergic scales and measures and their applicability in database analyses","type":"article-journal","volume":"87"},"uris":["http://www.mendeley.com/documents/?uuid=56cf3424-8265-3d5e-9dfd-bdce60e3e81e"]},{"id":"ITEM-2","itemData":{"DOI":"10.1007/S12325-019-01035-Z/FIGURES/1","ISSN":"18658652","PMID":"31385284","abstract":"Introduction: As continuous exposure to anticholinergics has been associated with adverse outcomes, accurately measuring exposure is important. However, no gold standard measure is available, and the performance of existing measures has not been compared. Our objective was to compare the properties of the Cumulative Anticholinergic Burden (CAB) measure against two existing measures of anticholinergic exposure and to assess their compatibility for use in observational studies based on claims data. Methods: The average daily dose, cumulative dose and CAB measures were evaluated on: the applicability for use with anticholinergic burden scales, the ability to consider duration and/or accumulation of exposure, and consideration of anticholinergic dose, potency, and residual effect. To calculate each measure empirically, Truven MarketScan claims data from 2012 to 2015 were analyzed. Cumulative anticholinergic exposure over 1-year post-enrollment was calculated for each measure using Anticholinergic Cognitive Burden scale scores. Median [interquartile range (IQR)] and ranges of measure scores, and Spearman’s correlation coefficients between measures, were estimated. Due to the differing methods of calculation, the absolute values of each score cannot be compared. Results: The properties of the different measures varied, with only the CAB considering both dose and theoretical potency. The cohort included 99,742 individuals (mean age = 73.1 years; 54.9% female). Among individuals prescribed anticholinergics (n = 55,969), 1-year median (IQR) scores based on average daily dose, cumulative dose and CAB measures were 0.9 (0.3–1.5), 16.9 (7.3–33.9) and 203 (68–500), respectively. Measures were highly inter-correlated (r2 = 0.74-0.83). Conclusions: Considering both potency and dose, the CAB may prove a more comprehensive measure of anticholinergic burden; however, additional research is necessary to demonstrate whether it has any association with relevant health-related outcomes. Funding: Astellas Pharma Global Development, Inc.","author":[{"dropping-particle":"","family":"Lozano-Ortega","given":"Greta","non-dropping-particle":"","parse-names":false,"suffix":""},{"dropping-particle":"","family":"Szabo","given":"Shelagh M.","non-dropping-particle":"","parse-names":false,"suffix":""},{"dropping-particle":"","family":"Cheung","given":"Antoinette","non-dropping-particle":"","parse-names":false,"suffix":""},{"dropping-particle":"","family":"Suehs","given":"Brandon","non-dropping-particle":"","parse-names":false,"suffix":""},{"dropping-particle":"","family":"Caplan","given":"Eleanor O.","non-dropping-particle":"","parse-names":false,"suffix":""},{"dropping-particle":"","family":"Wagg","given":"Adrian","non-dropping-particle":"","parse-names":false,"suffix":""},{"dropping-particle":"","family":"Campbell","given":"Noll","non-dropping-particle":"","parse-names":false,"suffix":""},{"dropping-particle":"","family":"Dmochowski","given":"Roger","non-dropping-particle":"","parse-names":false,"suffix":""},{"dropping-particle":"","family":"Rogula","given":"Basia","non-dropping-particle":"","parse-names":false,"suffix":""},{"dropping-particle":"","family":"Ng","given":"Daniel B.","non-dropping-particle":"","parse-names":false,"suffix":""}],"container-title":"Advances in Therapy","id":"ITEM-2","issue":"9","issued":{"date-parts":[["2019","9","1"]]},"page":"2247-2259","publisher":"Springer Healthcare","title":"An Evaluation of Longitudinal Measures of Anticholinergic Exposure for Application in Retrospective Administrative Data Analyses","type":"article-journal","volume":"36"},"uris":["http://www.mendeley.com/documents/?uuid=46148fa5-b8d9-3e3b-a6c5-9e5668a6610d"]}],"mendeley":{"formattedCitation":"&lt;sup&gt;1,3&lt;/sup&gt;","plainTextFormattedCitation":"1,3","previouslyFormattedCitation":"&lt;sup&gt;1,3&lt;/sup&gt;"},"properties":{"noteIndex":0},"schema":"https://github.com/citation-style-language/schema/raw/master/csl-citation.json"}</w:instrText>
      </w:r>
      <w:r w:rsidR="00C62000" w:rsidRPr="00021FD4">
        <w:rPr>
          <w:rFonts w:cstheme="minorHAnsi"/>
        </w:rPr>
        <w:fldChar w:fldCharType="separate"/>
      </w:r>
      <w:r w:rsidR="00E334E3" w:rsidRPr="00021FD4">
        <w:rPr>
          <w:rFonts w:cstheme="minorHAnsi"/>
          <w:noProof/>
          <w:vertAlign w:val="superscript"/>
        </w:rPr>
        <w:t>1,3</w:t>
      </w:r>
      <w:r w:rsidR="00C62000" w:rsidRPr="00021FD4">
        <w:rPr>
          <w:rFonts w:cstheme="minorHAnsi"/>
        </w:rPr>
        <w:fldChar w:fldCharType="end"/>
      </w:r>
      <w:r w:rsidRPr="00021FD4">
        <w:rPr>
          <w:rFonts w:cstheme="minorHAnsi"/>
        </w:rPr>
        <w:t xml:space="preserve"> </w:t>
      </w:r>
    </w:p>
    <w:p w14:paraId="0407CC31" w14:textId="3A312E9F" w:rsidR="00504795" w:rsidRPr="00021FD4" w:rsidRDefault="00504795" w:rsidP="00C056A0">
      <w:pPr>
        <w:pStyle w:val="ListParagraph"/>
        <w:spacing w:after="0" w:line="480" w:lineRule="auto"/>
        <w:ind w:left="0"/>
        <w:rPr>
          <w:rFonts w:cstheme="minorHAnsi"/>
        </w:rPr>
      </w:pPr>
      <w:r>
        <w:rPr>
          <w:rFonts w:cstheme="minorHAnsi"/>
        </w:rPr>
        <w:t>s</w:t>
      </w:r>
    </w:p>
    <w:p w14:paraId="70168574" w14:textId="0E79A576" w:rsidR="002971F6" w:rsidRPr="00021FD4" w:rsidRDefault="002971F6" w:rsidP="00C056A0">
      <w:pPr>
        <w:pStyle w:val="ListParagraph"/>
        <w:numPr>
          <w:ilvl w:val="1"/>
          <w:numId w:val="1"/>
        </w:numPr>
        <w:spacing w:after="0" w:line="480" w:lineRule="auto"/>
        <w:ind w:left="0"/>
        <w:rPr>
          <w:rFonts w:cstheme="minorHAnsi"/>
        </w:rPr>
      </w:pPr>
      <w:r w:rsidRPr="00021FD4">
        <w:rPr>
          <w:rFonts w:cstheme="minorHAnsi"/>
        </w:rPr>
        <w:lastRenderedPageBreak/>
        <w:t>CAB</w:t>
      </w:r>
    </w:p>
    <w:p w14:paraId="356F4D8C" w14:textId="75179A91" w:rsidR="007E6A4D" w:rsidRPr="00021FD4" w:rsidRDefault="00E334E3" w:rsidP="00E334E3">
      <w:pPr>
        <w:pStyle w:val="NormalWeb"/>
        <w:shd w:val="clear" w:color="auto" w:fill="FCFCFC"/>
        <w:spacing w:before="0" w:beforeAutospacing="0" w:after="0" w:afterAutospacing="0" w:line="480" w:lineRule="auto"/>
        <w:rPr>
          <w:rFonts w:asciiTheme="minorHAnsi" w:hAnsiTheme="minorHAnsi" w:cstheme="minorHAnsi"/>
          <w:color w:val="333333"/>
          <w:sz w:val="22"/>
          <w:szCs w:val="22"/>
        </w:rPr>
      </w:pPr>
      <w:r w:rsidRPr="00021FD4">
        <w:rPr>
          <w:rFonts w:asciiTheme="minorHAnsi" w:hAnsiTheme="minorHAnsi" w:cstheme="minorHAnsi"/>
          <w:color w:val="333333"/>
          <w:sz w:val="22"/>
          <w:szCs w:val="22"/>
        </w:rPr>
        <w:t>The World Health Organization (WHO) defined daily dose (DDD), the average daily maintenance dose for a medication’s main indication in adults, was used to standardize dosing across different medications, and the drug-specific ACB score provided strength of anticholinergic activity</w:t>
      </w:r>
      <w:r w:rsidR="007C609C">
        <w:rPr>
          <w:rFonts w:asciiTheme="minorHAnsi" w:hAnsiTheme="minorHAnsi" w:cstheme="minorHAnsi"/>
          <w:color w:val="333333"/>
          <w:sz w:val="22"/>
          <w:szCs w:val="22"/>
        </w:rPr>
        <w:t>.</w:t>
      </w:r>
      <w:r w:rsidR="007C609C">
        <w:rPr>
          <w:rFonts w:asciiTheme="minorHAnsi" w:hAnsiTheme="minorHAnsi" w:cstheme="minorHAnsi"/>
          <w:color w:val="333333"/>
          <w:sz w:val="22"/>
          <w:szCs w:val="22"/>
          <w:vertAlign w:val="superscript"/>
        </w:rPr>
        <w:t>4</w:t>
      </w:r>
      <w:r w:rsidRPr="00021FD4">
        <w:rPr>
          <w:rFonts w:asciiTheme="minorHAnsi" w:hAnsiTheme="minorHAnsi" w:cstheme="minorHAnsi"/>
          <w:color w:val="333333"/>
          <w:sz w:val="22"/>
          <w:szCs w:val="22"/>
        </w:rPr>
        <w:t xml:space="preserve"> Steps to estimate cumulative exposure were: (1) determine the DDD</w:t>
      </w:r>
      <w:r w:rsidR="00021FD4">
        <w:rPr>
          <w:rFonts w:asciiTheme="minorHAnsi" w:hAnsiTheme="minorHAnsi" w:cstheme="minorHAnsi"/>
          <w:color w:val="333333"/>
          <w:sz w:val="22"/>
          <w:szCs w:val="22"/>
          <w:vertAlign w:val="superscript"/>
        </w:rPr>
        <w:t>4,5</w:t>
      </w:r>
      <w:r w:rsidRPr="00021FD4">
        <w:rPr>
          <w:rFonts w:asciiTheme="minorHAnsi" w:hAnsiTheme="minorHAnsi" w:cstheme="minorHAnsi"/>
          <w:color w:val="333333"/>
          <w:sz w:val="22"/>
          <w:szCs w:val="22"/>
        </w:rPr>
        <w:t xml:space="preserve"> of each medication considered by the ACB scale; (2) calculate the standardized daily dose (SDD) for each anticholinergic dispensing according to the following equation: </w:t>
      </w:r>
    </w:p>
    <w:p w14:paraId="2C2D202D" w14:textId="5A381AF7" w:rsidR="007E6A4D" w:rsidRPr="00021FD4" w:rsidRDefault="00E334E3" w:rsidP="007E6A4D">
      <w:pPr>
        <w:pStyle w:val="NormalWeb"/>
        <w:shd w:val="clear" w:color="auto" w:fill="FCFCFC"/>
        <w:spacing w:before="0" w:beforeAutospacing="0" w:after="0" w:afterAutospacing="0" w:line="480" w:lineRule="auto"/>
        <w:ind w:firstLine="720"/>
        <w:rPr>
          <w:rFonts w:asciiTheme="minorHAnsi" w:hAnsiTheme="minorHAnsi" w:cstheme="minorHAnsi"/>
          <w:color w:val="333333"/>
          <w:sz w:val="22"/>
          <w:szCs w:val="22"/>
        </w:rPr>
      </w:pPr>
      <w:r w:rsidRPr="00021FD4">
        <w:rPr>
          <w:rStyle w:val="mtext"/>
          <w:rFonts w:asciiTheme="minorHAnsi" w:hAnsiTheme="minorHAnsi" w:cstheme="minorHAnsi"/>
          <w:color w:val="333333"/>
          <w:sz w:val="22"/>
          <w:szCs w:val="22"/>
          <w:bdr w:val="none" w:sz="0" w:space="0" w:color="auto" w:frame="1"/>
        </w:rPr>
        <w:t>SDD</w:t>
      </w:r>
      <w:r w:rsidRPr="00021FD4">
        <w:rPr>
          <w:rStyle w:val="mo"/>
          <w:rFonts w:asciiTheme="minorHAnsi" w:hAnsiTheme="minorHAnsi" w:cstheme="minorHAnsi"/>
          <w:color w:val="333333"/>
          <w:sz w:val="22"/>
          <w:szCs w:val="22"/>
          <w:bdr w:val="none" w:sz="0" w:space="0" w:color="auto" w:frame="1"/>
        </w:rPr>
        <w:t>=</w:t>
      </w:r>
      <w:r w:rsidRPr="00021FD4">
        <w:rPr>
          <w:rStyle w:val="mtext"/>
          <w:rFonts w:asciiTheme="minorHAnsi" w:hAnsiTheme="minorHAnsi" w:cstheme="minorHAnsi"/>
          <w:color w:val="333333"/>
          <w:sz w:val="22"/>
          <w:szCs w:val="22"/>
          <w:bdr w:val="none" w:sz="0" w:space="0" w:color="auto" w:frame="1"/>
        </w:rPr>
        <w:t xml:space="preserve">Number of Daily </w:t>
      </w:r>
      <w:proofErr w:type="spellStart"/>
      <w:r w:rsidRPr="00021FD4">
        <w:rPr>
          <w:rStyle w:val="mtext"/>
          <w:rFonts w:asciiTheme="minorHAnsi" w:hAnsiTheme="minorHAnsi" w:cstheme="minorHAnsi"/>
          <w:color w:val="333333"/>
          <w:sz w:val="22"/>
          <w:szCs w:val="22"/>
          <w:bdr w:val="none" w:sz="0" w:space="0" w:color="auto" w:frame="1"/>
        </w:rPr>
        <w:t>Units</w:t>
      </w:r>
      <w:r w:rsidRPr="00021FD4">
        <w:rPr>
          <w:rStyle w:val="mo"/>
          <w:rFonts w:asciiTheme="minorHAnsi" w:hAnsiTheme="minorHAnsi" w:cstheme="minorHAnsi"/>
          <w:color w:val="333333"/>
          <w:sz w:val="22"/>
          <w:szCs w:val="22"/>
          <w:bdr w:val="none" w:sz="0" w:space="0" w:color="auto" w:frame="1"/>
        </w:rPr>
        <w:t>×</w:t>
      </w:r>
      <w:r w:rsidRPr="00021FD4">
        <w:rPr>
          <w:rStyle w:val="mtext"/>
          <w:rFonts w:asciiTheme="minorHAnsi" w:hAnsiTheme="minorHAnsi" w:cstheme="minorHAnsi"/>
          <w:color w:val="333333"/>
          <w:sz w:val="22"/>
          <w:szCs w:val="22"/>
          <w:bdr w:val="none" w:sz="0" w:space="0" w:color="auto" w:frame="1"/>
        </w:rPr>
        <w:t>Unit</w:t>
      </w:r>
      <w:proofErr w:type="spellEnd"/>
      <w:r w:rsidRPr="00021FD4">
        <w:rPr>
          <w:rStyle w:val="mtext"/>
          <w:rFonts w:asciiTheme="minorHAnsi" w:hAnsiTheme="minorHAnsi" w:cstheme="minorHAnsi"/>
          <w:color w:val="333333"/>
          <w:sz w:val="22"/>
          <w:szCs w:val="22"/>
          <w:bdr w:val="none" w:sz="0" w:space="0" w:color="auto" w:frame="1"/>
        </w:rPr>
        <w:t xml:space="preserve"> </w:t>
      </w:r>
      <w:proofErr w:type="spellStart"/>
      <w:r w:rsidRPr="00021FD4">
        <w:rPr>
          <w:rStyle w:val="mtext"/>
          <w:rFonts w:asciiTheme="minorHAnsi" w:hAnsiTheme="minorHAnsi" w:cstheme="minorHAnsi"/>
          <w:color w:val="333333"/>
          <w:sz w:val="22"/>
          <w:szCs w:val="22"/>
          <w:bdr w:val="none" w:sz="0" w:space="0" w:color="auto" w:frame="1"/>
        </w:rPr>
        <w:t>DoseDDD</w:t>
      </w:r>
      <w:r w:rsidRPr="00021FD4">
        <w:rPr>
          <w:rStyle w:val="mo"/>
          <w:rFonts w:asciiTheme="minorHAnsi" w:hAnsiTheme="minorHAnsi" w:cstheme="minorHAnsi"/>
          <w:color w:val="333333"/>
          <w:sz w:val="22"/>
          <w:szCs w:val="22"/>
          <w:bdr w:val="none" w:sz="0" w:space="0" w:color="auto" w:frame="1"/>
        </w:rPr>
        <w:t>.</w:t>
      </w:r>
      <w:r w:rsidRPr="00021FD4">
        <w:rPr>
          <w:rStyle w:val="mjxassistivemathml"/>
          <w:rFonts w:asciiTheme="minorHAnsi" w:hAnsiTheme="minorHAnsi" w:cstheme="minorHAnsi"/>
          <w:color w:val="333333"/>
          <w:sz w:val="22"/>
          <w:szCs w:val="22"/>
          <w:bdr w:val="none" w:sz="0" w:space="0" w:color="auto" w:frame="1"/>
        </w:rPr>
        <w:t>SDD</w:t>
      </w:r>
      <w:proofErr w:type="spellEnd"/>
      <w:r w:rsidRPr="00021FD4">
        <w:rPr>
          <w:rStyle w:val="mjxassistivemathml"/>
          <w:rFonts w:asciiTheme="minorHAnsi" w:hAnsiTheme="minorHAnsi" w:cstheme="minorHAnsi"/>
          <w:color w:val="333333"/>
          <w:sz w:val="22"/>
          <w:szCs w:val="22"/>
          <w:bdr w:val="none" w:sz="0" w:space="0" w:color="auto" w:frame="1"/>
        </w:rPr>
        <w:t xml:space="preserve">=Number of Daily </w:t>
      </w:r>
      <w:proofErr w:type="spellStart"/>
      <w:r w:rsidRPr="00021FD4">
        <w:rPr>
          <w:rStyle w:val="mjxassistivemathml"/>
          <w:rFonts w:asciiTheme="minorHAnsi" w:hAnsiTheme="minorHAnsi" w:cstheme="minorHAnsi"/>
          <w:color w:val="333333"/>
          <w:sz w:val="22"/>
          <w:szCs w:val="22"/>
          <w:bdr w:val="none" w:sz="0" w:space="0" w:color="auto" w:frame="1"/>
        </w:rPr>
        <w:t>Units×Unit</w:t>
      </w:r>
      <w:proofErr w:type="spellEnd"/>
      <w:r w:rsidRPr="00021FD4">
        <w:rPr>
          <w:rStyle w:val="mjxassistivemathml"/>
          <w:rFonts w:asciiTheme="minorHAnsi" w:hAnsiTheme="minorHAnsi" w:cstheme="minorHAnsi"/>
          <w:color w:val="333333"/>
          <w:sz w:val="22"/>
          <w:szCs w:val="22"/>
          <w:bdr w:val="none" w:sz="0" w:space="0" w:color="auto" w:frame="1"/>
        </w:rPr>
        <w:t xml:space="preserve"> </w:t>
      </w:r>
      <w:proofErr w:type="spellStart"/>
      <w:r w:rsidRPr="00021FD4">
        <w:rPr>
          <w:rStyle w:val="mjxassistivemathml"/>
          <w:rFonts w:asciiTheme="minorHAnsi" w:hAnsiTheme="minorHAnsi" w:cstheme="minorHAnsi"/>
          <w:color w:val="333333"/>
          <w:sz w:val="22"/>
          <w:szCs w:val="22"/>
          <w:bdr w:val="none" w:sz="0" w:space="0" w:color="auto" w:frame="1"/>
        </w:rPr>
        <w:t>DoseDDD</w:t>
      </w:r>
      <w:proofErr w:type="spellEnd"/>
      <w:r w:rsidRPr="00021FD4">
        <w:rPr>
          <w:rStyle w:val="mjxassistivemathml"/>
          <w:rFonts w:asciiTheme="minorHAnsi" w:hAnsiTheme="minorHAnsi" w:cstheme="minorHAnsi"/>
          <w:color w:val="333333"/>
          <w:sz w:val="22"/>
          <w:szCs w:val="22"/>
          <w:bdr w:val="none" w:sz="0" w:space="0" w:color="auto" w:frame="1"/>
        </w:rPr>
        <w:t>.</w:t>
      </w:r>
      <w:r w:rsidR="007E6A4D" w:rsidRPr="00021FD4">
        <w:rPr>
          <w:rFonts w:asciiTheme="minorHAnsi" w:hAnsiTheme="minorHAnsi" w:cstheme="minorHAnsi"/>
          <w:color w:val="333333"/>
          <w:sz w:val="22"/>
          <w:szCs w:val="22"/>
        </w:rPr>
        <w:t xml:space="preserve"> </w:t>
      </w:r>
    </w:p>
    <w:p w14:paraId="4AD283F6" w14:textId="71CBD6DB" w:rsidR="00E334E3" w:rsidRPr="00021FD4" w:rsidRDefault="00E334E3" w:rsidP="00E334E3">
      <w:pPr>
        <w:pStyle w:val="NormalWeb"/>
        <w:shd w:val="clear" w:color="auto" w:fill="FCFCFC"/>
        <w:spacing w:before="0" w:beforeAutospacing="0" w:after="0" w:afterAutospacing="0" w:line="480" w:lineRule="auto"/>
        <w:rPr>
          <w:rFonts w:asciiTheme="minorHAnsi" w:hAnsiTheme="minorHAnsi" w:cstheme="minorHAnsi"/>
          <w:color w:val="333333"/>
          <w:sz w:val="22"/>
          <w:szCs w:val="22"/>
        </w:rPr>
      </w:pPr>
      <w:r w:rsidRPr="00021FD4">
        <w:rPr>
          <w:rFonts w:asciiTheme="minorHAnsi" w:hAnsiTheme="minorHAnsi" w:cstheme="minorHAnsi"/>
          <w:color w:val="333333"/>
          <w:sz w:val="22"/>
          <w:szCs w:val="22"/>
        </w:rPr>
        <w:t>(3) multiply the SDD by the medication’s ACB scale score to yield a drug- and patient-specific measure of standardized daily anticholinergic exposure (SDACE); (4) sum the drug-specific SDACE for all anticholinergic medications for individuals treated with multiple anticholinergic medications on a given day to give a summed standardized daily anticholinergic exposure (</w:t>
      </w:r>
      <w:proofErr w:type="spellStart"/>
      <w:r w:rsidRPr="00021FD4">
        <w:rPr>
          <w:rFonts w:asciiTheme="minorHAnsi" w:hAnsiTheme="minorHAnsi" w:cstheme="minorHAnsi"/>
          <w:color w:val="333333"/>
          <w:sz w:val="22"/>
          <w:szCs w:val="22"/>
        </w:rPr>
        <w:t>SumSDACE</w:t>
      </w:r>
      <w:proofErr w:type="spellEnd"/>
      <w:r w:rsidRPr="00021FD4">
        <w:rPr>
          <w:rFonts w:asciiTheme="minorHAnsi" w:hAnsiTheme="minorHAnsi" w:cstheme="minorHAnsi"/>
          <w:color w:val="333333"/>
          <w:sz w:val="22"/>
          <w:szCs w:val="22"/>
        </w:rPr>
        <w:t xml:space="preserve">); and (5) calculate cumulative exposure by summing </w:t>
      </w:r>
      <w:proofErr w:type="spellStart"/>
      <w:r w:rsidRPr="00021FD4">
        <w:rPr>
          <w:rFonts w:asciiTheme="minorHAnsi" w:hAnsiTheme="minorHAnsi" w:cstheme="minorHAnsi"/>
          <w:color w:val="333333"/>
          <w:sz w:val="22"/>
          <w:szCs w:val="22"/>
        </w:rPr>
        <w:t>SumSDACE</w:t>
      </w:r>
      <w:proofErr w:type="spellEnd"/>
      <w:r w:rsidRPr="00021FD4">
        <w:rPr>
          <w:rFonts w:asciiTheme="minorHAnsi" w:hAnsiTheme="minorHAnsi" w:cstheme="minorHAnsi"/>
          <w:color w:val="333333"/>
          <w:sz w:val="22"/>
          <w:szCs w:val="22"/>
        </w:rPr>
        <w:t xml:space="preserve"> for all days during the exposure period. As DDDs are often unavailable in administrative databases, they were extracted from the WHO Collaborating Centre for Drug Statistics Methodology website.</w:t>
      </w:r>
      <w:r w:rsidR="005926E5">
        <w:rPr>
          <w:rFonts w:asciiTheme="minorHAnsi" w:hAnsiTheme="minorHAnsi" w:cstheme="minorHAnsi"/>
          <w:color w:val="333333"/>
          <w:sz w:val="22"/>
          <w:szCs w:val="22"/>
          <w:vertAlign w:val="superscript"/>
        </w:rPr>
        <w:t>6</w:t>
      </w:r>
      <w:r w:rsidRPr="00021FD4">
        <w:rPr>
          <w:rFonts w:asciiTheme="minorHAnsi" w:hAnsiTheme="minorHAnsi" w:cstheme="minorHAnsi"/>
          <w:color w:val="333333"/>
          <w:sz w:val="22"/>
          <w:szCs w:val="22"/>
        </w:rPr>
        <w:t xml:space="preserve"> </w:t>
      </w:r>
    </w:p>
    <w:p w14:paraId="24A6D673" w14:textId="2CA0380A" w:rsidR="00130652" w:rsidRPr="00021FD4" w:rsidRDefault="00130652" w:rsidP="00D72698">
      <w:pPr>
        <w:rPr>
          <w:rFonts w:asciiTheme="minorHAnsi" w:hAnsiTheme="minorHAnsi" w:cstheme="minorHAnsi"/>
          <w:b/>
          <w:bCs/>
          <w:sz w:val="22"/>
          <w:szCs w:val="22"/>
        </w:rPr>
      </w:pPr>
      <w:proofErr w:type="spellStart"/>
      <w:r w:rsidRPr="00021FD4">
        <w:rPr>
          <w:rFonts w:asciiTheme="minorHAnsi" w:hAnsiTheme="minorHAnsi" w:cstheme="minorHAnsi"/>
          <w:b/>
          <w:bCs/>
          <w:sz w:val="22"/>
          <w:szCs w:val="22"/>
        </w:rPr>
        <w:t>S.Table</w:t>
      </w:r>
      <w:proofErr w:type="spellEnd"/>
      <w:r w:rsidRPr="00021FD4">
        <w:rPr>
          <w:rFonts w:asciiTheme="minorHAnsi" w:hAnsiTheme="minorHAnsi" w:cstheme="minorHAnsi"/>
          <w:b/>
          <w:bCs/>
          <w:sz w:val="22"/>
          <w:szCs w:val="22"/>
        </w:rPr>
        <w:t xml:space="preserve"> 1. </w:t>
      </w:r>
      <w:r w:rsidR="00743E08" w:rsidRPr="00021FD4">
        <w:rPr>
          <w:rFonts w:asciiTheme="minorHAnsi" w:hAnsiTheme="minorHAnsi" w:cstheme="minorHAnsi"/>
          <w:b/>
          <w:bCs/>
          <w:sz w:val="22"/>
          <w:szCs w:val="22"/>
        </w:rPr>
        <w:t xml:space="preserve">Anticholinergic medications </w:t>
      </w:r>
      <w:r w:rsidR="00625852" w:rsidRPr="00021FD4">
        <w:rPr>
          <w:rFonts w:asciiTheme="minorHAnsi" w:hAnsiTheme="minorHAnsi" w:cstheme="minorHAnsi"/>
          <w:b/>
          <w:bCs/>
          <w:color w:val="0E101A"/>
          <w:sz w:val="22"/>
          <w:szCs w:val="22"/>
        </w:rPr>
        <w:t>cumulative</w:t>
      </w:r>
      <w:r w:rsidR="00625852" w:rsidRPr="00021FD4">
        <w:rPr>
          <w:rFonts w:asciiTheme="minorHAnsi" w:hAnsiTheme="minorHAnsi" w:cstheme="minorHAnsi"/>
          <w:color w:val="0E101A"/>
          <w:sz w:val="22"/>
          <w:szCs w:val="22"/>
        </w:rPr>
        <w:t xml:space="preserve"> </w:t>
      </w:r>
      <w:r w:rsidR="00743E08" w:rsidRPr="00021FD4">
        <w:rPr>
          <w:rFonts w:asciiTheme="minorHAnsi" w:hAnsiTheme="minorHAnsi" w:cstheme="minorHAnsi"/>
          <w:b/>
          <w:bCs/>
          <w:sz w:val="22"/>
          <w:szCs w:val="22"/>
        </w:rPr>
        <w:t>scores across selected scales</w:t>
      </w:r>
    </w:p>
    <w:tbl>
      <w:tblPr>
        <w:tblW w:w="14485" w:type="dxa"/>
        <w:tblLook w:val="04A0" w:firstRow="1" w:lastRow="0" w:firstColumn="1" w:lastColumn="0" w:noHBand="0" w:noVBand="1"/>
      </w:tblPr>
      <w:tblGrid>
        <w:gridCol w:w="1318"/>
        <w:gridCol w:w="1318"/>
        <w:gridCol w:w="1318"/>
        <w:gridCol w:w="1801"/>
        <w:gridCol w:w="1196"/>
        <w:gridCol w:w="1059"/>
        <w:gridCol w:w="1059"/>
        <w:gridCol w:w="1276"/>
        <w:gridCol w:w="258"/>
        <w:gridCol w:w="1438"/>
        <w:gridCol w:w="1316"/>
        <w:gridCol w:w="1128"/>
      </w:tblGrid>
      <w:tr w:rsidR="00C16B7D" w:rsidRPr="00021FD4" w14:paraId="584559C3" w14:textId="2160BF1B" w:rsidTr="00123804">
        <w:trPr>
          <w:trHeight w:val="380"/>
        </w:trPr>
        <w:tc>
          <w:tcPr>
            <w:tcW w:w="13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D2A6F7F"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ACB: 1</w:t>
            </w:r>
          </w:p>
        </w:tc>
        <w:tc>
          <w:tcPr>
            <w:tcW w:w="131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0046108"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ACB: 2</w:t>
            </w:r>
          </w:p>
        </w:tc>
        <w:tc>
          <w:tcPr>
            <w:tcW w:w="131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30B6087"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ACB: 3</w:t>
            </w:r>
          </w:p>
        </w:tc>
        <w:tc>
          <w:tcPr>
            <w:tcW w:w="18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682CEBF"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Total ACB Score</w:t>
            </w:r>
          </w:p>
        </w:tc>
        <w:tc>
          <w:tcPr>
            <w:tcW w:w="119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0F21F8"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Level 1</w:t>
            </w:r>
          </w:p>
        </w:tc>
        <w:tc>
          <w:tcPr>
            <w:tcW w:w="1059"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5971CCF"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Level 2</w:t>
            </w:r>
          </w:p>
        </w:tc>
        <w:tc>
          <w:tcPr>
            <w:tcW w:w="1059"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138F277"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Level 3</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0BA7AB9" w14:textId="075942EE"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Total</w:t>
            </w:r>
            <w:r w:rsidRPr="00021FD4">
              <w:rPr>
                <w:rFonts w:asciiTheme="minorHAnsi" w:hAnsiTheme="minorHAnsi" w:cstheme="minorHAnsi"/>
                <w:b/>
                <w:bCs/>
                <w:color w:val="000000"/>
                <w:sz w:val="22"/>
                <w:szCs w:val="22"/>
              </w:rPr>
              <w:t xml:space="preserve"> ADS Score</w:t>
            </w:r>
          </w:p>
        </w:tc>
        <w:tc>
          <w:tcPr>
            <w:tcW w:w="25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D02ED97" w14:textId="3E8C9D48" w:rsidR="00C16B7D" w:rsidRPr="00C16B7D" w:rsidRDefault="00C16B7D" w:rsidP="00C16B7D">
            <w:pPr>
              <w:jc w:val="center"/>
              <w:rPr>
                <w:rFonts w:asciiTheme="minorHAnsi" w:hAnsiTheme="minorHAnsi" w:cstheme="minorHAnsi"/>
                <w:b/>
                <w:bCs/>
                <w:color w:val="000000"/>
                <w:sz w:val="22"/>
                <w:szCs w:val="22"/>
              </w:rPr>
            </w:pPr>
          </w:p>
        </w:tc>
        <w:tc>
          <w:tcPr>
            <w:tcW w:w="143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461805D" w14:textId="77777777" w:rsidR="00C16B7D" w:rsidRPr="00C16B7D" w:rsidRDefault="00C16B7D" w:rsidP="00C16B7D">
            <w:pPr>
              <w:jc w:val="center"/>
              <w:rPr>
                <w:rFonts w:asciiTheme="minorHAnsi" w:hAnsiTheme="minorHAnsi" w:cstheme="minorHAnsi"/>
                <w:b/>
                <w:bCs/>
                <w:color w:val="000000"/>
                <w:sz w:val="22"/>
                <w:szCs w:val="22"/>
              </w:rPr>
            </w:pPr>
            <w:r w:rsidRPr="00C16B7D">
              <w:rPr>
                <w:rFonts w:asciiTheme="minorHAnsi" w:hAnsiTheme="minorHAnsi" w:cstheme="minorHAnsi"/>
                <w:b/>
                <w:bCs/>
                <w:color w:val="000000"/>
                <w:sz w:val="22"/>
                <w:szCs w:val="22"/>
              </w:rPr>
              <w:t>Average daily dose</w:t>
            </w:r>
          </w:p>
        </w:tc>
        <w:tc>
          <w:tcPr>
            <w:tcW w:w="131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CC3D482" w14:textId="39ADAE82" w:rsidR="00C16B7D" w:rsidRPr="00021FD4" w:rsidRDefault="00C16B7D" w:rsidP="00C16B7D">
            <w:pPr>
              <w:jc w:val="center"/>
              <w:rPr>
                <w:rFonts w:asciiTheme="minorHAnsi" w:hAnsiTheme="minorHAnsi" w:cstheme="minorHAnsi"/>
                <w:b/>
                <w:bCs/>
                <w:color w:val="000000"/>
                <w:sz w:val="22"/>
                <w:szCs w:val="22"/>
              </w:rPr>
            </w:pPr>
            <w:r w:rsidRPr="00021FD4">
              <w:rPr>
                <w:rFonts w:asciiTheme="minorHAnsi" w:hAnsiTheme="minorHAnsi" w:cstheme="minorHAnsi"/>
                <w:b/>
                <w:bCs/>
                <w:color w:val="000000"/>
                <w:sz w:val="22"/>
                <w:szCs w:val="22"/>
              </w:rPr>
              <w:t>Cumulative Dose Measure (TSDD)</w:t>
            </w:r>
          </w:p>
        </w:tc>
        <w:tc>
          <w:tcPr>
            <w:tcW w:w="1128"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7903625" w14:textId="59126C1E" w:rsidR="00C16B7D" w:rsidRPr="00021FD4" w:rsidRDefault="00C16B7D" w:rsidP="00C16B7D">
            <w:pPr>
              <w:jc w:val="center"/>
              <w:rPr>
                <w:rFonts w:asciiTheme="minorHAnsi" w:hAnsiTheme="minorHAnsi" w:cstheme="minorHAnsi"/>
                <w:b/>
                <w:bCs/>
                <w:color w:val="000000"/>
                <w:sz w:val="22"/>
                <w:szCs w:val="22"/>
              </w:rPr>
            </w:pPr>
            <w:r w:rsidRPr="00021FD4">
              <w:rPr>
                <w:rFonts w:asciiTheme="minorHAnsi" w:hAnsiTheme="minorHAnsi" w:cstheme="minorHAnsi"/>
                <w:b/>
                <w:bCs/>
                <w:color w:val="000000"/>
                <w:sz w:val="22"/>
                <w:szCs w:val="22"/>
              </w:rPr>
              <w:t>CAB Measure</w:t>
            </w:r>
          </w:p>
        </w:tc>
      </w:tr>
      <w:tr w:rsidR="00123804" w:rsidRPr="00021FD4" w14:paraId="1C114455" w14:textId="1279D9EC"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79173D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214FAE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9EB6CC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7B8F2D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4E17100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5CE012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B0E381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B8B844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25F8106" w14:textId="067EEAF7"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74E5911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58330D07" w14:textId="24F4F64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67A9FA37" w14:textId="0C92DF82"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7CEF2DE0" w14:textId="7EF0F4C1"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D77290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F6CC0B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A29EC8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456475F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bottom"/>
            <w:hideMark/>
          </w:tcPr>
          <w:p w14:paraId="3CF9A57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04D0EB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73A1F1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bottom"/>
            <w:hideMark/>
          </w:tcPr>
          <w:p w14:paraId="4BC8111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5545A295" w14:textId="4E08B6A8"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B7B238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316" w:type="dxa"/>
            <w:tcBorders>
              <w:top w:val="nil"/>
              <w:left w:val="nil"/>
              <w:bottom w:val="single" w:sz="4" w:space="0" w:color="auto"/>
              <w:right w:val="single" w:sz="4" w:space="0" w:color="auto"/>
            </w:tcBorders>
            <w:vAlign w:val="center"/>
          </w:tcPr>
          <w:p w14:paraId="23DD5A0F" w14:textId="6498A71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c>
          <w:tcPr>
            <w:tcW w:w="1128" w:type="dxa"/>
            <w:tcBorders>
              <w:top w:val="nil"/>
              <w:left w:val="nil"/>
              <w:bottom w:val="single" w:sz="4" w:space="0" w:color="auto"/>
              <w:right w:val="single" w:sz="4" w:space="0" w:color="auto"/>
            </w:tcBorders>
            <w:vAlign w:val="bottom"/>
          </w:tcPr>
          <w:p w14:paraId="7CEA9C13" w14:textId="799529E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r>
      <w:tr w:rsidR="00123804" w:rsidRPr="00021FD4" w14:paraId="726B2774" w14:textId="4F7290CB"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EBFE39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228BAD9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390470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103014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6D4C80A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2AF0BF8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0F008F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395AA2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5FAE5949" w14:textId="3F543C53"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EA436A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64AAA888" w14:textId="4F4FA22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79299A61" w14:textId="6A75A58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71CF14CC" w14:textId="4C1464E3"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3D5909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0317D53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45C080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19AC0AD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318DD37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28F71EE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B68679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F5BF5F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5F8995D" w14:textId="1D9B0835"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D20764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47240036" w14:textId="3D0DA3B7"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w:t>
            </w:r>
          </w:p>
        </w:tc>
        <w:tc>
          <w:tcPr>
            <w:tcW w:w="1128" w:type="dxa"/>
            <w:tcBorders>
              <w:top w:val="nil"/>
              <w:left w:val="nil"/>
              <w:bottom w:val="single" w:sz="4" w:space="0" w:color="auto"/>
              <w:right w:val="single" w:sz="4" w:space="0" w:color="auto"/>
            </w:tcBorders>
            <w:vAlign w:val="bottom"/>
          </w:tcPr>
          <w:p w14:paraId="456F36CD" w14:textId="3E5B72B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w:t>
            </w:r>
          </w:p>
        </w:tc>
      </w:tr>
      <w:tr w:rsidR="00123804" w:rsidRPr="00021FD4" w14:paraId="128ED33B" w14:textId="5696243F"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05DC7E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18CBA5A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79E568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06B2E1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41ECC66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3841B4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E1880E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D15607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8230441" w14:textId="5F969AB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72672CF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7C624293" w14:textId="4F4E77A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58F9738E" w14:textId="554CFEC5"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3A3FD703" w14:textId="74D2F349"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C4A4C8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1965FB6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786A98F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C7C752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center"/>
            <w:hideMark/>
          </w:tcPr>
          <w:p w14:paraId="35E2ED5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5DB918B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center"/>
            <w:hideMark/>
          </w:tcPr>
          <w:p w14:paraId="20F6486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2345418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2F0DB20" w14:textId="2FBB3B6C"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D131BB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185AB094" w14:textId="10500E4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5BCC3C84" w14:textId="05D6A41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05C95600" w14:textId="453A7DAD"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E28651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lastRenderedPageBreak/>
              <w:t>1</w:t>
            </w:r>
          </w:p>
        </w:tc>
        <w:tc>
          <w:tcPr>
            <w:tcW w:w="1318" w:type="dxa"/>
            <w:tcBorders>
              <w:top w:val="nil"/>
              <w:left w:val="nil"/>
              <w:bottom w:val="single" w:sz="4" w:space="0" w:color="auto"/>
              <w:right w:val="single" w:sz="4" w:space="0" w:color="auto"/>
            </w:tcBorders>
            <w:shd w:val="clear" w:color="auto" w:fill="auto"/>
            <w:noWrap/>
            <w:vAlign w:val="center"/>
            <w:hideMark/>
          </w:tcPr>
          <w:p w14:paraId="2EBAAC0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A6724E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71FF4B8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67AD05F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3CAE87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A45E4B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bottom"/>
            <w:hideMark/>
          </w:tcPr>
          <w:p w14:paraId="7665251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14BC110" w14:textId="3CE37441"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723A4C2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2.1</w:t>
            </w:r>
          </w:p>
        </w:tc>
        <w:tc>
          <w:tcPr>
            <w:tcW w:w="1316" w:type="dxa"/>
            <w:tcBorders>
              <w:top w:val="nil"/>
              <w:left w:val="nil"/>
              <w:bottom w:val="single" w:sz="4" w:space="0" w:color="auto"/>
              <w:right w:val="single" w:sz="4" w:space="0" w:color="auto"/>
            </w:tcBorders>
            <w:vAlign w:val="bottom"/>
          </w:tcPr>
          <w:p w14:paraId="07F5A192" w14:textId="6A410C9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9</w:t>
            </w:r>
          </w:p>
        </w:tc>
        <w:tc>
          <w:tcPr>
            <w:tcW w:w="1128" w:type="dxa"/>
            <w:tcBorders>
              <w:top w:val="nil"/>
              <w:left w:val="nil"/>
              <w:bottom w:val="single" w:sz="4" w:space="0" w:color="auto"/>
              <w:right w:val="single" w:sz="4" w:space="0" w:color="auto"/>
            </w:tcBorders>
            <w:vAlign w:val="bottom"/>
          </w:tcPr>
          <w:p w14:paraId="6FF43B00" w14:textId="16609AC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36</w:t>
            </w:r>
          </w:p>
        </w:tc>
      </w:tr>
      <w:tr w:rsidR="00123804" w:rsidRPr="00021FD4" w14:paraId="0BD7AFEE" w14:textId="07885116"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7F4E2A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8A7809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CFD515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5D253AD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bottom"/>
            <w:hideMark/>
          </w:tcPr>
          <w:p w14:paraId="08495B7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01471E9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06CE3A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0C65D62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9D6929E" w14:textId="7CEFA92B"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77C388C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316" w:type="dxa"/>
            <w:tcBorders>
              <w:top w:val="nil"/>
              <w:left w:val="nil"/>
              <w:bottom w:val="single" w:sz="4" w:space="0" w:color="auto"/>
              <w:right w:val="single" w:sz="4" w:space="0" w:color="auto"/>
            </w:tcBorders>
            <w:vAlign w:val="center"/>
          </w:tcPr>
          <w:p w14:paraId="4D5E3DC6" w14:textId="5C8BEEC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c>
          <w:tcPr>
            <w:tcW w:w="1128" w:type="dxa"/>
            <w:tcBorders>
              <w:top w:val="nil"/>
              <w:left w:val="nil"/>
              <w:bottom w:val="single" w:sz="4" w:space="0" w:color="auto"/>
              <w:right w:val="single" w:sz="4" w:space="0" w:color="auto"/>
            </w:tcBorders>
            <w:vAlign w:val="bottom"/>
          </w:tcPr>
          <w:p w14:paraId="139B63A1" w14:textId="131EC18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15</w:t>
            </w:r>
          </w:p>
        </w:tc>
      </w:tr>
      <w:tr w:rsidR="00123804" w:rsidRPr="00021FD4" w14:paraId="33C2D5EC" w14:textId="4B49D887"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C84EF9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2E83B3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233774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B73CCA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114E8EF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DCEECC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65E425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7924F33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992F0AD" w14:textId="1139C25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527EE2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1FA37EC2" w14:textId="7F54AC9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6B047FFE" w14:textId="1DF212F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15E82725" w14:textId="26AF2205"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4959C7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AA08A5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BE8619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CF5590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4395C03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2FC66A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7FA2E7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23D56E5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DF7A52D" w14:textId="6FE271C7"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0887C7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39C0A429" w14:textId="6E6E5507"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27B8DF47" w14:textId="6ACF0BF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49FC2E7F" w14:textId="7A5A68E0"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6327A0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980323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61423E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6DB140C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bottom"/>
            <w:hideMark/>
          </w:tcPr>
          <w:p w14:paraId="166CC89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658712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9F970E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bottom"/>
            <w:hideMark/>
          </w:tcPr>
          <w:p w14:paraId="216E482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ED2FD60" w14:textId="5D33D321"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F4F135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316" w:type="dxa"/>
            <w:tcBorders>
              <w:top w:val="nil"/>
              <w:left w:val="nil"/>
              <w:bottom w:val="single" w:sz="4" w:space="0" w:color="auto"/>
              <w:right w:val="single" w:sz="4" w:space="0" w:color="auto"/>
            </w:tcBorders>
            <w:vAlign w:val="center"/>
          </w:tcPr>
          <w:p w14:paraId="2C5DB2E8" w14:textId="19C0D9A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3</w:t>
            </w:r>
          </w:p>
        </w:tc>
        <w:tc>
          <w:tcPr>
            <w:tcW w:w="1128" w:type="dxa"/>
            <w:tcBorders>
              <w:top w:val="nil"/>
              <w:left w:val="nil"/>
              <w:bottom w:val="single" w:sz="4" w:space="0" w:color="auto"/>
              <w:right w:val="single" w:sz="4" w:space="0" w:color="auto"/>
            </w:tcBorders>
            <w:vAlign w:val="bottom"/>
          </w:tcPr>
          <w:p w14:paraId="79766184" w14:textId="240AC1F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9</w:t>
            </w:r>
          </w:p>
        </w:tc>
      </w:tr>
      <w:tr w:rsidR="00123804" w:rsidRPr="00021FD4" w14:paraId="54DEDB1E" w14:textId="4D8806CE"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A909CB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48D83B5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A69814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C91404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4BEAB68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66A496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68E591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0DFBD5E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14A4BB3" w14:textId="2837924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A46D5C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5ACCF5F4" w14:textId="166B2CC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7679DE6E" w14:textId="4BC02C9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1C7F8D11" w14:textId="3C571ABF"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489031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1748402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9D1035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27AC44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538CAFD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5742322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18AEFB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A1B086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A1D8DB1" w14:textId="76F44A5E"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AD17CF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393D181D" w14:textId="28A2400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c>
          <w:tcPr>
            <w:tcW w:w="1128" w:type="dxa"/>
            <w:tcBorders>
              <w:top w:val="nil"/>
              <w:left w:val="nil"/>
              <w:bottom w:val="single" w:sz="4" w:space="0" w:color="auto"/>
              <w:right w:val="single" w:sz="4" w:space="0" w:color="auto"/>
            </w:tcBorders>
            <w:vAlign w:val="bottom"/>
          </w:tcPr>
          <w:p w14:paraId="74A9E3BB" w14:textId="267CAE5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r>
      <w:tr w:rsidR="00123804" w:rsidRPr="00021FD4" w14:paraId="775CBCB3" w14:textId="34926EAD"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4537E5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222E68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FF202B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425DDE5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6061926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A39DC8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8CCC9A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236008F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645DA81" w14:textId="14D5F369"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0DC65B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714DF85B" w14:textId="737E8BE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70ACB27E" w14:textId="1838627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1182F66B" w14:textId="2C488F33"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BC00B7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1840E5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2264DE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288A41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576E0AB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39D1F3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DC33E9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6444CB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53FF4F9" w14:textId="6EE7AEFA"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1A5F54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735A6CB5" w14:textId="58C919F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76AA6214" w14:textId="462677E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417F70B9" w14:textId="01818F35"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83416D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15C801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4AA80E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C1F8DC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4FA96CC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31BFA3A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FF70E5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3ED3DE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F6C7FCA" w14:textId="493090A0"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06F3D0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55AC313B" w14:textId="35F51F4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625F9422" w14:textId="4CD29862"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64287E53" w14:textId="07C2B8D1"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11441C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12C173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384052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AC6976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1DB865B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62291C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73FE5B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295BCC6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1BD9D74" w14:textId="672921D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24E45A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1CE61D61" w14:textId="17BD896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5438EE69" w14:textId="462CBBA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36DF126C" w14:textId="271F0CBC"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0832EF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43AC7F8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BA5762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25B26AC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282384C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5A9E6D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20A8FF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A40DA8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50B6B6A" w14:textId="30051006"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224B89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1.9</w:t>
            </w:r>
          </w:p>
        </w:tc>
        <w:tc>
          <w:tcPr>
            <w:tcW w:w="1316" w:type="dxa"/>
            <w:tcBorders>
              <w:top w:val="nil"/>
              <w:left w:val="nil"/>
              <w:bottom w:val="single" w:sz="4" w:space="0" w:color="auto"/>
              <w:right w:val="single" w:sz="4" w:space="0" w:color="auto"/>
            </w:tcBorders>
            <w:vAlign w:val="center"/>
          </w:tcPr>
          <w:p w14:paraId="3B0155FE" w14:textId="5D4D57D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6D3852EC" w14:textId="3D2887A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44</w:t>
            </w:r>
          </w:p>
        </w:tc>
      </w:tr>
      <w:tr w:rsidR="00123804" w:rsidRPr="00021FD4" w14:paraId="1AD55329" w14:textId="24D224A4"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6D2839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750E0C5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6FC6E6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0D25192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0E16CBB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1B93158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4ADF69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0DB010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CC39700" w14:textId="4D448FDE"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7684C7F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bottom"/>
          </w:tcPr>
          <w:p w14:paraId="434489CC" w14:textId="7B2F8CA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c>
          <w:tcPr>
            <w:tcW w:w="1128" w:type="dxa"/>
            <w:tcBorders>
              <w:top w:val="nil"/>
              <w:left w:val="nil"/>
              <w:bottom w:val="single" w:sz="4" w:space="0" w:color="auto"/>
              <w:right w:val="single" w:sz="4" w:space="0" w:color="auto"/>
            </w:tcBorders>
            <w:vAlign w:val="bottom"/>
          </w:tcPr>
          <w:p w14:paraId="2CD479A0" w14:textId="56EA0204"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r>
      <w:tr w:rsidR="00123804" w:rsidRPr="00021FD4" w14:paraId="6F94EEF2" w14:textId="6E4AC4FE"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4E4049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A91E82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A8325D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44E5EA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51816F6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D9BB35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93BB9D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3545D2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6871715" w14:textId="5A5021B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78D600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0D23E813" w14:textId="6A33A95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45742442" w14:textId="6A5C2B3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265B0F30" w14:textId="139FC5AE"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F9FB3F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CC82D3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67CC94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0C42077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052CB3D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EFB4B6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989105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0A4432C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55D6C23" w14:textId="4F2B7E05"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C0A651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28A96E6E" w14:textId="5AF3BA14"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736F658C" w14:textId="6CF1EB8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641738A0" w14:textId="139794B0"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E62652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FD046C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4388C4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869373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7D4446D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F5F39D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33AD7B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372E69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A061264" w14:textId="528E534B"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5FC5BB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63FC9129" w14:textId="533684C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392FDBE9" w14:textId="17E5E6D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23E979B6" w14:textId="7C14476B"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9E43BC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73D5F91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2C2B3B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2762A3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3B1011C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287CDF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5EF6986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540E56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5AD9FA6" w14:textId="391E370B"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0D2671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6DD87208" w14:textId="6D91B01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c>
          <w:tcPr>
            <w:tcW w:w="1128" w:type="dxa"/>
            <w:tcBorders>
              <w:top w:val="nil"/>
              <w:left w:val="nil"/>
              <w:bottom w:val="single" w:sz="4" w:space="0" w:color="auto"/>
              <w:right w:val="single" w:sz="4" w:space="0" w:color="auto"/>
            </w:tcBorders>
            <w:vAlign w:val="bottom"/>
          </w:tcPr>
          <w:p w14:paraId="3104C28B" w14:textId="69D4F07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r>
      <w:tr w:rsidR="00123804" w:rsidRPr="00021FD4" w14:paraId="596FBCB9" w14:textId="1EA80CE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EEF066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2D625C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C73A37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B52450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1A1D940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7BC5661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EE9DF5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D28D60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2A6CB51" w14:textId="57326FD2"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3D2ABE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200A3969" w14:textId="091E749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30042C40" w14:textId="2919C77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7CAFCAB8" w14:textId="2B22526B"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EA7F7C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CD9365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407093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0CF959D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3ED2EC2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3CB9939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65FED6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922A72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173B293" w14:textId="44F8A86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E9693B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68C3D149" w14:textId="706AE0A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5EC08B11" w14:textId="5D060FF2"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789A514B" w14:textId="1BA3EDDC"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F00FF0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6443EDD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D07D2D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02FEFA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5FC8B3D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31A9625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A2E151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4EB243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BDA03B0" w14:textId="12622EF9"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5CC545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3E0BE77B" w14:textId="4F3A2C4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7AE8CCDC" w14:textId="4C9EB07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r>
      <w:tr w:rsidR="00123804" w:rsidRPr="00021FD4" w14:paraId="434E2688" w14:textId="5008201D"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32D93D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168CB69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F453D0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0E44348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center"/>
            <w:hideMark/>
          </w:tcPr>
          <w:p w14:paraId="12F71F1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2D70B1B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center"/>
            <w:hideMark/>
          </w:tcPr>
          <w:p w14:paraId="575F673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020794B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7E1850D" w14:textId="5BB0C3F9"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1BA29A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7334174F" w14:textId="05C2961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c>
          <w:tcPr>
            <w:tcW w:w="1128" w:type="dxa"/>
            <w:tcBorders>
              <w:top w:val="nil"/>
              <w:left w:val="nil"/>
              <w:bottom w:val="single" w:sz="4" w:space="0" w:color="auto"/>
              <w:right w:val="single" w:sz="4" w:space="0" w:color="auto"/>
            </w:tcBorders>
            <w:vAlign w:val="bottom"/>
          </w:tcPr>
          <w:p w14:paraId="62C4CCAE" w14:textId="7EE3F714"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r>
      <w:tr w:rsidR="00123804" w:rsidRPr="00021FD4" w14:paraId="4FB5AAC4" w14:textId="32ED0860"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82911F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4AA1F88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2C94DA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FB4F95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444C197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367A315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08C2BBA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1A5DD9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332E796" w14:textId="275B062B"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2EB376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3098CD9B" w14:textId="1503A29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c>
          <w:tcPr>
            <w:tcW w:w="1128" w:type="dxa"/>
            <w:tcBorders>
              <w:top w:val="nil"/>
              <w:left w:val="nil"/>
              <w:bottom w:val="single" w:sz="4" w:space="0" w:color="auto"/>
              <w:right w:val="single" w:sz="4" w:space="0" w:color="auto"/>
            </w:tcBorders>
            <w:vAlign w:val="bottom"/>
          </w:tcPr>
          <w:p w14:paraId="4A672A8F" w14:textId="0A8AA92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r>
      <w:tr w:rsidR="00123804" w:rsidRPr="00021FD4" w14:paraId="1BEAFE5E" w14:textId="72D88810"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76508F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4A164E9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4D2B72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2CA008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64FB0EC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0E73190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094CE0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7AFE4B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51E7018C" w14:textId="6A0869D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6333E5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3ABFF044" w14:textId="4781D007"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c>
          <w:tcPr>
            <w:tcW w:w="1128" w:type="dxa"/>
            <w:tcBorders>
              <w:top w:val="nil"/>
              <w:left w:val="nil"/>
              <w:bottom w:val="single" w:sz="4" w:space="0" w:color="auto"/>
              <w:right w:val="single" w:sz="4" w:space="0" w:color="auto"/>
            </w:tcBorders>
            <w:vAlign w:val="bottom"/>
          </w:tcPr>
          <w:p w14:paraId="77E8BF07" w14:textId="04885D25"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r>
      <w:tr w:rsidR="00123804" w:rsidRPr="00021FD4" w14:paraId="0C0F90B5" w14:textId="36F55B11"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12D144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96F76C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242C96B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D9EF64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7311205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312187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1840B6D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05B31F7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3CAC50A" w14:textId="5FD29070"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4F5DBE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6" w:type="dxa"/>
            <w:tcBorders>
              <w:top w:val="nil"/>
              <w:left w:val="nil"/>
              <w:bottom w:val="single" w:sz="4" w:space="0" w:color="auto"/>
              <w:right w:val="single" w:sz="4" w:space="0" w:color="auto"/>
            </w:tcBorders>
            <w:vAlign w:val="center"/>
          </w:tcPr>
          <w:p w14:paraId="3F929E31" w14:textId="5A166D77"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7DB367D3" w14:textId="7E6A005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r>
      <w:tr w:rsidR="00123804" w:rsidRPr="00021FD4" w14:paraId="783CE094" w14:textId="66A302E2"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C2F14C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318" w:type="dxa"/>
            <w:tcBorders>
              <w:top w:val="nil"/>
              <w:left w:val="nil"/>
              <w:bottom w:val="single" w:sz="4" w:space="0" w:color="auto"/>
              <w:right w:val="single" w:sz="4" w:space="0" w:color="auto"/>
            </w:tcBorders>
            <w:shd w:val="clear" w:color="auto" w:fill="auto"/>
            <w:noWrap/>
            <w:vAlign w:val="center"/>
            <w:hideMark/>
          </w:tcPr>
          <w:p w14:paraId="453C991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0C8F04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7B78C9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center"/>
            <w:hideMark/>
          </w:tcPr>
          <w:p w14:paraId="5AE075D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059" w:type="dxa"/>
            <w:tcBorders>
              <w:top w:val="nil"/>
              <w:left w:val="nil"/>
              <w:bottom w:val="single" w:sz="4" w:space="0" w:color="auto"/>
              <w:right w:val="single" w:sz="4" w:space="0" w:color="auto"/>
            </w:tcBorders>
            <w:shd w:val="clear" w:color="auto" w:fill="auto"/>
            <w:noWrap/>
            <w:vAlign w:val="center"/>
            <w:hideMark/>
          </w:tcPr>
          <w:p w14:paraId="70154AF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center"/>
            <w:hideMark/>
          </w:tcPr>
          <w:p w14:paraId="7BE8BBD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2A7C160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565F769" w14:textId="2BFBFF44"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3D1746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790CDCB3" w14:textId="29724EA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16B29469" w14:textId="439C411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r>
      <w:tr w:rsidR="00123804" w:rsidRPr="00021FD4" w14:paraId="28605555" w14:textId="5BF440BB"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2807DB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66370F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FF21A0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15DE993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4BC47BA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BC809C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42B46B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B45DD1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2405F33" w14:textId="7D7CA0BA"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A91142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0D3C2504" w14:textId="2140A0D5"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446435CD" w14:textId="5C7A7C8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1DEC79A7" w14:textId="5370DA94"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2B6682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7AC5BA6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E8D5B1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5FEC281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5</w:t>
            </w:r>
          </w:p>
        </w:tc>
        <w:tc>
          <w:tcPr>
            <w:tcW w:w="1196" w:type="dxa"/>
            <w:tcBorders>
              <w:top w:val="nil"/>
              <w:left w:val="nil"/>
              <w:bottom w:val="single" w:sz="4" w:space="0" w:color="auto"/>
              <w:right w:val="single" w:sz="4" w:space="0" w:color="auto"/>
            </w:tcBorders>
            <w:shd w:val="clear" w:color="auto" w:fill="auto"/>
            <w:noWrap/>
            <w:vAlign w:val="center"/>
            <w:hideMark/>
          </w:tcPr>
          <w:p w14:paraId="6273F7B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15F2694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center"/>
            <w:hideMark/>
          </w:tcPr>
          <w:p w14:paraId="0FBE35D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0F25546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5</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623A339" w14:textId="312EF549"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039973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1.6</w:t>
            </w:r>
          </w:p>
        </w:tc>
        <w:tc>
          <w:tcPr>
            <w:tcW w:w="1316" w:type="dxa"/>
            <w:tcBorders>
              <w:top w:val="nil"/>
              <w:left w:val="nil"/>
              <w:bottom w:val="single" w:sz="4" w:space="0" w:color="auto"/>
              <w:right w:val="single" w:sz="4" w:space="0" w:color="auto"/>
            </w:tcBorders>
            <w:vAlign w:val="center"/>
          </w:tcPr>
          <w:p w14:paraId="4DAC3295" w14:textId="4766D36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17</w:t>
            </w:r>
          </w:p>
        </w:tc>
        <w:tc>
          <w:tcPr>
            <w:tcW w:w="1128" w:type="dxa"/>
            <w:tcBorders>
              <w:top w:val="nil"/>
              <w:left w:val="nil"/>
              <w:bottom w:val="single" w:sz="4" w:space="0" w:color="auto"/>
              <w:right w:val="single" w:sz="4" w:space="0" w:color="auto"/>
            </w:tcBorders>
            <w:vAlign w:val="bottom"/>
          </w:tcPr>
          <w:p w14:paraId="2B7E4931" w14:textId="62073694"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85</w:t>
            </w:r>
          </w:p>
        </w:tc>
      </w:tr>
      <w:tr w:rsidR="00123804" w:rsidRPr="00021FD4" w14:paraId="138231EA" w14:textId="26CAA615"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403B47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318" w:type="dxa"/>
            <w:tcBorders>
              <w:top w:val="nil"/>
              <w:left w:val="nil"/>
              <w:bottom w:val="single" w:sz="4" w:space="0" w:color="auto"/>
              <w:right w:val="single" w:sz="4" w:space="0" w:color="auto"/>
            </w:tcBorders>
            <w:shd w:val="clear" w:color="auto" w:fill="auto"/>
            <w:noWrap/>
            <w:vAlign w:val="center"/>
            <w:hideMark/>
          </w:tcPr>
          <w:p w14:paraId="6D2F06E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029C02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1CBDCDB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bottom"/>
            <w:hideMark/>
          </w:tcPr>
          <w:p w14:paraId="1DE6D49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3B777DD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7222EBF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0C3DE5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53587A6" w14:textId="7184B2C8"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1A1AF3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1BB04C2A" w14:textId="4EC845C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17</w:t>
            </w:r>
          </w:p>
        </w:tc>
        <w:tc>
          <w:tcPr>
            <w:tcW w:w="1128" w:type="dxa"/>
            <w:tcBorders>
              <w:top w:val="nil"/>
              <w:left w:val="nil"/>
              <w:bottom w:val="single" w:sz="4" w:space="0" w:color="auto"/>
              <w:right w:val="single" w:sz="4" w:space="0" w:color="auto"/>
            </w:tcBorders>
            <w:vAlign w:val="bottom"/>
          </w:tcPr>
          <w:p w14:paraId="47523FD5" w14:textId="49C5C42D"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17</w:t>
            </w:r>
          </w:p>
        </w:tc>
      </w:tr>
      <w:tr w:rsidR="00123804" w:rsidRPr="00021FD4" w14:paraId="1A4DB270" w14:textId="39679DCE"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4C1A5C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lastRenderedPageBreak/>
              <w:t>1</w:t>
            </w:r>
          </w:p>
        </w:tc>
        <w:tc>
          <w:tcPr>
            <w:tcW w:w="1318" w:type="dxa"/>
            <w:tcBorders>
              <w:top w:val="nil"/>
              <w:left w:val="nil"/>
              <w:bottom w:val="single" w:sz="4" w:space="0" w:color="auto"/>
              <w:right w:val="single" w:sz="4" w:space="0" w:color="auto"/>
            </w:tcBorders>
            <w:shd w:val="clear" w:color="auto" w:fill="auto"/>
            <w:noWrap/>
            <w:vAlign w:val="center"/>
            <w:hideMark/>
          </w:tcPr>
          <w:p w14:paraId="140210A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E466B9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E9AD9F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6DEF887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952674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9514EB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0F44706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F982D27" w14:textId="0ACB8484"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C090AE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5D536412" w14:textId="742A6BDD"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c>
          <w:tcPr>
            <w:tcW w:w="1128" w:type="dxa"/>
            <w:tcBorders>
              <w:top w:val="nil"/>
              <w:left w:val="nil"/>
              <w:bottom w:val="single" w:sz="4" w:space="0" w:color="auto"/>
              <w:right w:val="single" w:sz="4" w:space="0" w:color="auto"/>
            </w:tcBorders>
            <w:vAlign w:val="bottom"/>
          </w:tcPr>
          <w:p w14:paraId="571DAFFE" w14:textId="4303C837"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r>
      <w:tr w:rsidR="00123804" w:rsidRPr="00021FD4" w14:paraId="41C289F5" w14:textId="28F57A0B"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1C341F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2AC65AF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69BFB4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790405A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45CC185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1CE1B6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AFDB31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1CCDC3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B29EA4C" w14:textId="3CA7781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20E532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6" w:type="dxa"/>
            <w:tcBorders>
              <w:top w:val="nil"/>
              <w:left w:val="nil"/>
              <w:bottom w:val="single" w:sz="4" w:space="0" w:color="auto"/>
              <w:right w:val="single" w:sz="4" w:space="0" w:color="auto"/>
            </w:tcBorders>
            <w:vAlign w:val="center"/>
          </w:tcPr>
          <w:p w14:paraId="3271F3ED" w14:textId="1A78E57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c>
          <w:tcPr>
            <w:tcW w:w="1128" w:type="dxa"/>
            <w:tcBorders>
              <w:top w:val="nil"/>
              <w:left w:val="nil"/>
              <w:bottom w:val="single" w:sz="4" w:space="0" w:color="auto"/>
              <w:right w:val="single" w:sz="4" w:space="0" w:color="auto"/>
            </w:tcBorders>
            <w:vAlign w:val="bottom"/>
          </w:tcPr>
          <w:p w14:paraId="6C57B882" w14:textId="0324C5F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48</w:t>
            </w:r>
          </w:p>
        </w:tc>
      </w:tr>
      <w:tr w:rsidR="00123804" w:rsidRPr="00021FD4" w14:paraId="3FC55C78" w14:textId="7C4E3C1F"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F33430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4C9F919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0A198E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27405E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center"/>
            <w:hideMark/>
          </w:tcPr>
          <w:p w14:paraId="6779747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3975839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center"/>
            <w:hideMark/>
          </w:tcPr>
          <w:p w14:paraId="6C45546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3AC4B20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6EE03D2" w14:textId="7FB811A1"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41543E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33835072" w14:textId="2B06BFB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60657CDA" w14:textId="34CB625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5F802454" w14:textId="3073A052"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1794B4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548A00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E310FB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B34455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4B74296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2645A3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EE599A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944021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112150F" w14:textId="53893B8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DBECA5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78BD07C0" w14:textId="3CF6D5D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5EDA3D8F" w14:textId="79891DC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152F4615" w14:textId="757873A2"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1FE844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2C2588D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37003D6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1F41992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center"/>
            <w:hideMark/>
          </w:tcPr>
          <w:p w14:paraId="77A30E5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456A24F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141970F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2F0EE3D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94830A2" w14:textId="52BEB058"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17E9C2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1.5</w:t>
            </w:r>
          </w:p>
        </w:tc>
        <w:tc>
          <w:tcPr>
            <w:tcW w:w="1316" w:type="dxa"/>
            <w:tcBorders>
              <w:top w:val="nil"/>
              <w:left w:val="nil"/>
              <w:bottom w:val="single" w:sz="4" w:space="0" w:color="auto"/>
              <w:right w:val="single" w:sz="4" w:space="0" w:color="auto"/>
            </w:tcBorders>
            <w:vAlign w:val="center"/>
          </w:tcPr>
          <w:p w14:paraId="3F28FE49" w14:textId="647719B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28F90224" w14:textId="1C48D25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33</w:t>
            </w:r>
          </w:p>
        </w:tc>
      </w:tr>
      <w:tr w:rsidR="00123804" w:rsidRPr="00021FD4" w14:paraId="402E0060" w14:textId="73D3F551"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1A05DA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035E18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E1AD12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5D7042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728F27B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8F3424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741F9C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29172CD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9210C9F" w14:textId="7880002C"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3EE370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57BE079A" w14:textId="48231FB5"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25772741" w14:textId="30B9DBC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36DC96A0" w14:textId="6729A1C8"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FD13D3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927293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E6638C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429D949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50D562C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53AE73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5FC45BE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0B05A41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275395B" w14:textId="6193A0E0"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62655F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3545E2DF" w14:textId="0684378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center"/>
          </w:tcPr>
          <w:p w14:paraId="43306633" w14:textId="65310D0D"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25F7CB66" w14:textId="32CD85A0"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78B3DF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43D4C4E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493D20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45EC274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vAlign w:val="center"/>
            <w:hideMark/>
          </w:tcPr>
          <w:p w14:paraId="53C272A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vAlign w:val="center"/>
            <w:hideMark/>
          </w:tcPr>
          <w:p w14:paraId="65B5502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vAlign w:val="center"/>
            <w:hideMark/>
          </w:tcPr>
          <w:p w14:paraId="77CFC53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vAlign w:val="center"/>
            <w:hideMark/>
          </w:tcPr>
          <w:p w14:paraId="78CD0CB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D6EBF58" w14:textId="778FAC2E"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CAF899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63AFB8A6" w14:textId="1951EDB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118C0F76" w14:textId="25CE889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22</w:t>
            </w:r>
          </w:p>
        </w:tc>
      </w:tr>
      <w:tr w:rsidR="00123804" w:rsidRPr="00021FD4" w14:paraId="6363CB19" w14:textId="4539EE85"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E42CA9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362E81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146E56A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8001E0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0995FA1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9A8B79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38974D1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F75E25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087831A5" w14:textId="5DCD55B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6152FD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6" w:type="dxa"/>
            <w:tcBorders>
              <w:top w:val="nil"/>
              <w:left w:val="nil"/>
              <w:bottom w:val="single" w:sz="4" w:space="0" w:color="auto"/>
              <w:right w:val="single" w:sz="4" w:space="0" w:color="auto"/>
            </w:tcBorders>
            <w:vAlign w:val="center"/>
          </w:tcPr>
          <w:p w14:paraId="5C1525E0" w14:textId="771837A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c>
          <w:tcPr>
            <w:tcW w:w="1128" w:type="dxa"/>
            <w:tcBorders>
              <w:top w:val="nil"/>
              <w:left w:val="nil"/>
              <w:bottom w:val="single" w:sz="4" w:space="0" w:color="auto"/>
              <w:right w:val="single" w:sz="4" w:space="0" w:color="auto"/>
            </w:tcBorders>
            <w:vAlign w:val="bottom"/>
          </w:tcPr>
          <w:p w14:paraId="5A803730" w14:textId="7F59B1C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10</w:t>
            </w:r>
          </w:p>
        </w:tc>
      </w:tr>
      <w:tr w:rsidR="00123804" w:rsidRPr="00021FD4" w14:paraId="414770CF" w14:textId="03D2023C"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6736E0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1550C44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685D6E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792BF0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26F4C3E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170BCBD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A987C1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06DCFE3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7110327" w14:textId="295F761A"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2B2EF7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64EF826F" w14:textId="771BDCC7"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2AAC6A73" w14:textId="2F07469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22</w:t>
            </w:r>
          </w:p>
        </w:tc>
      </w:tr>
      <w:tr w:rsidR="00123804" w:rsidRPr="00021FD4" w14:paraId="2859051E" w14:textId="337C8F86"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CBF8B5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B52790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5F9E05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0E1FC7B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1AE5C1E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7B4C5E3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BC7064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D4972F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5CB5F84" w14:textId="4E4284A2"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61C2E3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66749836" w14:textId="02F1B9B4"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4C9AE809" w14:textId="452ADF9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0DB2AAC6" w14:textId="6DC491BC"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A2605E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1FBE072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825238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23D0F35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25DC77B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5E8E1E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22E0BA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B8268E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50022B7" w14:textId="68E715B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1409F6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6" w:type="dxa"/>
            <w:tcBorders>
              <w:top w:val="nil"/>
              <w:left w:val="nil"/>
              <w:bottom w:val="single" w:sz="4" w:space="0" w:color="auto"/>
              <w:right w:val="single" w:sz="4" w:space="0" w:color="auto"/>
            </w:tcBorders>
            <w:vAlign w:val="center"/>
          </w:tcPr>
          <w:p w14:paraId="7F792EAD" w14:textId="0E6DE82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c>
          <w:tcPr>
            <w:tcW w:w="1128" w:type="dxa"/>
            <w:tcBorders>
              <w:top w:val="nil"/>
              <w:left w:val="nil"/>
              <w:bottom w:val="single" w:sz="4" w:space="0" w:color="auto"/>
              <w:right w:val="single" w:sz="4" w:space="0" w:color="auto"/>
            </w:tcBorders>
            <w:vAlign w:val="bottom"/>
          </w:tcPr>
          <w:p w14:paraId="2917CBCA" w14:textId="18D0CFE5"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36</w:t>
            </w:r>
          </w:p>
        </w:tc>
      </w:tr>
      <w:tr w:rsidR="00123804" w:rsidRPr="00021FD4" w14:paraId="76736E38" w14:textId="10F1CCD7"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A4E173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0DD760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B064E6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0BFA870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bottom"/>
            <w:hideMark/>
          </w:tcPr>
          <w:p w14:paraId="3E95B70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09AB66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A54256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bottom"/>
            <w:hideMark/>
          </w:tcPr>
          <w:p w14:paraId="292B725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02CDC3CE" w14:textId="0439DA2B"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ADD6DA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316" w:type="dxa"/>
            <w:tcBorders>
              <w:top w:val="nil"/>
              <w:left w:val="nil"/>
              <w:bottom w:val="single" w:sz="4" w:space="0" w:color="auto"/>
              <w:right w:val="single" w:sz="4" w:space="0" w:color="auto"/>
            </w:tcBorders>
            <w:vAlign w:val="center"/>
          </w:tcPr>
          <w:p w14:paraId="1CC9EEED" w14:textId="2970487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w:t>
            </w:r>
          </w:p>
        </w:tc>
        <w:tc>
          <w:tcPr>
            <w:tcW w:w="1128" w:type="dxa"/>
            <w:tcBorders>
              <w:top w:val="nil"/>
              <w:left w:val="nil"/>
              <w:bottom w:val="single" w:sz="4" w:space="0" w:color="auto"/>
              <w:right w:val="single" w:sz="4" w:space="0" w:color="auto"/>
            </w:tcBorders>
            <w:vAlign w:val="bottom"/>
          </w:tcPr>
          <w:p w14:paraId="274C2062" w14:textId="1DC4397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r>
      <w:tr w:rsidR="00123804" w:rsidRPr="00021FD4" w14:paraId="6040253E" w14:textId="2E8325FF"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55840D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65BC8AE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D29204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7DC8EAC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08CAF3B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6CF42AF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E201E4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bottom"/>
            <w:hideMark/>
          </w:tcPr>
          <w:p w14:paraId="6135F1E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D8D93EA" w14:textId="3A734351"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B705AE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2.1</w:t>
            </w:r>
          </w:p>
        </w:tc>
        <w:tc>
          <w:tcPr>
            <w:tcW w:w="1316" w:type="dxa"/>
            <w:tcBorders>
              <w:top w:val="nil"/>
              <w:left w:val="nil"/>
              <w:bottom w:val="single" w:sz="4" w:space="0" w:color="auto"/>
              <w:right w:val="single" w:sz="4" w:space="0" w:color="auto"/>
            </w:tcBorders>
            <w:vAlign w:val="center"/>
          </w:tcPr>
          <w:p w14:paraId="6646443C" w14:textId="53989FF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7</w:t>
            </w:r>
          </w:p>
        </w:tc>
        <w:tc>
          <w:tcPr>
            <w:tcW w:w="1128" w:type="dxa"/>
            <w:tcBorders>
              <w:top w:val="nil"/>
              <w:left w:val="nil"/>
              <w:bottom w:val="single" w:sz="4" w:space="0" w:color="auto"/>
              <w:right w:val="single" w:sz="4" w:space="0" w:color="auto"/>
            </w:tcBorders>
            <w:vAlign w:val="bottom"/>
          </w:tcPr>
          <w:p w14:paraId="78556BAB" w14:textId="0BDD69B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28</w:t>
            </w:r>
          </w:p>
        </w:tc>
      </w:tr>
      <w:tr w:rsidR="00123804" w:rsidRPr="00021FD4" w14:paraId="602262B4" w14:textId="00107CA1"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7E1A56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469306C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178008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43B7D9C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5</w:t>
            </w:r>
          </w:p>
        </w:tc>
        <w:tc>
          <w:tcPr>
            <w:tcW w:w="1196" w:type="dxa"/>
            <w:tcBorders>
              <w:top w:val="nil"/>
              <w:left w:val="nil"/>
              <w:bottom w:val="single" w:sz="4" w:space="0" w:color="auto"/>
              <w:right w:val="single" w:sz="4" w:space="0" w:color="auto"/>
            </w:tcBorders>
            <w:shd w:val="clear" w:color="auto" w:fill="auto"/>
            <w:noWrap/>
            <w:vAlign w:val="bottom"/>
            <w:hideMark/>
          </w:tcPr>
          <w:p w14:paraId="4A95761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62DFCF6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F23AE9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6ED44A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76F68D2" w14:textId="72EA4DE5"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8153C4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1.6</w:t>
            </w:r>
          </w:p>
        </w:tc>
        <w:tc>
          <w:tcPr>
            <w:tcW w:w="1316" w:type="dxa"/>
            <w:tcBorders>
              <w:top w:val="nil"/>
              <w:left w:val="nil"/>
              <w:bottom w:val="single" w:sz="4" w:space="0" w:color="auto"/>
              <w:right w:val="single" w:sz="4" w:space="0" w:color="auto"/>
            </w:tcBorders>
            <w:vAlign w:val="center"/>
          </w:tcPr>
          <w:p w14:paraId="1C34FD2B" w14:textId="213EDE45"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18</w:t>
            </w:r>
          </w:p>
        </w:tc>
        <w:tc>
          <w:tcPr>
            <w:tcW w:w="1128" w:type="dxa"/>
            <w:tcBorders>
              <w:top w:val="nil"/>
              <w:left w:val="nil"/>
              <w:bottom w:val="single" w:sz="4" w:space="0" w:color="auto"/>
              <w:right w:val="single" w:sz="4" w:space="0" w:color="auto"/>
            </w:tcBorders>
            <w:vAlign w:val="bottom"/>
          </w:tcPr>
          <w:p w14:paraId="1389E98F" w14:textId="482C6E8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90</w:t>
            </w:r>
          </w:p>
        </w:tc>
      </w:tr>
      <w:tr w:rsidR="00123804" w:rsidRPr="00021FD4" w14:paraId="34D581C6" w14:textId="2CD1C7D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2318AE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61AA8EE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738ABE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0427860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vAlign w:val="center"/>
            <w:hideMark/>
          </w:tcPr>
          <w:p w14:paraId="089EE79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vAlign w:val="center"/>
            <w:hideMark/>
          </w:tcPr>
          <w:p w14:paraId="5326E05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vAlign w:val="center"/>
            <w:hideMark/>
          </w:tcPr>
          <w:p w14:paraId="1578958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vAlign w:val="center"/>
            <w:hideMark/>
          </w:tcPr>
          <w:p w14:paraId="4E0D8A4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87D9F26" w14:textId="21BB315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64F763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2.3</w:t>
            </w:r>
          </w:p>
        </w:tc>
        <w:tc>
          <w:tcPr>
            <w:tcW w:w="1316" w:type="dxa"/>
            <w:tcBorders>
              <w:top w:val="nil"/>
              <w:left w:val="nil"/>
              <w:bottom w:val="single" w:sz="4" w:space="0" w:color="auto"/>
              <w:right w:val="single" w:sz="4" w:space="0" w:color="auto"/>
            </w:tcBorders>
            <w:vAlign w:val="center"/>
          </w:tcPr>
          <w:p w14:paraId="548F9115" w14:textId="03E1AE6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8</w:t>
            </w:r>
          </w:p>
        </w:tc>
        <w:tc>
          <w:tcPr>
            <w:tcW w:w="1128" w:type="dxa"/>
            <w:tcBorders>
              <w:top w:val="nil"/>
              <w:left w:val="nil"/>
              <w:bottom w:val="single" w:sz="4" w:space="0" w:color="auto"/>
              <w:right w:val="single" w:sz="4" w:space="0" w:color="auto"/>
            </w:tcBorders>
            <w:vAlign w:val="bottom"/>
          </w:tcPr>
          <w:p w14:paraId="06ECC079" w14:textId="6B986EC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32</w:t>
            </w:r>
          </w:p>
        </w:tc>
      </w:tr>
      <w:tr w:rsidR="00123804" w:rsidRPr="00021FD4" w14:paraId="1D1EB154" w14:textId="43A08DC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DE0696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2539C5B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4635AE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2A2D35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045FA44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42D629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C2C73A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05CBE7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51044A1A" w14:textId="2561C1A3"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C9BA3F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63E70E3C" w14:textId="03EB39E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016C6231" w14:textId="51DFBF2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48A0E56C" w14:textId="35FFA32E"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D85A39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4AE14A3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FE91DE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D2E40A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0EAB2E8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582420D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D0DD73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706286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248E5EF" w14:textId="324E3F91"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1A9FEF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2AD4D453" w14:textId="7219CA2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c>
          <w:tcPr>
            <w:tcW w:w="1128" w:type="dxa"/>
            <w:tcBorders>
              <w:top w:val="nil"/>
              <w:left w:val="nil"/>
              <w:bottom w:val="single" w:sz="4" w:space="0" w:color="auto"/>
              <w:right w:val="single" w:sz="4" w:space="0" w:color="auto"/>
            </w:tcBorders>
            <w:vAlign w:val="bottom"/>
          </w:tcPr>
          <w:p w14:paraId="2B23EA17" w14:textId="0FB55825"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5</w:t>
            </w:r>
          </w:p>
        </w:tc>
      </w:tr>
      <w:tr w:rsidR="00123804" w:rsidRPr="00021FD4" w14:paraId="7F1D175B" w14:textId="1BD83326"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F8E494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09E425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263249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07FCF2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7BAED19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CABFBC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CE5E9D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B49998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193AC94" w14:textId="7EE95DBC"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7950901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1EA95F8C" w14:textId="626E306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502EF486" w14:textId="3B034B8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78BDC365" w14:textId="3467899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A1605C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59E7952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451E36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48E491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4D8E870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6FDF9F2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0E9025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60CA55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E2FE8AD" w14:textId="59BE011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EFE082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7784882D" w14:textId="3844F78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0316B962" w14:textId="0875237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66815464" w14:textId="19D28F50"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2FDEB4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0238111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BF429F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20FBED8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2233FB8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F461E1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FFC8E2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bottom"/>
            <w:hideMark/>
          </w:tcPr>
          <w:p w14:paraId="16E734E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EE66D8C" w14:textId="693D8D46"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9055A9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1.9</w:t>
            </w:r>
          </w:p>
        </w:tc>
        <w:tc>
          <w:tcPr>
            <w:tcW w:w="1316" w:type="dxa"/>
            <w:tcBorders>
              <w:top w:val="nil"/>
              <w:left w:val="nil"/>
              <w:bottom w:val="single" w:sz="4" w:space="0" w:color="auto"/>
              <w:right w:val="single" w:sz="4" w:space="0" w:color="auto"/>
            </w:tcBorders>
            <w:vAlign w:val="center"/>
          </w:tcPr>
          <w:p w14:paraId="04BCBAA2" w14:textId="48D9C54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3DD0B812" w14:textId="10DEEA52"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44</w:t>
            </w:r>
          </w:p>
        </w:tc>
      </w:tr>
      <w:tr w:rsidR="00123804" w:rsidRPr="00021FD4" w14:paraId="0CB8FF12" w14:textId="0B326A60"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A8F5BB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38BF529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ECFC75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41F2AB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0EE77FD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622089B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54F075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13D89B3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7C7A9A7" w14:textId="7961AB2A"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1C4649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4A3DCC01" w14:textId="6571DB3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2827A491" w14:textId="52D00DF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1AA0D4B2" w14:textId="13E1114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01E1E5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318" w:type="dxa"/>
            <w:tcBorders>
              <w:top w:val="nil"/>
              <w:left w:val="nil"/>
              <w:bottom w:val="single" w:sz="4" w:space="0" w:color="auto"/>
              <w:right w:val="single" w:sz="4" w:space="0" w:color="auto"/>
            </w:tcBorders>
            <w:shd w:val="clear" w:color="auto" w:fill="auto"/>
            <w:noWrap/>
            <w:vAlign w:val="center"/>
            <w:hideMark/>
          </w:tcPr>
          <w:p w14:paraId="0E7FEB4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C7177D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hideMark/>
          </w:tcPr>
          <w:p w14:paraId="080FD27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6</w:t>
            </w:r>
          </w:p>
        </w:tc>
        <w:tc>
          <w:tcPr>
            <w:tcW w:w="1196" w:type="dxa"/>
            <w:tcBorders>
              <w:top w:val="nil"/>
              <w:left w:val="nil"/>
              <w:bottom w:val="single" w:sz="4" w:space="0" w:color="auto"/>
              <w:right w:val="single" w:sz="4" w:space="0" w:color="auto"/>
            </w:tcBorders>
            <w:shd w:val="clear" w:color="auto" w:fill="auto"/>
            <w:noWrap/>
            <w:vAlign w:val="center"/>
            <w:hideMark/>
          </w:tcPr>
          <w:p w14:paraId="3659BA0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059" w:type="dxa"/>
            <w:tcBorders>
              <w:top w:val="nil"/>
              <w:left w:val="nil"/>
              <w:bottom w:val="single" w:sz="4" w:space="0" w:color="auto"/>
              <w:right w:val="single" w:sz="4" w:space="0" w:color="auto"/>
            </w:tcBorders>
            <w:shd w:val="clear" w:color="auto" w:fill="auto"/>
            <w:noWrap/>
            <w:vAlign w:val="center"/>
            <w:hideMark/>
          </w:tcPr>
          <w:p w14:paraId="2B4315A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47A2A9D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276" w:type="dxa"/>
            <w:tcBorders>
              <w:top w:val="nil"/>
              <w:left w:val="nil"/>
              <w:bottom w:val="single" w:sz="4" w:space="0" w:color="auto"/>
              <w:right w:val="single" w:sz="4" w:space="0" w:color="auto"/>
            </w:tcBorders>
            <w:shd w:val="clear" w:color="auto" w:fill="auto"/>
            <w:noWrap/>
            <w:vAlign w:val="center"/>
            <w:hideMark/>
          </w:tcPr>
          <w:p w14:paraId="4659A45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8</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801BF1E" w14:textId="32F06A50"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760DE03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1.5</w:t>
            </w:r>
          </w:p>
        </w:tc>
        <w:tc>
          <w:tcPr>
            <w:tcW w:w="1316" w:type="dxa"/>
            <w:tcBorders>
              <w:top w:val="nil"/>
              <w:left w:val="nil"/>
              <w:bottom w:val="single" w:sz="4" w:space="0" w:color="auto"/>
              <w:right w:val="single" w:sz="4" w:space="0" w:color="auto"/>
            </w:tcBorders>
            <w:vAlign w:val="center"/>
          </w:tcPr>
          <w:p w14:paraId="7A5C2F28" w14:textId="5BF4473D"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24</w:t>
            </w:r>
          </w:p>
        </w:tc>
        <w:tc>
          <w:tcPr>
            <w:tcW w:w="1128" w:type="dxa"/>
            <w:tcBorders>
              <w:top w:val="nil"/>
              <w:left w:val="nil"/>
              <w:bottom w:val="single" w:sz="4" w:space="0" w:color="auto"/>
              <w:right w:val="single" w:sz="4" w:space="0" w:color="auto"/>
            </w:tcBorders>
            <w:vAlign w:val="bottom"/>
          </w:tcPr>
          <w:p w14:paraId="3C6109B7" w14:textId="12B40C0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144</w:t>
            </w:r>
          </w:p>
        </w:tc>
      </w:tr>
      <w:tr w:rsidR="00123804" w:rsidRPr="00021FD4" w14:paraId="78D1748B" w14:textId="71BE9668"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70C5DF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207ED55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CCBD61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2E19FA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2115AC1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77762F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A1C868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362D3D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165F2A4" w14:textId="4C2B42D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F1A4A0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71C66E6C" w14:textId="455DE31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379D0752" w14:textId="203E3FD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2FE014D6" w14:textId="1E2EB23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670E2B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3B782B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21F863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E6BF77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4776C1D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1F85A4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FAC66E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3F58C1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E0BD060" w14:textId="32B14D9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645EF6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2DD9C0D9" w14:textId="3DDD29A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007821F5" w14:textId="0F23BFA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707992F7" w14:textId="1BBB610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28C355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17E78ED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95FC37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9D9B11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5F1D8DB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BD389B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D5612B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7A18879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A15890A" w14:textId="56FB4964"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737037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39BD991D" w14:textId="68944FD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7E86767A" w14:textId="697CF58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3A59944E" w14:textId="077C145B"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30801A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6533F0C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4A8FA5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19858E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210D566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7B8EC6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C52520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D22E21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E48619F" w14:textId="013B5481"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9D605D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73706CDD" w14:textId="1CC72F2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12</w:t>
            </w:r>
          </w:p>
        </w:tc>
        <w:tc>
          <w:tcPr>
            <w:tcW w:w="1128" w:type="dxa"/>
            <w:tcBorders>
              <w:top w:val="nil"/>
              <w:left w:val="nil"/>
              <w:bottom w:val="single" w:sz="4" w:space="0" w:color="auto"/>
              <w:right w:val="single" w:sz="4" w:space="0" w:color="auto"/>
            </w:tcBorders>
            <w:vAlign w:val="bottom"/>
          </w:tcPr>
          <w:p w14:paraId="3E25A3D3" w14:textId="79E4709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24</w:t>
            </w:r>
          </w:p>
        </w:tc>
      </w:tr>
      <w:tr w:rsidR="00123804" w:rsidRPr="00021FD4" w14:paraId="138A7201" w14:textId="450ABB68"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99B56F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776336E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43D8C6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840925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226BC88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BF7AD1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7B930D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69372E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1AB2C95" w14:textId="5C257DC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EDA19D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0AA2DBBE" w14:textId="20692C1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47C451E2" w14:textId="4BC15429"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157C3592" w14:textId="5186216B"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14439A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lastRenderedPageBreak/>
              <w:t>2</w:t>
            </w:r>
          </w:p>
        </w:tc>
        <w:tc>
          <w:tcPr>
            <w:tcW w:w="1318" w:type="dxa"/>
            <w:tcBorders>
              <w:top w:val="nil"/>
              <w:left w:val="nil"/>
              <w:bottom w:val="single" w:sz="4" w:space="0" w:color="auto"/>
              <w:right w:val="single" w:sz="4" w:space="0" w:color="auto"/>
            </w:tcBorders>
            <w:shd w:val="clear" w:color="auto" w:fill="auto"/>
            <w:noWrap/>
            <w:vAlign w:val="center"/>
            <w:hideMark/>
          </w:tcPr>
          <w:p w14:paraId="7164725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5844A8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F2CEB4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center"/>
            <w:hideMark/>
          </w:tcPr>
          <w:p w14:paraId="167585A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center"/>
            <w:hideMark/>
          </w:tcPr>
          <w:p w14:paraId="3595937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center"/>
            <w:hideMark/>
          </w:tcPr>
          <w:p w14:paraId="464610D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center"/>
            <w:hideMark/>
          </w:tcPr>
          <w:p w14:paraId="0902050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D883C28" w14:textId="2558105F"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E78971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12C1F14D" w14:textId="7DCDFD7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9</w:t>
            </w:r>
          </w:p>
        </w:tc>
        <w:tc>
          <w:tcPr>
            <w:tcW w:w="1128" w:type="dxa"/>
            <w:tcBorders>
              <w:top w:val="nil"/>
              <w:left w:val="nil"/>
              <w:bottom w:val="single" w:sz="4" w:space="0" w:color="auto"/>
              <w:right w:val="single" w:sz="4" w:space="0" w:color="auto"/>
            </w:tcBorders>
            <w:vAlign w:val="bottom"/>
          </w:tcPr>
          <w:p w14:paraId="21BCE94E" w14:textId="52C67EF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18</w:t>
            </w:r>
          </w:p>
        </w:tc>
      </w:tr>
      <w:tr w:rsidR="00123804" w:rsidRPr="00021FD4" w14:paraId="711F8D83" w14:textId="674F0A3C"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91FD0F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49FA28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B2A6A2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5386AC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23FE7EC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552C2C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30648D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2326561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0C0E030" w14:textId="3E78C4DC"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2654E4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452D43F0" w14:textId="6280DEF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5E4882C7" w14:textId="24027E70"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35603671" w14:textId="1ECDE41C"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284E0D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1EB344F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5E68B66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22A79F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4C5CC25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D99229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16D07BD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72B5BB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56A644E" w14:textId="3A24F62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D96E29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6" w:type="dxa"/>
            <w:tcBorders>
              <w:top w:val="nil"/>
              <w:left w:val="nil"/>
              <w:bottom w:val="single" w:sz="4" w:space="0" w:color="auto"/>
              <w:right w:val="single" w:sz="4" w:space="0" w:color="auto"/>
            </w:tcBorders>
            <w:vAlign w:val="center"/>
          </w:tcPr>
          <w:p w14:paraId="7545E9E4" w14:textId="04F7BBB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9</w:t>
            </w:r>
          </w:p>
        </w:tc>
        <w:tc>
          <w:tcPr>
            <w:tcW w:w="1128" w:type="dxa"/>
            <w:tcBorders>
              <w:top w:val="nil"/>
              <w:left w:val="nil"/>
              <w:bottom w:val="single" w:sz="4" w:space="0" w:color="auto"/>
              <w:right w:val="single" w:sz="4" w:space="0" w:color="auto"/>
            </w:tcBorders>
            <w:vAlign w:val="bottom"/>
          </w:tcPr>
          <w:p w14:paraId="5BB4DB84" w14:textId="0EB94FF4"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18</w:t>
            </w:r>
          </w:p>
        </w:tc>
      </w:tr>
      <w:tr w:rsidR="00123804" w:rsidRPr="00021FD4" w14:paraId="556B32C7" w14:textId="44562C85"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7156F3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C581C2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B3C93C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5DFD248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1B0D889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713D0F8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E8A44C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297D54B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828DDAE" w14:textId="3704F66A"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62CD423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0067F818" w14:textId="2EE96EF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38F6D4CA" w14:textId="763CFF2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044F8883" w14:textId="704E277D"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C87D3F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51DB4BC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64F6C8B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A7FE46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31E4963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962CD1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4E62A56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97117A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2A5E97E" w14:textId="546E00B8"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71FB4F9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74BA1E16" w14:textId="4C51D902"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014DEC03" w14:textId="1D149DB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01B09D40" w14:textId="2563DD79"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A34CB0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565CAEC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3CAA7BE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735F7AA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27E2166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2782CB8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FC5FC6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9704AB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3EF25C5" w14:textId="1B1E863C"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888E7D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4C898EBC" w14:textId="7AFF0A2C"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03342F26" w14:textId="3AF3FBC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7FEB64EB" w14:textId="040168A9"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F8D5DD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D55E6C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3838A2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6857F1E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318C86D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71CF08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C44DE9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91AFAA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B0F99CF" w14:textId="7D107B24"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08C87A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27BC5C00" w14:textId="25364222"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4518DECB" w14:textId="3D0FE4C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1C13E230" w14:textId="6627FE32"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48B7B8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60F33D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044059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0C962BF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3F1B097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B47BB8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9F20FF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65A91F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4B9E0BB7" w14:textId="7C5121F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9344FA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3BF290E5" w14:textId="2D93C77A"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274F9F0E" w14:textId="25C78E9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62B9E4F4" w14:textId="34959C3A"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1D8FDB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3C8A2AC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1B96D65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04AA02E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551B9D2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1F680AA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56C7DD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E2428D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2C3EF567" w14:textId="4F91E850"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0659469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0DA40C84" w14:textId="195864D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6A972320" w14:textId="73B50AF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49252069" w14:textId="432B7C75"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091438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FD75DB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432211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422D899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0315837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6B61C67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108D48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6ACEEAA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F0DFDAA" w14:textId="2B8A1337"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76C91E5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10033B0F" w14:textId="6F217DE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76527BAD" w14:textId="0372B21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2333FAA1" w14:textId="555FA09F"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059495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6C5E74D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7EB5B38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1BB4FDE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196" w:type="dxa"/>
            <w:tcBorders>
              <w:top w:val="nil"/>
              <w:left w:val="nil"/>
              <w:bottom w:val="single" w:sz="4" w:space="0" w:color="auto"/>
              <w:right w:val="single" w:sz="4" w:space="0" w:color="auto"/>
            </w:tcBorders>
            <w:shd w:val="clear" w:color="auto" w:fill="auto"/>
            <w:noWrap/>
            <w:vAlign w:val="bottom"/>
            <w:hideMark/>
          </w:tcPr>
          <w:p w14:paraId="3638B6E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38CE6FC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62A3CCC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0F50A0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138E6671" w14:textId="6B0FE9C3"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8FCC3D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1.9</w:t>
            </w:r>
          </w:p>
        </w:tc>
        <w:tc>
          <w:tcPr>
            <w:tcW w:w="1316" w:type="dxa"/>
            <w:tcBorders>
              <w:top w:val="nil"/>
              <w:left w:val="nil"/>
              <w:bottom w:val="single" w:sz="4" w:space="0" w:color="auto"/>
              <w:right w:val="single" w:sz="4" w:space="0" w:color="auto"/>
            </w:tcBorders>
            <w:vAlign w:val="center"/>
          </w:tcPr>
          <w:p w14:paraId="1FF6460B" w14:textId="72E89D33"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50A1C881" w14:textId="62263E9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33</w:t>
            </w:r>
          </w:p>
        </w:tc>
      </w:tr>
      <w:tr w:rsidR="00123804" w:rsidRPr="00021FD4" w14:paraId="550111E7" w14:textId="6995E769"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C22AAF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79065DB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446ED7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0116F0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auto" w:fill="auto"/>
            <w:noWrap/>
            <w:vAlign w:val="bottom"/>
            <w:hideMark/>
          </w:tcPr>
          <w:p w14:paraId="52F6816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55CF37B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09994585"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580CB13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9F78A21" w14:textId="5C87D44D"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287B1D8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348D9F05" w14:textId="60E39F0B"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c>
          <w:tcPr>
            <w:tcW w:w="1128" w:type="dxa"/>
            <w:tcBorders>
              <w:top w:val="nil"/>
              <w:left w:val="nil"/>
              <w:bottom w:val="single" w:sz="4" w:space="0" w:color="auto"/>
              <w:right w:val="single" w:sz="4" w:space="0" w:color="auto"/>
            </w:tcBorders>
            <w:vAlign w:val="bottom"/>
          </w:tcPr>
          <w:p w14:paraId="36DB8C39" w14:textId="703D2AA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w:t>
            </w:r>
          </w:p>
        </w:tc>
      </w:tr>
      <w:tr w:rsidR="00123804" w:rsidRPr="00021FD4" w14:paraId="5A119417" w14:textId="1F9F41D2"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518AAD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hideMark/>
          </w:tcPr>
          <w:p w14:paraId="3E5E4DAC"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42D6A457"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F6B63D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196" w:type="dxa"/>
            <w:tcBorders>
              <w:top w:val="nil"/>
              <w:left w:val="nil"/>
              <w:bottom w:val="single" w:sz="4" w:space="0" w:color="auto"/>
              <w:right w:val="single" w:sz="4" w:space="0" w:color="auto"/>
            </w:tcBorders>
            <w:shd w:val="clear" w:color="000000" w:fill="FFFFFF"/>
            <w:noWrap/>
            <w:vAlign w:val="bottom"/>
            <w:hideMark/>
          </w:tcPr>
          <w:p w14:paraId="74622006"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000000" w:fill="FFFFFF"/>
            <w:noWrap/>
            <w:vAlign w:val="bottom"/>
            <w:hideMark/>
          </w:tcPr>
          <w:p w14:paraId="73738BB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000000" w:fill="FFFFFF"/>
            <w:noWrap/>
            <w:vAlign w:val="bottom"/>
            <w:hideMark/>
          </w:tcPr>
          <w:p w14:paraId="32C3463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000000" w:fill="FFFFFF"/>
            <w:noWrap/>
            <w:vAlign w:val="bottom"/>
            <w:hideMark/>
          </w:tcPr>
          <w:p w14:paraId="086A87E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9EB5D8F" w14:textId="61E86E8E"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5571383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626AB85A" w14:textId="17594A08"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3BACEA55" w14:textId="759B5C01"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5E32E6A6" w14:textId="73A69EEF"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F6B1DF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7B6A080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DC34A2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380101B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196" w:type="dxa"/>
            <w:tcBorders>
              <w:top w:val="nil"/>
              <w:left w:val="nil"/>
              <w:bottom w:val="single" w:sz="4" w:space="0" w:color="auto"/>
              <w:right w:val="single" w:sz="4" w:space="0" w:color="auto"/>
            </w:tcBorders>
            <w:shd w:val="clear" w:color="auto" w:fill="auto"/>
            <w:noWrap/>
            <w:vAlign w:val="bottom"/>
            <w:hideMark/>
          </w:tcPr>
          <w:p w14:paraId="55B9CC6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53E2587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2D69968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46C111E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7D7FE90" w14:textId="2CE61C99"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344DD6FF"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6" w:type="dxa"/>
            <w:tcBorders>
              <w:top w:val="nil"/>
              <w:left w:val="nil"/>
              <w:bottom w:val="single" w:sz="4" w:space="0" w:color="auto"/>
              <w:right w:val="single" w:sz="4" w:space="0" w:color="auto"/>
            </w:tcBorders>
            <w:vAlign w:val="center"/>
          </w:tcPr>
          <w:p w14:paraId="3951B34E" w14:textId="5779D0F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c>
          <w:tcPr>
            <w:tcW w:w="1128" w:type="dxa"/>
            <w:tcBorders>
              <w:top w:val="nil"/>
              <w:left w:val="nil"/>
              <w:bottom w:val="single" w:sz="4" w:space="0" w:color="auto"/>
              <w:right w:val="single" w:sz="4" w:space="0" w:color="auto"/>
            </w:tcBorders>
            <w:vAlign w:val="bottom"/>
          </w:tcPr>
          <w:p w14:paraId="5A2C31C8" w14:textId="642589DF"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0</w:t>
            </w:r>
          </w:p>
        </w:tc>
      </w:tr>
      <w:tr w:rsidR="00123804" w:rsidRPr="00021FD4" w14:paraId="1D477A26" w14:textId="6C7EA257"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1C7461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34D9E89B"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26BD57E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48E116D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196" w:type="dxa"/>
            <w:tcBorders>
              <w:top w:val="nil"/>
              <w:left w:val="nil"/>
              <w:bottom w:val="single" w:sz="4" w:space="0" w:color="auto"/>
              <w:right w:val="single" w:sz="4" w:space="0" w:color="auto"/>
            </w:tcBorders>
            <w:shd w:val="clear" w:color="auto" w:fill="auto"/>
            <w:noWrap/>
            <w:vAlign w:val="bottom"/>
            <w:hideMark/>
          </w:tcPr>
          <w:p w14:paraId="0731DCC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1EEFDFC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7368266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7D95890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6CB7462E" w14:textId="12E3D959"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4E0C552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76FCDA8F" w14:textId="7753BA6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7</w:t>
            </w:r>
          </w:p>
        </w:tc>
        <w:tc>
          <w:tcPr>
            <w:tcW w:w="1128" w:type="dxa"/>
            <w:tcBorders>
              <w:top w:val="nil"/>
              <w:left w:val="nil"/>
              <w:bottom w:val="single" w:sz="4" w:space="0" w:color="auto"/>
              <w:right w:val="single" w:sz="4" w:space="0" w:color="auto"/>
            </w:tcBorders>
            <w:vAlign w:val="bottom"/>
          </w:tcPr>
          <w:p w14:paraId="5126D7E5" w14:textId="0F27256D"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14</w:t>
            </w:r>
          </w:p>
        </w:tc>
      </w:tr>
      <w:tr w:rsidR="00123804" w:rsidRPr="00021FD4" w14:paraId="2348A41E" w14:textId="5A35426F"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A25B30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318" w:type="dxa"/>
            <w:tcBorders>
              <w:top w:val="nil"/>
              <w:left w:val="nil"/>
              <w:bottom w:val="single" w:sz="4" w:space="0" w:color="auto"/>
              <w:right w:val="single" w:sz="4" w:space="0" w:color="auto"/>
            </w:tcBorders>
            <w:shd w:val="clear" w:color="auto" w:fill="auto"/>
            <w:noWrap/>
            <w:vAlign w:val="center"/>
            <w:hideMark/>
          </w:tcPr>
          <w:p w14:paraId="73513E3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hideMark/>
          </w:tcPr>
          <w:p w14:paraId="0ECC08A4"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4474347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410A9CFE"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4F35A57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hideMark/>
          </w:tcPr>
          <w:p w14:paraId="5819EDB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75C09E3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79830BBB" w14:textId="4A15F4E9"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3365FE1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6" w:type="dxa"/>
            <w:tcBorders>
              <w:top w:val="nil"/>
              <w:left w:val="nil"/>
              <w:bottom w:val="single" w:sz="4" w:space="0" w:color="auto"/>
              <w:right w:val="single" w:sz="4" w:space="0" w:color="auto"/>
            </w:tcBorders>
            <w:vAlign w:val="center"/>
          </w:tcPr>
          <w:p w14:paraId="52142D55" w14:textId="6222CD3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24</w:t>
            </w:r>
          </w:p>
        </w:tc>
        <w:tc>
          <w:tcPr>
            <w:tcW w:w="1128" w:type="dxa"/>
            <w:tcBorders>
              <w:top w:val="nil"/>
              <w:left w:val="nil"/>
              <w:bottom w:val="single" w:sz="4" w:space="0" w:color="auto"/>
              <w:right w:val="single" w:sz="4" w:space="0" w:color="auto"/>
            </w:tcBorders>
            <w:vAlign w:val="bottom"/>
          </w:tcPr>
          <w:p w14:paraId="484278C9" w14:textId="6BD39246"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96</w:t>
            </w:r>
          </w:p>
        </w:tc>
      </w:tr>
      <w:tr w:rsidR="00130652" w:rsidRPr="00021FD4" w14:paraId="0EA12158" w14:textId="77777777" w:rsidTr="008B7A7F">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tcPr>
          <w:p w14:paraId="034A3288" w14:textId="2689FB5A"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318" w:type="dxa"/>
            <w:tcBorders>
              <w:top w:val="nil"/>
              <w:left w:val="nil"/>
              <w:bottom w:val="single" w:sz="4" w:space="0" w:color="auto"/>
              <w:right w:val="single" w:sz="4" w:space="0" w:color="auto"/>
            </w:tcBorders>
            <w:shd w:val="clear" w:color="auto" w:fill="auto"/>
            <w:noWrap/>
            <w:vAlign w:val="center"/>
          </w:tcPr>
          <w:p w14:paraId="50813AFC" w14:textId="167C6B76"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318" w:type="dxa"/>
            <w:tcBorders>
              <w:top w:val="nil"/>
              <w:left w:val="nil"/>
              <w:bottom w:val="single" w:sz="4" w:space="0" w:color="auto"/>
              <w:right w:val="single" w:sz="4" w:space="0" w:color="auto"/>
            </w:tcBorders>
            <w:shd w:val="clear" w:color="auto" w:fill="auto"/>
            <w:noWrap/>
            <w:vAlign w:val="center"/>
          </w:tcPr>
          <w:p w14:paraId="08C0BC81" w14:textId="3E335772"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1801" w:type="dxa"/>
            <w:tcBorders>
              <w:top w:val="nil"/>
              <w:left w:val="nil"/>
              <w:bottom w:val="single" w:sz="4" w:space="0" w:color="auto"/>
              <w:right w:val="single" w:sz="4" w:space="0" w:color="auto"/>
            </w:tcBorders>
            <w:shd w:val="clear" w:color="auto" w:fill="auto"/>
            <w:noWrap/>
            <w:vAlign w:val="center"/>
          </w:tcPr>
          <w:p w14:paraId="650C5B01" w14:textId="52AE987D"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tcPr>
          <w:p w14:paraId="260C33C5" w14:textId="0F1CD8B7"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tcPr>
          <w:p w14:paraId="3D2AD074" w14:textId="60B2AE22"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059" w:type="dxa"/>
            <w:tcBorders>
              <w:top w:val="nil"/>
              <w:left w:val="nil"/>
              <w:bottom w:val="single" w:sz="4" w:space="0" w:color="auto"/>
              <w:right w:val="single" w:sz="4" w:space="0" w:color="auto"/>
            </w:tcBorders>
            <w:shd w:val="clear" w:color="auto" w:fill="auto"/>
            <w:noWrap/>
            <w:vAlign w:val="bottom"/>
          </w:tcPr>
          <w:p w14:paraId="2E8BBB59" w14:textId="41CF3D65"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tcPr>
          <w:p w14:paraId="419F0A91" w14:textId="46732CE0"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258" w:type="dxa"/>
            <w:tcBorders>
              <w:top w:val="nil"/>
              <w:left w:val="nil"/>
              <w:bottom w:val="single" w:sz="4" w:space="0" w:color="auto"/>
              <w:right w:val="single" w:sz="4" w:space="0" w:color="auto"/>
            </w:tcBorders>
            <w:shd w:val="clear" w:color="auto" w:fill="E7E6E6" w:themeFill="background2"/>
            <w:noWrap/>
            <w:vAlign w:val="bottom"/>
          </w:tcPr>
          <w:p w14:paraId="0D653039" w14:textId="77777777" w:rsidR="00130652" w:rsidRPr="00021FD4" w:rsidRDefault="00130652" w:rsidP="00130652">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tcPr>
          <w:p w14:paraId="7DF7C27C" w14:textId="4B8D5767" w:rsidR="00130652" w:rsidRPr="00021FD4" w:rsidRDefault="00130652" w:rsidP="00130652">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1.9</w:t>
            </w:r>
          </w:p>
        </w:tc>
        <w:tc>
          <w:tcPr>
            <w:tcW w:w="1316" w:type="dxa"/>
            <w:tcBorders>
              <w:top w:val="nil"/>
              <w:left w:val="nil"/>
              <w:bottom w:val="single" w:sz="4" w:space="0" w:color="auto"/>
              <w:right w:val="single" w:sz="4" w:space="0" w:color="auto"/>
            </w:tcBorders>
            <w:vAlign w:val="center"/>
          </w:tcPr>
          <w:p w14:paraId="24ED0FB3" w14:textId="085EF5F2" w:rsidR="00130652" w:rsidRPr="00021FD4" w:rsidRDefault="00130652" w:rsidP="00130652">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11</w:t>
            </w:r>
          </w:p>
        </w:tc>
        <w:tc>
          <w:tcPr>
            <w:tcW w:w="1128" w:type="dxa"/>
            <w:tcBorders>
              <w:top w:val="nil"/>
              <w:left w:val="nil"/>
              <w:bottom w:val="single" w:sz="4" w:space="0" w:color="auto"/>
              <w:right w:val="single" w:sz="4" w:space="0" w:color="auto"/>
            </w:tcBorders>
            <w:vAlign w:val="bottom"/>
          </w:tcPr>
          <w:p w14:paraId="35801B39" w14:textId="3E0DEB21" w:rsidR="00130652" w:rsidRPr="00021FD4" w:rsidRDefault="00130652" w:rsidP="00130652">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44</w:t>
            </w:r>
          </w:p>
        </w:tc>
      </w:tr>
      <w:tr w:rsidR="00123804" w:rsidRPr="00021FD4" w14:paraId="453B9F12" w14:textId="39209667" w:rsidTr="00123804">
        <w:trPr>
          <w:trHeight w:val="320"/>
        </w:trPr>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4CCD0CA"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3072B092"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318" w:type="dxa"/>
            <w:tcBorders>
              <w:top w:val="nil"/>
              <w:left w:val="nil"/>
              <w:bottom w:val="single" w:sz="4" w:space="0" w:color="auto"/>
              <w:right w:val="single" w:sz="4" w:space="0" w:color="auto"/>
            </w:tcBorders>
            <w:shd w:val="clear" w:color="auto" w:fill="auto"/>
            <w:noWrap/>
            <w:vAlign w:val="center"/>
            <w:hideMark/>
          </w:tcPr>
          <w:p w14:paraId="3AECAD0D"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801" w:type="dxa"/>
            <w:tcBorders>
              <w:top w:val="nil"/>
              <w:left w:val="nil"/>
              <w:bottom w:val="single" w:sz="4" w:space="0" w:color="auto"/>
              <w:right w:val="single" w:sz="4" w:space="0" w:color="auto"/>
            </w:tcBorders>
            <w:shd w:val="clear" w:color="auto" w:fill="auto"/>
            <w:noWrap/>
            <w:vAlign w:val="center"/>
            <w:hideMark/>
          </w:tcPr>
          <w:p w14:paraId="24B7A7A9"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4</w:t>
            </w:r>
          </w:p>
        </w:tc>
        <w:tc>
          <w:tcPr>
            <w:tcW w:w="1196" w:type="dxa"/>
            <w:tcBorders>
              <w:top w:val="nil"/>
              <w:left w:val="nil"/>
              <w:bottom w:val="single" w:sz="4" w:space="0" w:color="auto"/>
              <w:right w:val="single" w:sz="4" w:space="0" w:color="auto"/>
            </w:tcBorders>
            <w:shd w:val="clear" w:color="auto" w:fill="auto"/>
            <w:noWrap/>
            <w:vAlign w:val="bottom"/>
            <w:hideMark/>
          </w:tcPr>
          <w:p w14:paraId="25646FE0"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w:t>
            </w:r>
          </w:p>
        </w:tc>
        <w:tc>
          <w:tcPr>
            <w:tcW w:w="1059" w:type="dxa"/>
            <w:tcBorders>
              <w:top w:val="nil"/>
              <w:left w:val="nil"/>
              <w:bottom w:val="single" w:sz="4" w:space="0" w:color="auto"/>
              <w:right w:val="single" w:sz="4" w:space="0" w:color="auto"/>
            </w:tcBorders>
            <w:shd w:val="clear" w:color="auto" w:fill="auto"/>
            <w:noWrap/>
            <w:vAlign w:val="bottom"/>
            <w:hideMark/>
          </w:tcPr>
          <w:p w14:paraId="1924BD1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2</w:t>
            </w:r>
          </w:p>
        </w:tc>
        <w:tc>
          <w:tcPr>
            <w:tcW w:w="1059" w:type="dxa"/>
            <w:tcBorders>
              <w:top w:val="nil"/>
              <w:left w:val="nil"/>
              <w:bottom w:val="single" w:sz="4" w:space="0" w:color="auto"/>
              <w:right w:val="single" w:sz="4" w:space="0" w:color="auto"/>
            </w:tcBorders>
            <w:shd w:val="clear" w:color="auto" w:fill="auto"/>
            <w:noWrap/>
            <w:vAlign w:val="bottom"/>
            <w:hideMark/>
          </w:tcPr>
          <w:p w14:paraId="3176F798"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0</w:t>
            </w:r>
          </w:p>
        </w:tc>
        <w:tc>
          <w:tcPr>
            <w:tcW w:w="1276" w:type="dxa"/>
            <w:tcBorders>
              <w:top w:val="nil"/>
              <w:left w:val="nil"/>
              <w:bottom w:val="single" w:sz="4" w:space="0" w:color="auto"/>
              <w:right w:val="single" w:sz="4" w:space="0" w:color="auto"/>
            </w:tcBorders>
            <w:shd w:val="clear" w:color="auto" w:fill="auto"/>
            <w:noWrap/>
            <w:vAlign w:val="bottom"/>
            <w:hideMark/>
          </w:tcPr>
          <w:p w14:paraId="3C054CB3"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3</w:t>
            </w:r>
          </w:p>
        </w:tc>
        <w:tc>
          <w:tcPr>
            <w:tcW w:w="258" w:type="dxa"/>
            <w:tcBorders>
              <w:top w:val="nil"/>
              <w:left w:val="nil"/>
              <w:bottom w:val="single" w:sz="4" w:space="0" w:color="auto"/>
              <w:right w:val="single" w:sz="4" w:space="0" w:color="auto"/>
            </w:tcBorders>
            <w:shd w:val="clear" w:color="auto" w:fill="E7E6E6" w:themeFill="background2"/>
            <w:noWrap/>
            <w:vAlign w:val="bottom"/>
            <w:hideMark/>
          </w:tcPr>
          <w:p w14:paraId="325C37A2" w14:textId="476176B8" w:rsidR="00C16B7D" w:rsidRPr="00C16B7D" w:rsidRDefault="00C16B7D" w:rsidP="00123804">
            <w:pPr>
              <w:jc w:val="center"/>
              <w:rPr>
                <w:rFonts w:asciiTheme="minorHAnsi" w:hAnsiTheme="minorHAnsi" w:cstheme="minorHAnsi"/>
                <w:color w:val="000000" w:themeColor="text1"/>
                <w:sz w:val="22"/>
                <w:szCs w:val="22"/>
              </w:rPr>
            </w:pPr>
          </w:p>
        </w:tc>
        <w:tc>
          <w:tcPr>
            <w:tcW w:w="1438" w:type="dxa"/>
            <w:tcBorders>
              <w:top w:val="nil"/>
              <w:left w:val="nil"/>
              <w:bottom w:val="single" w:sz="4" w:space="0" w:color="auto"/>
              <w:right w:val="single" w:sz="4" w:space="0" w:color="auto"/>
            </w:tcBorders>
            <w:shd w:val="clear" w:color="auto" w:fill="auto"/>
            <w:noWrap/>
            <w:vAlign w:val="center"/>
            <w:hideMark/>
          </w:tcPr>
          <w:p w14:paraId="16CF1C11" w14:textId="77777777" w:rsidR="00C16B7D" w:rsidRPr="00C16B7D" w:rsidRDefault="00C16B7D" w:rsidP="00123804">
            <w:pPr>
              <w:jc w:val="center"/>
              <w:rPr>
                <w:rFonts w:asciiTheme="minorHAnsi" w:hAnsiTheme="minorHAnsi" w:cstheme="minorHAnsi"/>
                <w:color w:val="000000" w:themeColor="text1"/>
                <w:sz w:val="22"/>
                <w:szCs w:val="22"/>
              </w:rPr>
            </w:pPr>
            <w:r w:rsidRPr="00C16B7D">
              <w:rPr>
                <w:rFonts w:asciiTheme="minorHAnsi" w:hAnsiTheme="minorHAnsi" w:cstheme="minorHAnsi"/>
                <w:color w:val="000000" w:themeColor="text1"/>
                <w:sz w:val="22"/>
                <w:szCs w:val="22"/>
              </w:rPr>
              <w:t>1.7</w:t>
            </w:r>
          </w:p>
        </w:tc>
        <w:tc>
          <w:tcPr>
            <w:tcW w:w="1316" w:type="dxa"/>
            <w:tcBorders>
              <w:top w:val="nil"/>
              <w:left w:val="nil"/>
              <w:bottom w:val="single" w:sz="4" w:space="0" w:color="auto"/>
              <w:right w:val="single" w:sz="4" w:space="0" w:color="auto"/>
            </w:tcBorders>
            <w:vAlign w:val="center"/>
          </w:tcPr>
          <w:p w14:paraId="29245EE4" w14:textId="6C28BCD4"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17</w:t>
            </w:r>
          </w:p>
        </w:tc>
        <w:tc>
          <w:tcPr>
            <w:tcW w:w="1128" w:type="dxa"/>
            <w:tcBorders>
              <w:top w:val="nil"/>
              <w:left w:val="nil"/>
              <w:bottom w:val="single" w:sz="4" w:space="0" w:color="auto"/>
              <w:right w:val="single" w:sz="4" w:space="0" w:color="auto"/>
            </w:tcBorders>
            <w:vAlign w:val="bottom"/>
          </w:tcPr>
          <w:p w14:paraId="3236D006" w14:textId="2E9F72CE" w:rsidR="00C16B7D" w:rsidRPr="00021FD4" w:rsidRDefault="00C16B7D" w:rsidP="00123804">
            <w:pPr>
              <w:jc w:val="center"/>
              <w:rPr>
                <w:rFonts w:asciiTheme="minorHAnsi" w:hAnsiTheme="minorHAnsi" w:cstheme="minorHAnsi"/>
                <w:color w:val="000000" w:themeColor="text1"/>
                <w:sz w:val="22"/>
                <w:szCs w:val="22"/>
              </w:rPr>
            </w:pPr>
            <w:r w:rsidRPr="00021FD4">
              <w:rPr>
                <w:rFonts w:asciiTheme="minorHAnsi" w:hAnsiTheme="minorHAnsi" w:cstheme="minorHAnsi"/>
                <w:color w:val="000000" w:themeColor="text1"/>
                <w:sz w:val="22"/>
                <w:szCs w:val="22"/>
              </w:rPr>
              <w:t>68</w:t>
            </w:r>
          </w:p>
        </w:tc>
      </w:tr>
    </w:tbl>
    <w:p w14:paraId="0215DFCC" w14:textId="1C37382E" w:rsidR="00D72698" w:rsidRPr="00021FD4" w:rsidRDefault="00D72698" w:rsidP="00123804">
      <w:pPr>
        <w:jc w:val="center"/>
        <w:rPr>
          <w:rFonts w:asciiTheme="minorHAnsi" w:hAnsiTheme="minorHAnsi" w:cstheme="minorHAnsi"/>
          <w:color w:val="000000" w:themeColor="text1"/>
          <w:sz w:val="22"/>
          <w:szCs w:val="22"/>
        </w:rPr>
      </w:pPr>
    </w:p>
    <w:p w14:paraId="5F624595" w14:textId="7B05BAD6" w:rsidR="00EF2CD0" w:rsidRPr="00021FD4" w:rsidRDefault="00EF2CD0" w:rsidP="00EF2CD0">
      <w:pPr>
        <w:rPr>
          <w:rFonts w:asciiTheme="minorHAnsi" w:hAnsiTheme="minorHAnsi" w:cstheme="minorHAnsi"/>
          <w:sz w:val="22"/>
          <w:szCs w:val="22"/>
        </w:rPr>
      </w:pPr>
    </w:p>
    <w:p w14:paraId="7646B9A4" w14:textId="15A7DCF3" w:rsidR="00EF2CD0" w:rsidRPr="00021FD4" w:rsidRDefault="00597CA9" w:rsidP="00EF2CD0">
      <w:pPr>
        <w:spacing w:line="480" w:lineRule="auto"/>
        <w:jc w:val="both"/>
        <w:rPr>
          <w:rFonts w:asciiTheme="minorHAnsi" w:hAnsiTheme="minorHAnsi" w:cstheme="minorHAnsi"/>
          <w:b/>
          <w:bCs/>
          <w:sz w:val="22"/>
          <w:szCs w:val="22"/>
        </w:rPr>
      </w:pPr>
      <w:r w:rsidRPr="00021FD4">
        <w:rPr>
          <w:rFonts w:asciiTheme="minorHAnsi" w:hAnsiTheme="minorHAnsi" w:cstheme="minorHAnsi"/>
          <w:b/>
          <w:bCs/>
          <w:noProof/>
          <w:sz w:val="22"/>
          <w:szCs w:val="22"/>
        </w:rPr>
        <w:lastRenderedPageBreak/>
        <w:drawing>
          <wp:anchor distT="0" distB="0" distL="114300" distR="114300" simplePos="0" relativeHeight="251659264" behindDoc="0" locked="0" layoutInCell="1" allowOverlap="1" wp14:anchorId="634C1931" wp14:editId="47C1E48C">
            <wp:simplePos x="0" y="0"/>
            <wp:positionH relativeFrom="margin">
              <wp:posOffset>178435</wp:posOffset>
            </wp:positionH>
            <wp:positionV relativeFrom="margin">
              <wp:posOffset>329565</wp:posOffset>
            </wp:positionV>
            <wp:extent cx="6638925" cy="611441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6-09 at 2.11.5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8925" cy="61144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831BA" w:rsidRPr="00021FD4">
        <w:rPr>
          <w:rFonts w:asciiTheme="minorHAnsi" w:hAnsiTheme="minorHAnsi" w:cstheme="minorHAnsi"/>
          <w:b/>
          <w:bCs/>
          <w:sz w:val="22"/>
          <w:szCs w:val="22"/>
        </w:rPr>
        <w:t>S.</w:t>
      </w:r>
      <w:r w:rsidR="00EF2CD0" w:rsidRPr="00021FD4">
        <w:rPr>
          <w:rFonts w:asciiTheme="minorHAnsi" w:hAnsiTheme="minorHAnsi" w:cstheme="minorHAnsi"/>
          <w:b/>
          <w:bCs/>
          <w:sz w:val="22"/>
          <w:szCs w:val="22"/>
        </w:rPr>
        <w:t>Figure</w:t>
      </w:r>
      <w:proofErr w:type="spellEnd"/>
      <w:r w:rsidR="00EF2CD0" w:rsidRPr="00021FD4">
        <w:rPr>
          <w:rFonts w:asciiTheme="minorHAnsi" w:hAnsiTheme="minorHAnsi" w:cstheme="minorHAnsi"/>
          <w:b/>
          <w:bCs/>
          <w:sz w:val="22"/>
          <w:szCs w:val="22"/>
        </w:rPr>
        <w:t xml:space="preserve"> 1. Anticholinergic scale differences by frailty phenotype </w:t>
      </w:r>
    </w:p>
    <w:p w14:paraId="124CB8E6" w14:textId="70C6CCB3" w:rsidR="00EF2CD0" w:rsidRPr="00021FD4" w:rsidRDefault="00EF2CD0" w:rsidP="00EF2CD0">
      <w:pPr>
        <w:spacing w:line="480" w:lineRule="auto"/>
        <w:jc w:val="both"/>
        <w:rPr>
          <w:rFonts w:asciiTheme="minorHAnsi" w:hAnsiTheme="minorHAnsi" w:cstheme="minorHAnsi"/>
          <w:sz w:val="22"/>
          <w:szCs w:val="22"/>
        </w:rPr>
      </w:pPr>
    </w:p>
    <w:p w14:paraId="245E0DD2" w14:textId="4C192E8A" w:rsidR="00EF2CD0" w:rsidRPr="00021FD4" w:rsidRDefault="00EF2CD0" w:rsidP="00EF2CD0">
      <w:pPr>
        <w:spacing w:line="480" w:lineRule="auto"/>
        <w:jc w:val="both"/>
        <w:rPr>
          <w:rFonts w:asciiTheme="minorHAnsi" w:hAnsiTheme="minorHAnsi" w:cstheme="minorHAnsi"/>
          <w:b/>
          <w:bCs/>
          <w:color w:val="0E101A"/>
          <w:sz w:val="22"/>
          <w:szCs w:val="22"/>
        </w:rPr>
      </w:pPr>
    </w:p>
    <w:p w14:paraId="474508F4" w14:textId="1F86D54D" w:rsidR="00EF2CD0" w:rsidRPr="00021FD4" w:rsidRDefault="00EF2CD0" w:rsidP="00EF2CD0">
      <w:pPr>
        <w:spacing w:line="480" w:lineRule="auto"/>
        <w:jc w:val="both"/>
        <w:rPr>
          <w:rFonts w:asciiTheme="minorHAnsi" w:hAnsiTheme="minorHAnsi" w:cstheme="minorHAnsi"/>
          <w:b/>
          <w:bCs/>
          <w:color w:val="0E101A"/>
          <w:sz w:val="22"/>
          <w:szCs w:val="22"/>
        </w:rPr>
      </w:pPr>
    </w:p>
    <w:p w14:paraId="3E756669"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38E6A7F5"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03C6255E"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639445F0"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4A4BEA45"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5D6729FD"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59C2AF57"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1CCD940B"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15B53201" w14:textId="77777777" w:rsidR="00EF2CD0" w:rsidRPr="00021FD4" w:rsidRDefault="00EF2CD0" w:rsidP="00EF2CD0">
      <w:pPr>
        <w:spacing w:line="480" w:lineRule="auto"/>
        <w:jc w:val="both"/>
        <w:rPr>
          <w:rFonts w:asciiTheme="minorHAnsi" w:hAnsiTheme="minorHAnsi" w:cstheme="minorHAnsi"/>
          <w:b/>
          <w:bCs/>
          <w:color w:val="0E101A"/>
          <w:sz w:val="22"/>
          <w:szCs w:val="22"/>
        </w:rPr>
      </w:pPr>
    </w:p>
    <w:p w14:paraId="1CC61600" w14:textId="33732947" w:rsidR="00EF2CD0" w:rsidRPr="00021FD4" w:rsidRDefault="00EF2CD0" w:rsidP="00EF2CD0">
      <w:pPr>
        <w:rPr>
          <w:rFonts w:asciiTheme="minorHAnsi" w:hAnsiTheme="minorHAnsi" w:cstheme="minorHAnsi"/>
          <w:sz w:val="22"/>
          <w:szCs w:val="22"/>
        </w:rPr>
      </w:pPr>
    </w:p>
    <w:p w14:paraId="64034D0D" w14:textId="6DAFD7C4" w:rsidR="00B831BA" w:rsidRPr="00021FD4" w:rsidRDefault="00B831BA" w:rsidP="00EF2CD0">
      <w:pPr>
        <w:rPr>
          <w:rFonts w:asciiTheme="minorHAnsi" w:hAnsiTheme="minorHAnsi" w:cstheme="minorHAnsi"/>
          <w:sz w:val="22"/>
          <w:szCs w:val="22"/>
        </w:rPr>
      </w:pPr>
    </w:p>
    <w:p w14:paraId="0DF57790" w14:textId="1CF87E72" w:rsidR="00B831BA" w:rsidRPr="00021FD4" w:rsidRDefault="00B831BA" w:rsidP="00EF2CD0">
      <w:pPr>
        <w:rPr>
          <w:rFonts w:asciiTheme="minorHAnsi" w:hAnsiTheme="minorHAnsi" w:cstheme="minorHAnsi"/>
          <w:sz w:val="22"/>
          <w:szCs w:val="22"/>
        </w:rPr>
      </w:pPr>
    </w:p>
    <w:p w14:paraId="0417988F" w14:textId="184461D2" w:rsidR="00B831BA" w:rsidRPr="00021FD4" w:rsidRDefault="00B831BA" w:rsidP="00EF2CD0">
      <w:pPr>
        <w:rPr>
          <w:rFonts w:asciiTheme="minorHAnsi" w:hAnsiTheme="minorHAnsi" w:cstheme="minorHAnsi"/>
          <w:sz w:val="22"/>
          <w:szCs w:val="22"/>
        </w:rPr>
      </w:pPr>
    </w:p>
    <w:p w14:paraId="12696DCA" w14:textId="7469B0A3" w:rsidR="00B831BA" w:rsidRPr="00021FD4" w:rsidRDefault="00B831BA" w:rsidP="00EF2CD0">
      <w:pPr>
        <w:rPr>
          <w:rFonts w:asciiTheme="minorHAnsi" w:hAnsiTheme="minorHAnsi" w:cstheme="minorHAnsi"/>
          <w:sz w:val="22"/>
          <w:szCs w:val="22"/>
        </w:rPr>
      </w:pPr>
    </w:p>
    <w:p w14:paraId="15AA5EFE" w14:textId="440B00D4" w:rsidR="00597CA9" w:rsidRPr="00021FD4" w:rsidRDefault="00597CA9" w:rsidP="00EF2CD0">
      <w:pPr>
        <w:rPr>
          <w:rFonts w:asciiTheme="minorHAnsi" w:hAnsiTheme="minorHAnsi" w:cstheme="minorHAnsi"/>
          <w:sz w:val="22"/>
          <w:szCs w:val="22"/>
        </w:rPr>
      </w:pPr>
    </w:p>
    <w:p w14:paraId="752B9496" w14:textId="23F03AF3" w:rsidR="00597CA9" w:rsidRPr="00021FD4" w:rsidRDefault="00597CA9" w:rsidP="00EF2CD0">
      <w:pPr>
        <w:rPr>
          <w:rFonts w:asciiTheme="minorHAnsi" w:hAnsiTheme="minorHAnsi" w:cstheme="minorHAnsi"/>
          <w:sz w:val="22"/>
          <w:szCs w:val="22"/>
        </w:rPr>
      </w:pPr>
    </w:p>
    <w:p w14:paraId="52124AE0" w14:textId="22CF61F9" w:rsidR="00597CA9" w:rsidRPr="00021FD4" w:rsidRDefault="00597CA9" w:rsidP="00EF2CD0">
      <w:pPr>
        <w:rPr>
          <w:rFonts w:asciiTheme="minorHAnsi" w:hAnsiTheme="minorHAnsi" w:cstheme="minorHAnsi"/>
          <w:sz w:val="22"/>
          <w:szCs w:val="22"/>
        </w:rPr>
      </w:pPr>
    </w:p>
    <w:p w14:paraId="3DE04523" w14:textId="72855322" w:rsidR="00B831BA" w:rsidRPr="00021FD4" w:rsidRDefault="00B831BA" w:rsidP="00B831BA">
      <w:pPr>
        <w:spacing w:line="480" w:lineRule="auto"/>
        <w:jc w:val="both"/>
        <w:rPr>
          <w:rFonts w:asciiTheme="minorHAnsi" w:hAnsiTheme="minorHAnsi" w:cstheme="minorHAnsi"/>
          <w:b/>
          <w:bCs/>
          <w:sz w:val="22"/>
          <w:szCs w:val="22"/>
        </w:rPr>
      </w:pPr>
      <w:proofErr w:type="spellStart"/>
      <w:r w:rsidRPr="00021FD4">
        <w:rPr>
          <w:rFonts w:asciiTheme="minorHAnsi" w:hAnsiTheme="minorHAnsi" w:cstheme="minorHAnsi"/>
          <w:b/>
          <w:bCs/>
          <w:sz w:val="22"/>
          <w:szCs w:val="22"/>
        </w:rPr>
        <w:lastRenderedPageBreak/>
        <w:t>S.Figure</w:t>
      </w:r>
      <w:proofErr w:type="spellEnd"/>
      <w:r w:rsidRPr="00021FD4">
        <w:rPr>
          <w:rFonts w:asciiTheme="minorHAnsi" w:hAnsiTheme="minorHAnsi" w:cstheme="minorHAnsi"/>
          <w:b/>
          <w:bCs/>
          <w:sz w:val="22"/>
          <w:szCs w:val="22"/>
        </w:rPr>
        <w:t xml:space="preserve"> 2. Correlation matrix by anticholinergic burden scale </w:t>
      </w:r>
    </w:p>
    <w:p w14:paraId="5FC9177F" w14:textId="77777777" w:rsidR="00B831BA" w:rsidRPr="00021FD4" w:rsidRDefault="00B831BA" w:rsidP="00B831BA">
      <w:pPr>
        <w:spacing w:line="480" w:lineRule="auto"/>
        <w:jc w:val="both"/>
        <w:rPr>
          <w:rFonts w:asciiTheme="minorHAnsi" w:hAnsiTheme="minorHAnsi" w:cstheme="minorHAnsi"/>
          <w:sz w:val="22"/>
          <w:szCs w:val="22"/>
        </w:rPr>
      </w:pPr>
      <w:r w:rsidRPr="00021FD4">
        <w:rPr>
          <w:rFonts w:asciiTheme="minorHAnsi" w:hAnsiTheme="minorHAnsi" w:cstheme="minorHAnsi"/>
          <w:noProof/>
          <w:sz w:val="22"/>
          <w:szCs w:val="22"/>
        </w:rPr>
        <w:drawing>
          <wp:anchor distT="0" distB="0" distL="114300" distR="114300" simplePos="0" relativeHeight="251661312" behindDoc="1" locked="0" layoutInCell="1" allowOverlap="1" wp14:anchorId="4A10B8B5" wp14:editId="7E8AE226">
            <wp:simplePos x="0" y="0"/>
            <wp:positionH relativeFrom="column">
              <wp:posOffset>0</wp:posOffset>
            </wp:positionH>
            <wp:positionV relativeFrom="paragraph">
              <wp:posOffset>635</wp:posOffset>
            </wp:positionV>
            <wp:extent cx="6034300" cy="4452730"/>
            <wp:effectExtent l="0" t="0" r="0" b="5080"/>
            <wp:wrapTight wrapText="bothSides">
              <wp:wrapPolygon edited="0">
                <wp:start x="0" y="0"/>
                <wp:lineTo x="0" y="21563"/>
                <wp:lineTo x="21550" y="21563"/>
                <wp:lineTo x="21550" y="0"/>
                <wp:lineTo x="0" y="0"/>
              </wp:wrapPolygon>
            </wp:wrapTight>
            <wp:docPr id="3" name="Picture" descr="Correlation matrix"/>
            <wp:cNvGraphicFramePr/>
            <a:graphic xmlns:a="http://schemas.openxmlformats.org/drawingml/2006/main">
              <a:graphicData uri="http://schemas.openxmlformats.org/drawingml/2006/picture">
                <pic:pic xmlns:pic="http://schemas.openxmlformats.org/drawingml/2006/picture">
                  <pic:nvPicPr>
                    <pic:cNvPr id="0" name="Picture" descr="correlation_analysis_files/figure-docx/unnamed-chunk-6-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34300" cy="44527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0973D6D" w14:textId="77777777" w:rsidR="00B831BA" w:rsidRPr="00021FD4" w:rsidRDefault="00B831BA" w:rsidP="00B831BA">
      <w:pPr>
        <w:pStyle w:val="ImageCaption"/>
        <w:rPr>
          <w:rFonts w:cstheme="minorHAnsi"/>
          <w:sz w:val="22"/>
          <w:szCs w:val="22"/>
        </w:rPr>
      </w:pPr>
    </w:p>
    <w:p w14:paraId="051C53B8" w14:textId="77777777" w:rsidR="00B831BA" w:rsidRPr="00021FD4" w:rsidRDefault="00B831BA" w:rsidP="00B831BA">
      <w:pPr>
        <w:pStyle w:val="ImageCaption"/>
        <w:rPr>
          <w:rFonts w:cstheme="minorHAnsi"/>
          <w:sz w:val="22"/>
          <w:szCs w:val="22"/>
        </w:rPr>
      </w:pPr>
    </w:p>
    <w:p w14:paraId="2AC47A82" w14:textId="77777777" w:rsidR="00B831BA" w:rsidRPr="00021FD4" w:rsidRDefault="00B831BA" w:rsidP="00B831BA">
      <w:pPr>
        <w:pStyle w:val="ImageCaption"/>
        <w:rPr>
          <w:rFonts w:cstheme="minorHAnsi"/>
          <w:sz w:val="22"/>
          <w:szCs w:val="22"/>
        </w:rPr>
      </w:pPr>
    </w:p>
    <w:p w14:paraId="4E9C9DB3" w14:textId="77777777" w:rsidR="00B831BA" w:rsidRPr="00021FD4" w:rsidRDefault="00B831BA" w:rsidP="00B831BA">
      <w:pPr>
        <w:pStyle w:val="ImageCaption"/>
        <w:rPr>
          <w:rFonts w:cstheme="minorHAnsi"/>
          <w:sz w:val="22"/>
          <w:szCs w:val="22"/>
        </w:rPr>
      </w:pPr>
    </w:p>
    <w:p w14:paraId="695AB903" w14:textId="77777777" w:rsidR="00B831BA" w:rsidRPr="00021FD4" w:rsidRDefault="00B831BA" w:rsidP="00B831BA">
      <w:pPr>
        <w:pStyle w:val="ImageCaption"/>
        <w:rPr>
          <w:rFonts w:cstheme="minorHAnsi"/>
          <w:sz w:val="22"/>
          <w:szCs w:val="22"/>
        </w:rPr>
      </w:pPr>
    </w:p>
    <w:p w14:paraId="587891E3" w14:textId="77777777" w:rsidR="00B831BA" w:rsidRPr="00021FD4" w:rsidRDefault="00B831BA" w:rsidP="00B831BA">
      <w:pPr>
        <w:pStyle w:val="ImageCaption"/>
        <w:rPr>
          <w:rFonts w:cstheme="minorHAnsi"/>
          <w:sz w:val="22"/>
          <w:szCs w:val="22"/>
        </w:rPr>
      </w:pPr>
    </w:p>
    <w:p w14:paraId="24819D97" w14:textId="77777777" w:rsidR="00B831BA" w:rsidRPr="00021FD4" w:rsidRDefault="00B831BA" w:rsidP="00B831BA">
      <w:pPr>
        <w:pStyle w:val="ImageCaption"/>
        <w:rPr>
          <w:rFonts w:cstheme="minorHAnsi"/>
          <w:sz w:val="22"/>
          <w:szCs w:val="22"/>
        </w:rPr>
      </w:pPr>
    </w:p>
    <w:p w14:paraId="1B876174" w14:textId="77777777" w:rsidR="00B831BA" w:rsidRPr="00021FD4" w:rsidRDefault="00B831BA" w:rsidP="00B831BA">
      <w:pPr>
        <w:pStyle w:val="ImageCaption"/>
        <w:rPr>
          <w:rFonts w:cstheme="minorHAnsi"/>
          <w:sz w:val="22"/>
          <w:szCs w:val="22"/>
        </w:rPr>
      </w:pPr>
    </w:p>
    <w:p w14:paraId="33B27070" w14:textId="77777777" w:rsidR="00B831BA" w:rsidRPr="00021FD4" w:rsidRDefault="00B831BA" w:rsidP="00B831BA">
      <w:pPr>
        <w:pStyle w:val="ImageCaption"/>
        <w:rPr>
          <w:rFonts w:cstheme="minorHAnsi"/>
          <w:sz w:val="22"/>
          <w:szCs w:val="22"/>
        </w:rPr>
      </w:pPr>
    </w:p>
    <w:p w14:paraId="5F905599" w14:textId="77777777" w:rsidR="00B831BA" w:rsidRPr="00021FD4" w:rsidRDefault="00B831BA" w:rsidP="00B831BA">
      <w:pPr>
        <w:pStyle w:val="ImageCaption"/>
        <w:rPr>
          <w:rFonts w:cstheme="minorHAnsi"/>
          <w:sz w:val="22"/>
          <w:szCs w:val="22"/>
        </w:rPr>
      </w:pPr>
    </w:p>
    <w:p w14:paraId="3F30B16A" w14:textId="77777777" w:rsidR="00B831BA" w:rsidRPr="00021FD4" w:rsidRDefault="00B831BA" w:rsidP="00B831BA">
      <w:pPr>
        <w:pStyle w:val="ImageCaption"/>
        <w:rPr>
          <w:rFonts w:cstheme="minorHAnsi"/>
          <w:sz w:val="22"/>
          <w:szCs w:val="22"/>
        </w:rPr>
      </w:pPr>
    </w:p>
    <w:p w14:paraId="4A12F963" w14:textId="77777777" w:rsidR="00B831BA" w:rsidRPr="00021FD4" w:rsidRDefault="00B831BA" w:rsidP="00B831BA">
      <w:pPr>
        <w:pStyle w:val="ImageCaption"/>
        <w:rPr>
          <w:rFonts w:cstheme="minorHAnsi"/>
          <w:sz w:val="22"/>
          <w:szCs w:val="22"/>
        </w:rPr>
      </w:pPr>
    </w:p>
    <w:p w14:paraId="54F6288D" w14:textId="77777777" w:rsidR="00B831BA" w:rsidRPr="00021FD4" w:rsidRDefault="00B831BA" w:rsidP="00B831BA">
      <w:pPr>
        <w:pStyle w:val="ImageCaption"/>
        <w:rPr>
          <w:rFonts w:cstheme="minorHAnsi"/>
          <w:sz w:val="22"/>
          <w:szCs w:val="22"/>
        </w:rPr>
      </w:pPr>
    </w:p>
    <w:p w14:paraId="027E7E0C" w14:textId="77777777" w:rsidR="00B831BA" w:rsidRPr="00021FD4" w:rsidRDefault="00B831BA" w:rsidP="00B831BA">
      <w:pPr>
        <w:pStyle w:val="ImageCaption"/>
        <w:rPr>
          <w:rFonts w:cstheme="minorHAnsi"/>
          <w:sz w:val="22"/>
          <w:szCs w:val="22"/>
        </w:rPr>
      </w:pPr>
    </w:p>
    <w:p w14:paraId="49B63726" w14:textId="77777777" w:rsidR="00B831BA" w:rsidRPr="00021FD4" w:rsidRDefault="00B831BA" w:rsidP="00B831BA">
      <w:pPr>
        <w:pStyle w:val="ImageCaption"/>
        <w:rPr>
          <w:rFonts w:cstheme="minorHAnsi"/>
          <w:sz w:val="22"/>
          <w:szCs w:val="22"/>
        </w:rPr>
      </w:pPr>
    </w:p>
    <w:p w14:paraId="6E6E8DC3" w14:textId="77777777" w:rsidR="00B831BA" w:rsidRPr="00021FD4" w:rsidRDefault="00B831BA" w:rsidP="00B831BA">
      <w:pPr>
        <w:pStyle w:val="ImageCaption"/>
        <w:rPr>
          <w:rFonts w:cstheme="minorHAnsi"/>
          <w:sz w:val="22"/>
          <w:szCs w:val="22"/>
        </w:rPr>
      </w:pPr>
    </w:p>
    <w:p w14:paraId="22416455" w14:textId="77777777" w:rsidR="00B831BA" w:rsidRPr="00021FD4" w:rsidRDefault="00B831BA" w:rsidP="00B831BA">
      <w:pPr>
        <w:pStyle w:val="ImageCaption"/>
        <w:rPr>
          <w:rFonts w:cstheme="minorHAnsi"/>
          <w:sz w:val="22"/>
          <w:szCs w:val="22"/>
        </w:rPr>
      </w:pPr>
    </w:p>
    <w:p w14:paraId="41B2D956" w14:textId="1F39EBC3" w:rsidR="00B831BA" w:rsidRPr="00021FD4" w:rsidRDefault="00B831BA" w:rsidP="00B831BA">
      <w:pPr>
        <w:pStyle w:val="ImageCaption"/>
        <w:rPr>
          <w:rFonts w:cstheme="minorHAnsi"/>
          <w:sz w:val="22"/>
          <w:szCs w:val="22"/>
        </w:rPr>
      </w:pPr>
      <w:r w:rsidRPr="00021FD4">
        <w:rPr>
          <w:rFonts w:cstheme="minorHAnsi"/>
          <w:sz w:val="22"/>
          <w:szCs w:val="22"/>
        </w:rPr>
        <w:t>Spearman Correlation matrix</w:t>
      </w:r>
      <w:bookmarkStart w:id="0" w:name="Xaef80b7b98d117692b2a683cf007fb9dd68656a"/>
      <w:r w:rsidRPr="00021FD4">
        <w:rPr>
          <w:rFonts w:cstheme="minorHAnsi"/>
          <w:sz w:val="22"/>
          <w:szCs w:val="22"/>
        </w:rPr>
        <w:t>: Distribution of each variable is shown on the diagonal, each significance level is associated to p=0.001</w:t>
      </w:r>
      <w:bookmarkEnd w:id="0"/>
      <w:r w:rsidRPr="00021FD4">
        <w:rPr>
          <w:rFonts w:cstheme="minorHAnsi"/>
          <w:sz w:val="22"/>
          <w:szCs w:val="22"/>
        </w:rPr>
        <w:t>***</w:t>
      </w:r>
    </w:p>
    <w:p w14:paraId="0C166A6A" w14:textId="52FD1E6D" w:rsidR="00021FD4" w:rsidRPr="00021FD4" w:rsidRDefault="00021FD4" w:rsidP="00B831BA">
      <w:pPr>
        <w:pStyle w:val="ImageCaption"/>
        <w:rPr>
          <w:rFonts w:cstheme="minorHAnsi"/>
          <w:sz w:val="22"/>
          <w:szCs w:val="22"/>
        </w:rPr>
      </w:pPr>
    </w:p>
    <w:p w14:paraId="53852519" w14:textId="35ED0055" w:rsidR="00021FD4" w:rsidRPr="00021FD4" w:rsidRDefault="00021FD4" w:rsidP="00B831BA">
      <w:pPr>
        <w:pStyle w:val="ImageCaption"/>
        <w:rPr>
          <w:rFonts w:cstheme="minorHAnsi"/>
          <w:sz w:val="22"/>
          <w:szCs w:val="22"/>
        </w:rPr>
      </w:pPr>
    </w:p>
    <w:p w14:paraId="603284F5" w14:textId="0D23A12B" w:rsidR="00021FD4" w:rsidRPr="00021FD4" w:rsidRDefault="00021FD4" w:rsidP="00B831BA">
      <w:pPr>
        <w:pStyle w:val="ImageCaption"/>
        <w:rPr>
          <w:rFonts w:cstheme="minorHAnsi"/>
          <w:sz w:val="22"/>
          <w:szCs w:val="22"/>
        </w:rPr>
      </w:pPr>
    </w:p>
    <w:p w14:paraId="112A5DDA" w14:textId="71CB9411" w:rsidR="00021FD4" w:rsidRPr="00021FD4" w:rsidRDefault="00021FD4" w:rsidP="00B831BA">
      <w:pPr>
        <w:pStyle w:val="ImageCaption"/>
        <w:rPr>
          <w:rFonts w:cstheme="minorHAnsi"/>
          <w:i w:val="0"/>
          <w:iCs/>
          <w:sz w:val="22"/>
          <w:szCs w:val="22"/>
        </w:rPr>
      </w:pPr>
      <w:r w:rsidRPr="00021FD4">
        <w:rPr>
          <w:rFonts w:cstheme="minorHAnsi"/>
          <w:i w:val="0"/>
          <w:iCs/>
          <w:sz w:val="22"/>
          <w:szCs w:val="22"/>
        </w:rPr>
        <w:lastRenderedPageBreak/>
        <w:t>References</w:t>
      </w:r>
    </w:p>
    <w:p w14:paraId="1B185F89" w14:textId="65E79B68" w:rsidR="00021FD4" w:rsidRPr="00021FD4" w:rsidRDefault="00021FD4" w:rsidP="00021FD4">
      <w:pPr>
        <w:widowControl w:val="0"/>
        <w:autoSpaceDE w:val="0"/>
        <w:autoSpaceDN w:val="0"/>
        <w:adjustRightInd w:val="0"/>
        <w:spacing w:line="480" w:lineRule="auto"/>
        <w:ind w:left="640" w:hanging="640"/>
        <w:rPr>
          <w:rFonts w:ascii="Calibri" w:hAnsi="Calibri" w:cs="Calibri"/>
          <w:noProof/>
          <w:sz w:val="22"/>
        </w:rPr>
      </w:pPr>
      <w:r>
        <w:rPr>
          <w:rFonts w:asciiTheme="minorHAnsi" w:hAnsiTheme="minorHAnsi" w:cstheme="minorHAnsi"/>
          <w:sz w:val="22"/>
          <w:szCs w:val="22"/>
        </w:rPr>
        <w:fldChar w:fldCharType="begin" w:fldLock="1"/>
      </w:r>
      <w:r>
        <w:rPr>
          <w:rFonts w:asciiTheme="minorHAnsi" w:hAnsiTheme="minorHAnsi" w:cstheme="minorHAnsi"/>
          <w:sz w:val="22"/>
          <w:szCs w:val="22"/>
        </w:rPr>
        <w:instrText xml:space="preserve">ADDIN Mendeley Bibliography CSL_BIBLIOGRAPHY </w:instrText>
      </w:r>
      <w:r>
        <w:rPr>
          <w:rFonts w:asciiTheme="minorHAnsi" w:hAnsiTheme="minorHAnsi" w:cstheme="minorHAnsi"/>
          <w:sz w:val="22"/>
          <w:szCs w:val="22"/>
        </w:rPr>
        <w:fldChar w:fldCharType="separate"/>
      </w:r>
      <w:r w:rsidRPr="00021FD4">
        <w:rPr>
          <w:rFonts w:ascii="Calibri" w:hAnsi="Calibri" w:cs="Calibri"/>
          <w:noProof/>
          <w:sz w:val="22"/>
        </w:rPr>
        <w:t xml:space="preserve">1. </w:t>
      </w:r>
      <w:r w:rsidRPr="00021FD4">
        <w:rPr>
          <w:rFonts w:ascii="Calibri" w:hAnsi="Calibri" w:cs="Calibri"/>
          <w:noProof/>
          <w:sz w:val="22"/>
        </w:rPr>
        <w:tab/>
        <w:t xml:space="preserve">Lozano-Ortega G, Johnston KM, Cheung A, et al. A review of published anticholinergic scales and measures and their applicability in database analyses. </w:t>
      </w:r>
      <w:r w:rsidRPr="00021FD4">
        <w:rPr>
          <w:rFonts w:ascii="Calibri" w:hAnsi="Calibri" w:cs="Calibri"/>
          <w:i/>
          <w:iCs/>
          <w:noProof/>
          <w:sz w:val="22"/>
        </w:rPr>
        <w:t>Arch Gerontol Geriatr</w:t>
      </w:r>
      <w:r w:rsidRPr="00021FD4">
        <w:rPr>
          <w:rFonts w:ascii="Calibri" w:hAnsi="Calibri" w:cs="Calibri"/>
          <w:noProof/>
          <w:sz w:val="22"/>
        </w:rPr>
        <w:t>. 2020;87. doi:10.1016/J.ARCHGER.2019.05.010</w:t>
      </w:r>
    </w:p>
    <w:p w14:paraId="1115B93A" w14:textId="77777777" w:rsidR="00021FD4" w:rsidRPr="00021FD4" w:rsidRDefault="00021FD4" w:rsidP="00021FD4">
      <w:pPr>
        <w:widowControl w:val="0"/>
        <w:autoSpaceDE w:val="0"/>
        <w:autoSpaceDN w:val="0"/>
        <w:adjustRightInd w:val="0"/>
        <w:spacing w:line="480" w:lineRule="auto"/>
        <w:ind w:left="640" w:hanging="640"/>
        <w:rPr>
          <w:rFonts w:ascii="Calibri" w:hAnsi="Calibri" w:cs="Calibri"/>
          <w:noProof/>
          <w:sz w:val="22"/>
        </w:rPr>
      </w:pPr>
      <w:r w:rsidRPr="00021FD4">
        <w:rPr>
          <w:rFonts w:ascii="Calibri" w:hAnsi="Calibri" w:cs="Calibri"/>
          <w:noProof/>
          <w:sz w:val="22"/>
        </w:rPr>
        <w:t xml:space="preserve">2. </w:t>
      </w:r>
      <w:r w:rsidRPr="00021FD4">
        <w:rPr>
          <w:rFonts w:ascii="Calibri" w:hAnsi="Calibri" w:cs="Calibri"/>
          <w:noProof/>
          <w:sz w:val="22"/>
        </w:rPr>
        <w:tab/>
        <w:t xml:space="preserve">Gray SL, Anderson ML, Dublin S, et al. Cumulative Use of Strong Anticholinergic Medications and Incident Dementia Shelly. </w:t>
      </w:r>
      <w:r w:rsidRPr="00021FD4">
        <w:rPr>
          <w:rFonts w:ascii="Calibri" w:hAnsi="Calibri" w:cs="Calibri"/>
          <w:i/>
          <w:iCs/>
          <w:noProof/>
          <w:sz w:val="22"/>
        </w:rPr>
        <w:t>JAMA Intern Med</w:t>
      </w:r>
      <w:r w:rsidRPr="00021FD4">
        <w:rPr>
          <w:rFonts w:ascii="Calibri" w:hAnsi="Calibri" w:cs="Calibri"/>
          <w:noProof/>
          <w:sz w:val="22"/>
        </w:rPr>
        <w:t>. 2015;175(3):401-407. doi:10.1001/jamainternmed.2014.7663.Cumulative</w:t>
      </w:r>
    </w:p>
    <w:p w14:paraId="096FB13A" w14:textId="77777777" w:rsidR="00021FD4" w:rsidRPr="00021FD4" w:rsidRDefault="00021FD4" w:rsidP="00021FD4">
      <w:pPr>
        <w:widowControl w:val="0"/>
        <w:autoSpaceDE w:val="0"/>
        <w:autoSpaceDN w:val="0"/>
        <w:adjustRightInd w:val="0"/>
        <w:spacing w:line="480" w:lineRule="auto"/>
        <w:ind w:left="640" w:hanging="640"/>
        <w:rPr>
          <w:rFonts w:ascii="Calibri" w:hAnsi="Calibri" w:cs="Calibri"/>
          <w:noProof/>
          <w:sz w:val="22"/>
        </w:rPr>
      </w:pPr>
      <w:r w:rsidRPr="00021FD4">
        <w:rPr>
          <w:rFonts w:ascii="Calibri" w:hAnsi="Calibri" w:cs="Calibri"/>
          <w:noProof/>
          <w:sz w:val="22"/>
        </w:rPr>
        <w:t xml:space="preserve">3. </w:t>
      </w:r>
      <w:r w:rsidRPr="00021FD4">
        <w:rPr>
          <w:rFonts w:ascii="Calibri" w:hAnsi="Calibri" w:cs="Calibri"/>
          <w:noProof/>
          <w:sz w:val="22"/>
        </w:rPr>
        <w:tab/>
        <w:t xml:space="preserve">Lozano-Ortega G, Szabo SM, Cheung A, et al. An Evaluation of Longitudinal Measures of Anticholinergic Exposure for Application in Retrospective Administrative Data Analyses. </w:t>
      </w:r>
      <w:r w:rsidRPr="00021FD4">
        <w:rPr>
          <w:rFonts w:ascii="Calibri" w:hAnsi="Calibri" w:cs="Calibri"/>
          <w:i/>
          <w:iCs/>
          <w:noProof/>
          <w:sz w:val="22"/>
        </w:rPr>
        <w:t>Adv Ther</w:t>
      </w:r>
      <w:r w:rsidRPr="00021FD4">
        <w:rPr>
          <w:rFonts w:ascii="Calibri" w:hAnsi="Calibri" w:cs="Calibri"/>
          <w:noProof/>
          <w:sz w:val="22"/>
        </w:rPr>
        <w:t>. 2019;36(9):2247-2259. doi:10.1007/S12325-019-01035-Z/FIGURES/1</w:t>
      </w:r>
    </w:p>
    <w:p w14:paraId="48EE9047" w14:textId="0666379C" w:rsidR="00021FD4" w:rsidRPr="00021FD4" w:rsidRDefault="00021FD4" w:rsidP="00021FD4">
      <w:pPr>
        <w:spacing w:line="480" w:lineRule="auto"/>
        <w:rPr>
          <w:rFonts w:asciiTheme="minorHAnsi" w:hAnsiTheme="minorHAnsi" w:cstheme="minorHAnsi"/>
          <w:sz w:val="22"/>
          <w:szCs w:val="22"/>
        </w:rPr>
      </w:pPr>
      <w:r>
        <w:rPr>
          <w:rFonts w:asciiTheme="minorHAnsi" w:hAnsiTheme="minorHAnsi" w:cstheme="minorHAnsi"/>
          <w:sz w:val="22"/>
          <w:szCs w:val="22"/>
        </w:rPr>
        <w:fldChar w:fldCharType="end"/>
      </w:r>
      <w:r>
        <w:rPr>
          <w:rFonts w:asciiTheme="minorHAnsi" w:hAnsiTheme="minorHAnsi" w:cstheme="minorHAnsi"/>
          <w:sz w:val="22"/>
          <w:szCs w:val="22"/>
        </w:rPr>
        <w:t xml:space="preserve">4.        </w:t>
      </w:r>
      <w:r w:rsidRPr="00021FD4">
        <w:rPr>
          <w:rFonts w:asciiTheme="minorHAnsi" w:hAnsiTheme="minorHAnsi" w:cstheme="minorHAnsi"/>
          <w:sz w:val="22"/>
          <w:szCs w:val="22"/>
        </w:rPr>
        <w:t>WHO Collaborating Centre for Drug Statistics Methodology. ATC/DDD Index. 2017. http://www. whocc.no/</w:t>
      </w:r>
      <w:proofErr w:type="spellStart"/>
      <w:r w:rsidRPr="00021FD4">
        <w:rPr>
          <w:rFonts w:asciiTheme="minorHAnsi" w:hAnsiTheme="minorHAnsi" w:cstheme="minorHAnsi"/>
          <w:sz w:val="22"/>
          <w:szCs w:val="22"/>
        </w:rPr>
        <w:t>atc_ddd_index</w:t>
      </w:r>
      <w:proofErr w:type="spellEnd"/>
      <w:r w:rsidRPr="00021FD4">
        <w:rPr>
          <w:rFonts w:asciiTheme="minorHAnsi" w:hAnsiTheme="minorHAnsi" w:cstheme="minorHAnsi"/>
          <w:sz w:val="22"/>
          <w:szCs w:val="22"/>
        </w:rPr>
        <w:t>/.</w:t>
      </w:r>
    </w:p>
    <w:p w14:paraId="202E8BCC" w14:textId="77777777" w:rsidR="00021FD4" w:rsidRDefault="00021FD4" w:rsidP="00021FD4">
      <w:pPr>
        <w:spacing w:line="480" w:lineRule="auto"/>
        <w:rPr>
          <w:rFonts w:asciiTheme="minorHAnsi" w:hAnsiTheme="minorHAnsi" w:cstheme="minorHAnsi"/>
          <w:sz w:val="22"/>
          <w:szCs w:val="22"/>
        </w:rPr>
      </w:pPr>
      <w:r>
        <w:rPr>
          <w:rFonts w:asciiTheme="minorHAnsi" w:hAnsiTheme="minorHAnsi" w:cstheme="minorHAnsi"/>
          <w:sz w:val="22"/>
          <w:szCs w:val="22"/>
        </w:rPr>
        <w:t>5</w:t>
      </w:r>
      <w:r w:rsidRPr="00021FD4">
        <w:rPr>
          <w:rFonts w:asciiTheme="minorHAnsi" w:hAnsiTheme="minorHAnsi" w:cstheme="minorHAnsi"/>
          <w:sz w:val="22"/>
          <w:szCs w:val="22"/>
        </w:rPr>
        <w:t xml:space="preserve">.       WHO Collaborating Centre for Drug Statistics Methodology. Definition and general considerations. https://www.whocc.no/ddd/definition_and_ </w:t>
      </w:r>
    </w:p>
    <w:p w14:paraId="660EC87C" w14:textId="4B24FD80" w:rsidR="00021FD4" w:rsidRDefault="00021FD4" w:rsidP="00021FD4">
      <w:pPr>
        <w:spacing w:line="480" w:lineRule="auto"/>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021FD4">
        <w:rPr>
          <w:rFonts w:asciiTheme="minorHAnsi" w:hAnsiTheme="minorHAnsi" w:cstheme="minorHAnsi"/>
          <w:sz w:val="22"/>
          <w:szCs w:val="22"/>
        </w:rPr>
        <w:t>general_considera</w:t>
      </w:r>
      <w:proofErr w:type="spellEnd"/>
      <w:r w:rsidRPr="00021FD4">
        <w:rPr>
          <w:rFonts w:asciiTheme="minorHAnsi" w:hAnsiTheme="minorHAnsi" w:cstheme="minorHAnsi"/>
          <w:sz w:val="22"/>
          <w:szCs w:val="22"/>
        </w:rPr>
        <w:t>/.</w:t>
      </w:r>
    </w:p>
    <w:p w14:paraId="71D751A8" w14:textId="77777777" w:rsidR="00B37098" w:rsidRPr="00B37098" w:rsidRDefault="00B37098" w:rsidP="00B37098">
      <w:pPr>
        <w:rPr>
          <w:rFonts w:asciiTheme="minorHAnsi" w:hAnsiTheme="minorHAnsi" w:cstheme="minorHAnsi"/>
          <w:sz w:val="22"/>
          <w:szCs w:val="22"/>
        </w:rPr>
      </w:pPr>
      <w:r>
        <w:rPr>
          <w:rFonts w:asciiTheme="minorHAnsi" w:hAnsiTheme="minorHAnsi" w:cstheme="minorHAnsi"/>
          <w:sz w:val="22"/>
          <w:szCs w:val="22"/>
        </w:rPr>
        <w:t xml:space="preserve">6.      </w:t>
      </w:r>
      <w:r w:rsidRPr="00B37098">
        <w:rPr>
          <w:rFonts w:asciiTheme="minorHAnsi" w:hAnsiTheme="minorHAnsi" w:cstheme="minorHAnsi"/>
          <w:sz w:val="22"/>
          <w:szCs w:val="22"/>
        </w:rPr>
        <w:t>WHO Collaborating Centre for Drug Statistics Methodology. 2017. https://www.whocc.no/.</w:t>
      </w:r>
    </w:p>
    <w:p w14:paraId="651E0352" w14:textId="6C648EB1" w:rsidR="00B37098" w:rsidRPr="00021FD4" w:rsidRDefault="00B37098" w:rsidP="00021FD4">
      <w:pPr>
        <w:spacing w:line="480" w:lineRule="auto"/>
        <w:rPr>
          <w:rFonts w:asciiTheme="minorHAnsi" w:hAnsiTheme="minorHAnsi" w:cstheme="minorHAnsi"/>
          <w:sz w:val="22"/>
          <w:szCs w:val="22"/>
        </w:rPr>
      </w:pPr>
    </w:p>
    <w:p w14:paraId="28221083" w14:textId="602E1C94" w:rsidR="00B831BA" w:rsidRPr="00021FD4" w:rsidRDefault="00B831BA" w:rsidP="00021FD4">
      <w:pPr>
        <w:spacing w:line="480" w:lineRule="auto"/>
        <w:rPr>
          <w:rFonts w:asciiTheme="minorHAnsi" w:hAnsiTheme="minorHAnsi" w:cstheme="minorHAnsi"/>
          <w:sz w:val="22"/>
          <w:szCs w:val="22"/>
        </w:rPr>
      </w:pPr>
    </w:p>
    <w:sectPr w:rsidR="00B831BA" w:rsidRPr="00021FD4" w:rsidSect="00EC0432">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3BD"/>
    <w:multiLevelType w:val="multilevel"/>
    <w:tmpl w:val="66A0790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3F"/>
    <w:rsid w:val="00021FD4"/>
    <w:rsid w:val="000628BA"/>
    <w:rsid w:val="00123804"/>
    <w:rsid w:val="00130652"/>
    <w:rsid w:val="001329F5"/>
    <w:rsid w:val="00254B5E"/>
    <w:rsid w:val="002971F6"/>
    <w:rsid w:val="00504795"/>
    <w:rsid w:val="00557F74"/>
    <w:rsid w:val="005926E5"/>
    <w:rsid w:val="00597CA9"/>
    <w:rsid w:val="00625852"/>
    <w:rsid w:val="006C1C05"/>
    <w:rsid w:val="00743E08"/>
    <w:rsid w:val="007712D5"/>
    <w:rsid w:val="00773B3F"/>
    <w:rsid w:val="00777489"/>
    <w:rsid w:val="007C609C"/>
    <w:rsid w:val="007E6A4D"/>
    <w:rsid w:val="00922884"/>
    <w:rsid w:val="00A4162C"/>
    <w:rsid w:val="00B37098"/>
    <w:rsid w:val="00B831BA"/>
    <w:rsid w:val="00C056A0"/>
    <w:rsid w:val="00C16B7D"/>
    <w:rsid w:val="00C3604A"/>
    <w:rsid w:val="00C62000"/>
    <w:rsid w:val="00D72698"/>
    <w:rsid w:val="00E334E3"/>
    <w:rsid w:val="00EC0432"/>
    <w:rsid w:val="00EF2CD0"/>
    <w:rsid w:val="00F6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9843"/>
  <w15:chartTrackingRefBased/>
  <w15:docId w15:val="{3809DEEB-6947-CF4F-A0D7-7AA60D49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4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F6"/>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2971F6"/>
    <w:pPr>
      <w:spacing w:before="100" w:beforeAutospacing="1" w:after="100" w:afterAutospacing="1"/>
    </w:pPr>
  </w:style>
  <w:style w:type="paragraph" w:customStyle="1" w:styleId="ImageCaption">
    <w:name w:val="Image Caption"/>
    <w:basedOn w:val="Caption"/>
    <w:rsid w:val="00B831BA"/>
    <w:pPr>
      <w:spacing w:after="120"/>
    </w:pPr>
    <w:rPr>
      <w:iCs w:val="0"/>
      <w:color w:val="auto"/>
      <w:sz w:val="24"/>
      <w:szCs w:val="24"/>
    </w:rPr>
  </w:style>
  <w:style w:type="paragraph" w:styleId="Caption">
    <w:name w:val="caption"/>
    <w:basedOn w:val="Normal"/>
    <w:next w:val="Normal"/>
    <w:uiPriority w:val="35"/>
    <w:semiHidden/>
    <w:unhideWhenUsed/>
    <w:qFormat/>
    <w:rsid w:val="00B831BA"/>
    <w:pPr>
      <w:spacing w:after="200"/>
    </w:pPr>
    <w:rPr>
      <w:rFonts w:asciiTheme="minorHAnsi" w:eastAsiaTheme="minorHAnsi" w:hAnsiTheme="minorHAnsi" w:cstheme="minorBidi"/>
      <w:i/>
      <w:iCs/>
      <w:color w:val="44546A" w:themeColor="text2"/>
      <w:sz w:val="18"/>
      <w:szCs w:val="18"/>
    </w:rPr>
  </w:style>
  <w:style w:type="character" w:styleId="Hyperlink">
    <w:name w:val="Hyperlink"/>
    <w:basedOn w:val="DefaultParagraphFont"/>
    <w:uiPriority w:val="99"/>
    <w:semiHidden/>
    <w:unhideWhenUsed/>
    <w:rsid w:val="00E334E3"/>
    <w:rPr>
      <w:color w:val="0000FF"/>
      <w:u w:val="single"/>
    </w:rPr>
  </w:style>
  <w:style w:type="character" w:customStyle="1" w:styleId="mtext">
    <w:name w:val="mtext"/>
    <w:basedOn w:val="DefaultParagraphFont"/>
    <w:rsid w:val="00E334E3"/>
  </w:style>
  <w:style w:type="character" w:customStyle="1" w:styleId="mo">
    <w:name w:val="mo"/>
    <w:basedOn w:val="DefaultParagraphFont"/>
    <w:rsid w:val="00E334E3"/>
  </w:style>
  <w:style w:type="character" w:customStyle="1" w:styleId="mjxassistivemathml">
    <w:name w:val="mjx_assistive_mathml"/>
    <w:basedOn w:val="DefaultParagraphFont"/>
    <w:rsid w:val="00E33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3443">
      <w:bodyDiv w:val="1"/>
      <w:marLeft w:val="0"/>
      <w:marRight w:val="0"/>
      <w:marTop w:val="0"/>
      <w:marBottom w:val="0"/>
      <w:divBdr>
        <w:top w:val="none" w:sz="0" w:space="0" w:color="auto"/>
        <w:left w:val="none" w:sz="0" w:space="0" w:color="auto"/>
        <w:bottom w:val="none" w:sz="0" w:space="0" w:color="auto"/>
        <w:right w:val="none" w:sz="0" w:space="0" w:color="auto"/>
      </w:divBdr>
    </w:div>
    <w:div w:id="511649333">
      <w:bodyDiv w:val="1"/>
      <w:marLeft w:val="0"/>
      <w:marRight w:val="0"/>
      <w:marTop w:val="0"/>
      <w:marBottom w:val="0"/>
      <w:divBdr>
        <w:top w:val="none" w:sz="0" w:space="0" w:color="auto"/>
        <w:left w:val="none" w:sz="0" w:space="0" w:color="auto"/>
        <w:bottom w:val="none" w:sz="0" w:space="0" w:color="auto"/>
        <w:right w:val="none" w:sz="0" w:space="0" w:color="auto"/>
      </w:divBdr>
      <w:divsChild>
        <w:div w:id="531306708">
          <w:marLeft w:val="0"/>
          <w:marRight w:val="0"/>
          <w:marTop w:val="0"/>
          <w:marBottom w:val="0"/>
          <w:divBdr>
            <w:top w:val="none" w:sz="0" w:space="0" w:color="auto"/>
            <w:left w:val="none" w:sz="0" w:space="0" w:color="auto"/>
            <w:bottom w:val="none" w:sz="0" w:space="0" w:color="auto"/>
            <w:right w:val="none" w:sz="0" w:space="0" w:color="auto"/>
          </w:divBdr>
          <w:divsChild>
            <w:div w:id="2068257821">
              <w:marLeft w:val="0"/>
              <w:marRight w:val="0"/>
              <w:marTop w:val="0"/>
              <w:marBottom w:val="0"/>
              <w:divBdr>
                <w:top w:val="none" w:sz="0" w:space="0" w:color="auto"/>
                <w:left w:val="none" w:sz="0" w:space="0" w:color="auto"/>
                <w:bottom w:val="none" w:sz="0" w:space="0" w:color="auto"/>
                <w:right w:val="none" w:sz="0" w:space="0" w:color="auto"/>
              </w:divBdr>
              <w:divsChild>
                <w:div w:id="7397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7671">
      <w:bodyDiv w:val="1"/>
      <w:marLeft w:val="0"/>
      <w:marRight w:val="0"/>
      <w:marTop w:val="0"/>
      <w:marBottom w:val="0"/>
      <w:divBdr>
        <w:top w:val="none" w:sz="0" w:space="0" w:color="auto"/>
        <w:left w:val="none" w:sz="0" w:space="0" w:color="auto"/>
        <w:bottom w:val="none" w:sz="0" w:space="0" w:color="auto"/>
        <w:right w:val="none" w:sz="0" w:space="0" w:color="auto"/>
      </w:divBdr>
    </w:div>
    <w:div w:id="740061849">
      <w:bodyDiv w:val="1"/>
      <w:marLeft w:val="0"/>
      <w:marRight w:val="0"/>
      <w:marTop w:val="0"/>
      <w:marBottom w:val="0"/>
      <w:divBdr>
        <w:top w:val="none" w:sz="0" w:space="0" w:color="auto"/>
        <w:left w:val="none" w:sz="0" w:space="0" w:color="auto"/>
        <w:bottom w:val="none" w:sz="0" w:space="0" w:color="auto"/>
        <w:right w:val="none" w:sz="0" w:space="0" w:color="auto"/>
      </w:divBdr>
    </w:div>
    <w:div w:id="982000016">
      <w:bodyDiv w:val="1"/>
      <w:marLeft w:val="0"/>
      <w:marRight w:val="0"/>
      <w:marTop w:val="0"/>
      <w:marBottom w:val="0"/>
      <w:divBdr>
        <w:top w:val="none" w:sz="0" w:space="0" w:color="auto"/>
        <w:left w:val="none" w:sz="0" w:space="0" w:color="auto"/>
        <w:bottom w:val="none" w:sz="0" w:space="0" w:color="auto"/>
        <w:right w:val="none" w:sz="0" w:space="0" w:color="auto"/>
      </w:divBdr>
      <w:divsChild>
        <w:div w:id="1234780856">
          <w:marLeft w:val="0"/>
          <w:marRight w:val="0"/>
          <w:marTop w:val="0"/>
          <w:marBottom w:val="0"/>
          <w:divBdr>
            <w:top w:val="none" w:sz="0" w:space="0" w:color="auto"/>
            <w:left w:val="none" w:sz="0" w:space="0" w:color="auto"/>
            <w:bottom w:val="none" w:sz="0" w:space="0" w:color="auto"/>
            <w:right w:val="none" w:sz="0" w:space="0" w:color="auto"/>
          </w:divBdr>
          <w:divsChild>
            <w:div w:id="275187121">
              <w:marLeft w:val="0"/>
              <w:marRight w:val="0"/>
              <w:marTop w:val="0"/>
              <w:marBottom w:val="0"/>
              <w:divBdr>
                <w:top w:val="none" w:sz="0" w:space="0" w:color="auto"/>
                <w:left w:val="none" w:sz="0" w:space="0" w:color="auto"/>
                <w:bottom w:val="none" w:sz="0" w:space="0" w:color="auto"/>
                <w:right w:val="none" w:sz="0" w:space="0" w:color="auto"/>
              </w:divBdr>
              <w:divsChild>
                <w:div w:id="1193035488">
                  <w:marLeft w:val="0"/>
                  <w:marRight w:val="0"/>
                  <w:marTop w:val="0"/>
                  <w:marBottom w:val="0"/>
                  <w:divBdr>
                    <w:top w:val="none" w:sz="0" w:space="0" w:color="auto"/>
                    <w:left w:val="none" w:sz="0" w:space="0" w:color="auto"/>
                    <w:bottom w:val="none" w:sz="0" w:space="0" w:color="auto"/>
                    <w:right w:val="none" w:sz="0" w:space="0" w:color="auto"/>
                  </w:divBdr>
                </w:div>
              </w:divsChild>
            </w:div>
            <w:div w:id="1989898163">
              <w:marLeft w:val="0"/>
              <w:marRight w:val="0"/>
              <w:marTop w:val="0"/>
              <w:marBottom w:val="0"/>
              <w:divBdr>
                <w:top w:val="none" w:sz="0" w:space="0" w:color="auto"/>
                <w:left w:val="none" w:sz="0" w:space="0" w:color="auto"/>
                <w:bottom w:val="none" w:sz="0" w:space="0" w:color="auto"/>
                <w:right w:val="none" w:sz="0" w:space="0" w:color="auto"/>
              </w:divBdr>
              <w:divsChild>
                <w:div w:id="1482307290">
                  <w:marLeft w:val="0"/>
                  <w:marRight w:val="0"/>
                  <w:marTop w:val="0"/>
                  <w:marBottom w:val="0"/>
                  <w:divBdr>
                    <w:top w:val="none" w:sz="0" w:space="0" w:color="auto"/>
                    <w:left w:val="none" w:sz="0" w:space="0" w:color="auto"/>
                    <w:bottom w:val="none" w:sz="0" w:space="0" w:color="auto"/>
                    <w:right w:val="none" w:sz="0" w:space="0" w:color="auto"/>
                  </w:divBdr>
                </w:div>
                <w:div w:id="1410426313">
                  <w:marLeft w:val="0"/>
                  <w:marRight w:val="0"/>
                  <w:marTop w:val="0"/>
                  <w:marBottom w:val="0"/>
                  <w:divBdr>
                    <w:top w:val="none" w:sz="0" w:space="0" w:color="auto"/>
                    <w:left w:val="none" w:sz="0" w:space="0" w:color="auto"/>
                    <w:bottom w:val="none" w:sz="0" w:space="0" w:color="auto"/>
                    <w:right w:val="none" w:sz="0" w:space="0" w:color="auto"/>
                  </w:divBdr>
                </w:div>
              </w:divsChild>
            </w:div>
            <w:div w:id="985166610">
              <w:marLeft w:val="0"/>
              <w:marRight w:val="0"/>
              <w:marTop w:val="0"/>
              <w:marBottom w:val="0"/>
              <w:divBdr>
                <w:top w:val="none" w:sz="0" w:space="0" w:color="auto"/>
                <w:left w:val="none" w:sz="0" w:space="0" w:color="auto"/>
                <w:bottom w:val="none" w:sz="0" w:space="0" w:color="auto"/>
                <w:right w:val="none" w:sz="0" w:space="0" w:color="auto"/>
              </w:divBdr>
              <w:divsChild>
                <w:div w:id="1113668173">
                  <w:marLeft w:val="0"/>
                  <w:marRight w:val="0"/>
                  <w:marTop w:val="0"/>
                  <w:marBottom w:val="0"/>
                  <w:divBdr>
                    <w:top w:val="none" w:sz="0" w:space="0" w:color="auto"/>
                    <w:left w:val="none" w:sz="0" w:space="0" w:color="auto"/>
                    <w:bottom w:val="none" w:sz="0" w:space="0" w:color="auto"/>
                    <w:right w:val="none" w:sz="0" w:space="0" w:color="auto"/>
                  </w:divBdr>
                </w:div>
              </w:divsChild>
            </w:div>
            <w:div w:id="892883986">
              <w:marLeft w:val="0"/>
              <w:marRight w:val="0"/>
              <w:marTop w:val="0"/>
              <w:marBottom w:val="0"/>
              <w:divBdr>
                <w:top w:val="none" w:sz="0" w:space="0" w:color="auto"/>
                <w:left w:val="none" w:sz="0" w:space="0" w:color="auto"/>
                <w:bottom w:val="none" w:sz="0" w:space="0" w:color="auto"/>
                <w:right w:val="none" w:sz="0" w:space="0" w:color="auto"/>
              </w:divBdr>
              <w:divsChild>
                <w:div w:id="4379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40550">
      <w:bodyDiv w:val="1"/>
      <w:marLeft w:val="0"/>
      <w:marRight w:val="0"/>
      <w:marTop w:val="0"/>
      <w:marBottom w:val="0"/>
      <w:divBdr>
        <w:top w:val="none" w:sz="0" w:space="0" w:color="auto"/>
        <w:left w:val="none" w:sz="0" w:space="0" w:color="auto"/>
        <w:bottom w:val="none" w:sz="0" w:space="0" w:color="auto"/>
        <w:right w:val="none" w:sz="0" w:space="0" w:color="auto"/>
      </w:divBdr>
      <w:divsChild>
        <w:div w:id="1520661417">
          <w:marLeft w:val="0"/>
          <w:marRight w:val="0"/>
          <w:marTop w:val="0"/>
          <w:marBottom w:val="0"/>
          <w:divBdr>
            <w:top w:val="none" w:sz="0" w:space="0" w:color="auto"/>
            <w:left w:val="none" w:sz="0" w:space="0" w:color="auto"/>
            <w:bottom w:val="none" w:sz="0" w:space="0" w:color="auto"/>
            <w:right w:val="none" w:sz="0" w:space="0" w:color="auto"/>
          </w:divBdr>
          <w:divsChild>
            <w:div w:id="569728392">
              <w:marLeft w:val="0"/>
              <w:marRight w:val="0"/>
              <w:marTop w:val="0"/>
              <w:marBottom w:val="0"/>
              <w:divBdr>
                <w:top w:val="none" w:sz="0" w:space="0" w:color="auto"/>
                <w:left w:val="none" w:sz="0" w:space="0" w:color="auto"/>
                <w:bottom w:val="none" w:sz="0" w:space="0" w:color="auto"/>
                <w:right w:val="none" w:sz="0" w:space="0" w:color="auto"/>
              </w:divBdr>
              <w:divsChild>
                <w:div w:id="8761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3252">
      <w:bodyDiv w:val="1"/>
      <w:marLeft w:val="0"/>
      <w:marRight w:val="0"/>
      <w:marTop w:val="0"/>
      <w:marBottom w:val="0"/>
      <w:divBdr>
        <w:top w:val="none" w:sz="0" w:space="0" w:color="auto"/>
        <w:left w:val="none" w:sz="0" w:space="0" w:color="auto"/>
        <w:bottom w:val="none" w:sz="0" w:space="0" w:color="auto"/>
        <w:right w:val="none" w:sz="0" w:space="0" w:color="auto"/>
      </w:divBdr>
      <w:divsChild>
        <w:div w:id="331421787">
          <w:marLeft w:val="0"/>
          <w:marRight w:val="0"/>
          <w:marTop w:val="0"/>
          <w:marBottom w:val="360"/>
          <w:divBdr>
            <w:top w:val="none" w:sz="0" w:space="0" w:color="auto"/>
            <w:left w:val="none" w:sz="0" w:space="0" w:color="auto"/>
            <w:bottom w:val="none" w:sz="0" w:space="0" w:color="auto"/>
            <w:right w:val="none" w:sz="0" w:space="0" w:color="auto"/>
          </w:divBdr>
        </w:div>
      </w:divsChild>
    </w:div>
    <w:div w:id="20425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37BC25-3037-F448-964B-BE799ADB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2022-04-03T15:30:00Z</dcterms:created>
  <dcterms:modified xsi:type="dcterms:W3CDTF">2022-08-29T23:55:00Z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65c93603-196a-3c1a-9758-c7b69bd09677</vt:lpwstr>
  </property>
  <property fmtid="{D5CDD505-2E9C-101B-9397-08002B2CF9AE}" pid="24" name="Mendeley Citation Style_1">
    <vt:lpwstr>http://www.zotero.org/styles/american-medical-association</vt:lpwstr>
  </property>
</Properties>
</file>