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reusable-footnotes</w:t>
      </w:r>
    </w:p>
    <w:p>
      <w:pPr>
        <w:pStyle w:val="Subtitle"/>
      </w:pPr>
      <w:r>
        <w:t xml:space="preserve">Notas</w:t>
      </w:r>
      <w:r>
        <w:t xml:space="preserve"> </w:t>
      </w:r>
      <w:r>
        <w:t xml:space="preserve">de</w:t>
      </w:r>
      <w:r>
        <w:t xml:space="preserve"> </w:t>
      </w:r>
      <w:r>
        <w:t xml:space="preserve">rodapé</w:t>
      </w:r>
      <w:r>
        <w:t xml:space="preserve"> </w:t>
      </w:r>
      <w:r>
        <w:t xml:space="preserve">reutilizáveis</w:t>
      </w:r>
      <w:r>
        <w:t xml:space="preserve"> </w:t>
      </w:r>
      <w:r>
        <w:t xml:space="preserve">para</w:t>
      </w:r>
      <w:r>
        <w:t xml:space="preserve"> </w:t>
      </w:r>
      <w:r>
        <w:t xml:space="preserve">Quarto</w:t>
      </w:r>
    </w:p>
    <w:p>
      <w:pPr>
        <w:pStyle w:val="Author"/>
      </w:pPr>
      <w:r>
        <w:t xml:space="preserve">Lucas</w:t>
      </w:r>
      <w:r>
        <w:t xml:space="preserve"> </w:t>
      </w:r>
      <w:r>
        <w:t xml:space="preserve">Sá</w:t>
      </w:r>
      <w:r>
        <w:t xml:space="preserve"> </w:t>
      </w:r>
      <w:r>
        <w:t xml:space="preserve">Barreto</w:t>
      </w:r>
      <w:r>
        <w:t xml:space="preserve"> </w:t>
      </w:r>
      <w:r>
        <w:t xml:space="preserve">Jordão</w:t>
      </w:r>
    </w:p>
    <w:p>
      <w:pPr>
        <w:pStyle w:val="Date"/>
      </w:pPr>
      <w:r>
        <w:t xml:space="preserve">2026-09-21</w:t>
      </w:r>
    </w:p>
    <w:bookmarkStart w:id="20" w:name="ideia"/>
    <w:p>
      <w:pPr>
        <w:pStyle w:val="Heading1"/>
      </w:pPr>
      <w:r>
        <w:t xml:space="preserve">Ideia</w:t>
      </w:r>
    </w:p>
    <w:p>
      <w:pPr>
        <w:pStyle w:val="FirstParagraph"/>
      </w:pPr>
      <w:r>
        <w:rPr>
          <w:rStyle w:val="VerbatimChar"/>
        </w:rPr>
        <w:t xml:space="preserve">reusable-footnotes</w:t>
      </w:r>
      <w:r>
        <w:t xml:space="preserve"> </w:t>
      </w:r>
      <w:r>
        <w:t xml:space="preserve">mantém a sintaxe normal de notas de rodapé do</w:t>
      </w:r>
      <w:r>
        <w:t xml:space="preserve"> </w:t>
      </w:r>
      <w:r>
        <w:t xml:space="preserve">Quarto/Pandoc. Quando</w:t>
      </w:r>
      <w:r>
        <w:t xml:space="preserve"> </w:t>
      </w:r>
      <w:r>
        <w:rPr>
          <w:b/>
          <w:bCs/>
        </w:rPr>
        <w:t xml:space="preserve">duas ou mais notas têm exatamente o mesmo conteúdo</w:t>
      </w:r>
      <w:r>
        <w:t xml:space="preserve">,</w:t>
      </w:r>
      <w:r>
        <w:t xml:space="preserve"> </w:t>
      </w:r>
      <w:r>
        <w:t xml:space="preserve">as ocorrências posteriores remetem ao mesmo número em vez de criarem uma nova</w:t>
      </w:r>
      <w:r>
        <w:t xml:space="preserve"> </w:t>
      </w:r>
      <w:r>
        <w:t xml:space="preserve">nota.</w:t>
      </w:r>
    </w:p>
    <w:p>
      <w:pPr>
        <w:pStyle w:val="BodyText"/>
      </w:pPr>
      <w:r>
        <w:t xml:space="preserve">No HTML, os retornos aparecem da forma mais discreta possível: uma pequena</w:t>
      </w:r>
      <w:r>
        <w:t xml:space="preserve"> </w:t>
      </w:r>
      <w:r>
        <w:t xml:space="preserve">seta de retorno para cada ocorrência. Em um book ou website, cada arquivo/página HTML é renderizado separadamente;</w:t>
      </w:r>
      <w:r>
        <w:t xml:space="preserve"> </w:t>
      </w:r>
      <w:r>
        <w:t xml:space="preserve">por isso a numeração e a reutilização recomeçam naturalmente em outra página.</w:t>
      </w:r>
    </w:p>
    <w:bookmarkEnd w:id="20"/>
    <w:bookmarkStart w:id="24" w:name="nota-inline-..."/>
    <w:p>
      <w:pPr>
        <w:pStyle w:val="Heading1"/>
      </w:pPr>
      <w:r>
        <w:t xml:space="preserve">1. Nota inline</w:t>
      </w:r>
      <w:r>
        <w:t xml:space="preserve"> </w:t>
      </w:r>
      <w:r>
        <w:rPr>
          <w:rStyle w:val="VerbatimChar"/>
        </w:rPr>
        <w:t xml:space="preserve">^[...]</w:t>
      </w:r>
    </w:p>
    <w:p>
      <w:pPr>
        <w:pStyle w:val="FirstParagraph"/>
      </w:pPr>
      <w:r>
        <w:t xml:space="preserve">A primeira afirmação usa uma nota inline.</w:t>
      </w:r>
      <w:r>
        <w:rPr>
          <w:rStyle w:val="FootnoteReference"/>
        </w:rPr>
        <w:footnoteReference w:id="21"/>
      </w:r>
    </w:p>
    <w:p>
      <w:pPr>
        <w:pStyle w:val="BodyText"/>
      </w:pPr>
      <w:r>
        <w:t xml:space="preserve">Alguns parágrafos depois, o mesmo conteúdo volta a ser citado.</w:t>
      </w:r>
      <w:hyperlink w:anchor="rfn_note_1" w:history="1">
        <w:r>
          <w:rPr>
            <w:rStyle w:val="FootnoteReference"/>
          </w:rPr>
          <w:t>1</w:t>
        </w:r>
      </w:hyperlink>
    </w:p>
    <w:p>
      <w:pPr>
        <w:pStyle w:val="BodyText"/>
      </w:pPr>
      <w:r>
        <w:t xml:space="preserve">E uma terceira ocorrência continua remetendo à mesma nota.</w:t>
      </w:r>
      <w:hyperlink w:anchor="rfn_note_1" w:history="1">
        <w:r>
          <w:rPr>
            <w:rStyle w:val="FootnoteReference"/>
          </w:rPr>
          <w:t>1</w:t>
        </w:r>
      </w:hyperlink>
    </w:p>
    <w:p>
      <w:pPr>
        <w:pStyle w:val="SourceCode"/>
      </w:pPr>
      <w:r>
        <w:rPr>
          <w:rStyle w:val="NormalTok"/>
        </w:rPr>
        <w:t xml:space="preserve">A primeira afirmação.^</w:t>
      </w:r>
      <w:r>
        <w:rPr>
          <w:rStyle w:val="CommentTok"/>
        </w:rPr>
        <w:t xml:space="preserve">[</w:t>
      </w:r>
      <w:r>
        <w:rPr>
          <w:rStyle w:val="OtherTok"/>
        </w:rPr>
        <w:t xml:space="preserve">Flora e Funga do Brasil. Jardim Botânico do Rio de Janeiro, 2026.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Outra afirmação.^</w:t>
      </w:r>
      <w:r>
        <w:rPr>
          <w:rStyle w:val="CommentTok"/>
        </w:rPr>
        <w:t xml:space="preserve">[</w:t>
      </w:r>
      <w:r>
        <w:rPr>
          <w:rStyle w:val="OtherTok"/>
        </w:rPr>
        <w:t xml:space="preserve">Flora e Funga do Brasil. Jardim Botânico do Rio de Janeiro, 2026.</w:t>
      </w:r>
      <w:r>
        <w:rPr>
          <w:rStyle w:val="CommentTok"/>
        </w:rPr>
        <w:t xml:space="preserve">]</w:t>
      </w:r>
    </w:p>
    <w:bookmarkEnd w:id="24"/>
    <w:bookmarkStart w:id="28" w:name="nota-nomeada-id"/>
    <w:p>
      <w:pPr>
        <w:pStyle w:val="Heading1"/>
      </w:pPr>
      <w:r>
        <w:t xml:space="preserve">2. Nota nomeada</w:t>
      </w:r>
      <w:r>
        <w:t xml:space="preserve"> </w:t>
      </w:r>
      <w:r>
        <w:rPr>
          <w:rStyle w:val="VerbatimChar"/>
        </w:rPr>
        <w:t xml:space="preserve">[^id]</w:t>
      </w:r>
    </w:p>
    <w:p>
      <w:pPr>
        <w:pStyle w:val="FirstParagraph"/>
      </w:pPr>
      <w:r>
        <w:t xml:space="preserve">A sintaxe nomeada continua funcionando normalmente.</w:t>
      </w:r>
      <w:r>
        <w:rPr>
          <w:rStyle w:val="FootnoteReference"/>
        </w:rPr>
        <w:footnoteReference w:id="25"/>
      </w:r>
    </w:p>
    <w:p>
      <w:pPr>
        <w:pStyle w:val="BodyText"/>
      </w:pPr>
      <w:r>
        <w:t xml:space="preserve">A mesma nota pode ser chamada novamente no texto.</w:t>
      </w:r>
      <w:hyperlink w:anchor="rfn_note_2" w:history="1">
        <w:r>
          <w:rPr>
            <w:rStyle w:val="FootnoteReference"/>
          </w:rPr>
          <w:t>2</w:t>
        </w:r>
      </w:hyperlink>
    </w:p>
    <w:p>
      <w:pPr>
        <w:pStyle w:val="BodyText"/>
      </w:pPr>
      <w:r>
        <w:t xml:space="preserve">E novamente, sem repetir o conteúdo no rodapé.</w:t>
      </w:r>
      <w:hyperlink w:anchor="rfn_note_2" w:history="1">
        <w:r>
          <w:rPr>
            <w:rStyle w:val="FootnoteReference"/>
          </w:rPr>
          <w:t>2</w:t>
        </w:r>
      </w:hyperlink>
    </w:p>
    <w:p>
      <w:pPr>
        <w:pStyle w:val="SourceCode"/>
      </w:pPr>
      <w:r>
        <w:rPr>
          <w:rStyle w:val="NormalTok"/>
        </w:rPr>
        <w:t xml:space="preserve">Texto A.</w:t>
      </w:r>
      <w:r>
        <w:rPr>
          <w:rStyle w:val="OtherTok"/>
        </w:rPr>
        <w:t xml:space="preserve">[^mapbiomas]</w:t>
      </w:r>
      <w:r>
        <w:br/>
      </w:r>
      <w:r>
        <w:br/>
      </w:r>
      <w:r>
        <w:rPr>
          <w:rStyle w:val="NormalTok"/>
        </w:rPr>
        <w:t xml:space="preserve">Texto B.</w:t>
      </w:r>
      <w:r>
        <w:rPr>
          <w:rStyle w:val="OtherTok"/>
        </w:rPr>
        <w:t xml:space="preserve">[^mapbiomas]</w:t>
      </w:r>
      <w:r>
        <w:br/>
      </w:r>
      <w:r>
        <w:br/>
      </w:r>
      <w:r>
        <w:rPr>
          <w:rStyle w:val="OtherTok"/>
        </w:rPr>
        <w:t xml:space="preserve">[^mapbiomas]: </w:t>
      </w:r>
      <w:r>
        <w:rPr>
          <w:rStyle w:val="NormalTok"/>
        </w:rPr>
        <w:t xml:space="preserve">MAPBIOMAS. Coleção de mapas anuais de cobertura e uso da terra do Brasil. 2026.</w:t>
      </w:r>
    </w:p>
    <w:bookmarkEnd w:id="28"/>
    <w:bookmarkStart w:id="33" w:name="notas-diferentes-intercaladas"/>
    <w:p>
      <w:pPr>
        <w:pStyle w:val="Heading1"/>
      </w:pPr>
      <w:r>
        <w:t xml:space="preserve">3. Notas diferentes intercaladas</w:t>
      </w:r>
    </w:p>
    <w:p>
      <w:pPr>
        <w:pStyle w:val="FirstParagraph"/>
      </w:pPr>
      <w:r>
        <w:t xml:space="preserve">Uma fonte pode aparecer primeiro.</w:t>
      </w:r>
      <w:r>
        <w:rPr>
          <w:rStyle w:val="FootnoteReference"/>
        </w:rPr>
        <w:footnoteReference w:id="29"/>
      </w:r>
    </w:p>
    <w:p>
      <w:pPr>
        <w:pStyle w:val="BodyText"/>
      </w:pPr>
      <w:r>
        <w:t xml:space="preserve">Uma segunda nota, com conteúdo diferente, recebe outro número.</w:t>
      </w:r>
      <w:r>
        <w:rPr>
          <w:rStyle w:val="FootnoteReference"/>
        </w:rPr>
        <w:footnoteReference w:id="30"/>
      </w:r>
    </w:p>
    <w:p>
      <w:pPr>
        <w:pStyle w:val="BodyText"/>
      </w:pPr>
      <w:r>
        <w:t xml:space="preserve">A fonte IUCN reaparece e recupera o número da primeira ocorrência.</w:t>
      </w:r>
      <w:hyperlink w:anchor="rfn_note_3" w:history="1">
        <w:r>
          <w:rPr>
            <w:rStyle w:val="FootnoteReference"/>
          </w:rPr>
          <w:t>3</w:t>
        </w:r>
      </w:hyperlink>
    </w:p>
    <w:p>
      <w:pPr>
        <w:pStyle w:val="BodyText"/>
      </w:pPr>
      <w:r>
        <w:t xml:space="preserve">A nota metodológica também pode reaparecer com o número que já recebeu.</w:t>
      </w:r>
      <w:hyperlink w:anchor="rfn_note_4" w:history="1">
        <w:r>
          <w:rPr>
            <w:rStyle w:val="FootnoteReference"/>
          </w:rPr>
          <w:t>4</w:t>
        </w:r>
      </w:hyperlink>
    </w:p>
    <w:bookmarkEnd w:id="33"/>
    <w:bookmarkStart w:id="37" w:name="conteúdo-rico"/>
    <w:p>
      <w:pPr>
        <w:pStyle w:val="Heading1"/>
      </w:pPr>
      <w:r>
        <w:t xml:space="preserve">4. Conteúdo rico</w:t>
      </w:r>
    </w:p>
    <w:p>
      <w:pPr>
        <w:pStyle w:val="FirstParagraph"/>
      </w:pPr>
      <w:r>
        <w:t xml:space="preserve">Notas com</w:t>
      </w:r>
      <w:r>
        <w:t xml:space="preserve"> </w:t>
      </w:r>
      <w:r>
        <w:rPr>
          <w:b/>
          <w:bCs/>
        </w:rPr>
        <w:t xml:space="preserve">ênfase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código</w:t>
      </w:r>
      <w:r>
        <w:t xml:space="preserve"> </w:t>
      </w:r>
      <w:r>
        <w:t xml:space="preserve">e links também podem ser reutilizadas.</w:t>
      </w:r>
      <w:r>
        <w:rPr>
          <w:rStyle w:val="FootnoteReference"/>
        </w:rPr>
        <w:footnoteReference w:id="34"/>
      </w:r>
    </w:p>
    <w:p>
      <w:pPr>
        <w:pStyle w:val="BodyText"/>
      </w:pPr>
      <w:r>
        <w:t xml:space="preserve">O conteúdo rico idêntico continua sendo reconhecido.</w:t>
      </w:r>
      <w:hyperlink w:anchor="rfn_note_5" w:history="1">
        <w:r>
          <w:rPr>
            <w:rStyle w:val="FootnoteReference"/>
          </w:rPr>
          <w:t>5</w:t>
        </w:r>
      </w:hyperlink>
    </w:p>
    <w:bookmarkEnd w:id="37"/>
    <w:bookmarkStart w:id="40" w:name="nota-com-vários-parágrafos"/>
    <w:p>
      <w:pPr>
        <w:pStyle w:val="Heading1"/>
      </w:pPr>
      <w:r>
        <w:t xml:space="preserve">5. Nota com vários parágrafos</w:t>
      </w:r>
    </w:p>
    <w:p>
      <w:pPr>
        <w:pStyle w:val="FirstParagraph"/>
      </w:pPr>
      <w:r>
        <w:t xml:space="preserve">Uma nota nomeada pode conter mais de um parágrafo.</w:t>
      </w:r>
      <w:r>
        <w:rPr>
          <w:rStyle w:val="FootnoteReference"/>
        </w:rPr>
        <w:footnoteReference w:id="38"/>
      </w:r>
    </w:p>
    <w:p>
      <w:pPr>
        <w:pStyle w:val="BodyText"/>
      </w:pPr>
      <w:r>
        <w:t xml:space="preserve">Depois ela pode ser chamada novamente.</w:t>
      </w:r>
      <w:hyperlink w:anchor="rfn_note_6" w:history="1">
        <w:r>
          <w:rPr>
            <w:rStyle w:val="FootnoteReference"/>
          </w:rPr>
          <w:t>6</w:t>
        </w:r>
      </w:hyperlink>
    </w:p>
    <w:bookmarkEnd w:id="40"/>
    <w:bookmarkStart w:id="43" w:name="correspondência-é-exata"/>
    <w:p>
      <w:pPr>
        <w:pStyle w:val="Heading1"/>
      </w:pPr>
      <w:r>
        <w:t xml:space="preserve">6. Correspondência é exata</w:t>
      </w:r>
    </w:p>
    <w:p>
      <w:pPr>
        <w:pStyle w:val="FirstParagraph"/>
      </w:pPr>
      <w:r>
        <w:t xml:space="preserve">Estas duas notas são diferentes porque o conteúdo não é exatamente o mesmo.</w:t>
      </w:r>
      <w:r>
        <w:rPr>
          <w:rStyle w:val="FootnoteReference"/>
        </w:rPr>
        <w:footnoteReference w:id="41"/>
      </w:r>
    </w:p>
    <w:p>
      <w:pPr>
        <w:pStyle w:val="BodyText"/>
      </w:pPr>
      <w:r>
        <w:t xml:space="preserve">Esta recebe outro número.</w:t>
      </w:r>
      <w:r>
        <w:rPr>
          <w:rStyle w:val="FootnoteReference"/>
        </w:rPr>
        <w:footnoteReference w:id="42"/>
      </w:r>
    </w:p>
    <w:p>
      <w:pPr>
        <w:pStyle w:val="BodyText"/>
      </w:pPr>
      <w:r>
        <w:t xml:space="preserve">Isso é intencional: a extensão não tenta inferir que textos parecidos se</w:t>
      </w:r>
      <w:r>
        <w:t xml:space="preserve"> </w:t>
      </w:r>
      <w:r>
        <w:t xml:space="preserve">referem à mesma fonte.</w:t>
      </w:r>
    </w:p>
    <w:bookmarkEnd w:id="43"/>
    <w:bookmarkStart w:id="46" w:name="mistura-de-formas"/>
    <w:p>
      <w:pPr>
        <w:pStyle w:val="Heading1"/>
      </w:pPr>
      <w:r>
        <w:t xml:space="preserve">7. Mistura de formas</w:t>
      </w:r>
    </w:p>
    <w:p>
      <w:pPr>
        <w:pStyle w:val="FirstParagraph"/>
      </w:pPr>
      <w:r>
        <w:t xml:space="preserve">O mecanismo não depende de a nota original ter sido escrita inline ou com um</w:t>
      </w:r>
      <w:r>
        <w:t xml:space="preserve"> </w:t>
      </w:r>
      <w:r>
        <w:t xml:space="preserve">identificador. Pandoc transforma ambas em nós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 a extensão compara o</w:t>
      </w:r>
      <w:r>
        <w:t xml:space="preserve"> </w:t>
      </w:r>
      <w:r>
        <w:t xml:space="preserve">conteúdo resultante.</w:t>
      </w:r>
    </w:p>
    <w:p>
      <w:pPr>
        <w:pStyle w:val="BodyText"/>
      </w:pPr>
      <w:r>
        <w:t xml:space="preserve">Uma nota inline aparece aqui.</w:t>
      </w:r>
      <w:r>
        <w:rPr>
          <w:rStyle w:val="FootnoteReference"/>
        </w:rPr>
        <w:footnoteReference w:id="44"/>
      </w:r>
    </w:p>
    <w:p>
      <w:pPr>
        <w:pStyle w:val="BodyText"/>
      </w:pPr>
      <w:r>
        <w:t xml:space="preserve">A mesma frase pode ser definida como nota nomeada e reutilizada abaixo.</w:t>
      </w:r>
      <w:hyperlink w:anchor="rfn_note_9" w:history="1">
        <w:r>
          <w:rPr>
            <w:rStyle w:val="FootnoteReference"/>
          </w:rPr>
          <w:t>9</w:t>
        </w:r>
      </w:hyperlink>
    </w:p>
    <w:bookmarkEnd w:id="46"/>
    <w:bookmarkStart w:id="47" w:name="comportamento-por-formato"/>
    <w:p>
      <w:pPr>
        <w:pStyle w:val="Heading1"/>
      </w:pPr>
      <w:r>
        <w:t xml:space="preserve">Comportamento por formato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Rodapé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número e link para a nota 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nota; retorno discreto por ocorrência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número sem criar uma segunda nota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nota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número em sobrescrito, com hiperlink interno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nota real após o pós-processamento</w:t>
            </w:r>
          </w:p>
        </w:tc>
      </w:tr>
    </w:tbl>
    <w:p>
      <w:pPr>
        <w:pStyle w:val="BodyText"/>
      </w:pPr>
      <w:r>
        <w:t xml:space="preserve">No HTML de um website/book, a unidade natural é a página renderizada. Assim,</w:t>
      </w:r>
      <w:r>
        <w:t xml:space="preserve"> </w:t>
      </w:r>
      <w:r>
        <w:t xml:space="preserve">a mesma nota usada em outro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recebe a numeração apropriada daquela nova</w:t>
      </w:r>
      <w:r>
        <w:t xml:space="preserve"> </w:t>
      </w:r>
      <w:r>
        <w:t xml:space="preserve">página. Em saídas monolíticas, como PDF e DOCX, o escopo é o documento</w:t>
      </w:r>
      <w:r>
        <w:t xml:space="preserve"> </w:t>
      </w:r>
      <w:r>
        <w:t xml:space="preserve">renderizado.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r="http://schemas.openxmlformats.org/officeDocument/2006/relationships" xmlns:w="http://schemas.openxmlformats.org/wordprocessingml/2006/main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bookmarkStart w:id="900001" w:name="rfn_note_1"/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Flora e Funga do Brasil. Jardim</w:t>
      </w:r>
      <w:r>
        <w:t xml:space="preserve"> </w:t>
      </w:r>
      <w:r>
        <w:t xml:space="preserve">Botânico do Rio de Janeiro, 2026.</w:t>
      </w:r>
      <w:bookmarkEnd w:id="900001"/>
    </w:p>
  </w:footnote>
  <w:footnote w:id="25">
    <w:p>
      <w:bookmarkStart w:id="900002" w:name="rfn_note_2"/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MAPBIOMAS. Coleção de mapas anuais de cobertura e uso da terra do Brasil. 2026.</w:t>
      </w:r>
      <w:bookmarkEnd w:id="900002"/>
    </w:p>
  </w:footnote>
  <w:footnote w:id="29">
    <w:p>
      <w:bookmarkStart w:id="900003" w:name="rfn_note_3"/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IUCN.</w:t>
      </w:r>
      <w:r>
        <w:t xml:space="preserve"> </w:t>
      </w:r>
      <w:r>
        <w:rPr>
          <w:i/>
          <w:iCs/>
        </w:rPr>
        <w:t xml:space="preserve">Guidelines for Using the IUCN Red</w:t>
      </w:r>
      <w:r>
        <w:rPr>
          <w:i/>
          <w:iCs/>
        </w:rPr>
        <w:t xml:space="preserve"> </w:t>
      </w:r>
      <w:r>
        <w:rPr>
          <w:i/>
          <w:iCs/>
        </w:rPr>
        <w:t xml:space="preserve">List Categories and Criteria</w:t>
      </w:r>
      <w:r>
        <w:t xml:space="preserve">. Version 16, 2024.</w:t>
      </w:r>
      <w:bookmarkEnd w:id="900003"/>
    </w:p>
  </w:footnote>
  <w:footnote w:id="30">
    <w:p>
      <w:bookmarkStart w:id="900004" w:name="rfn_note_4"/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Um comentário</w:t>
      </w:r>
      <w:r>
        <w:t xml:space="preserve"> </w:t>
      </w:r>
      <w:r>
        <w:t xml:space="preserve">metodológico independente, que deve permanecer como nota própria.</w:t>
      </w:r>
      <w:bookmarkEnd w:id="900004"/>
    </w:p>
  </w:footnote>
  <w:footnote w:id="34">
    <w:p>
      <w:bookmarkStart w:id="900005" w:name="rfn_note_5"/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Exemplo</w:t>
      </w:r>
      <w:r>
        <w:t xml:space="preserve"> </w:t>
      </w:r>
      <w:r>
        <w:t xml:space="preserve">com</w:t>
      </w:r>
      <w:r>
        <w:t xml:space="preserve"> </w:t>
      </w:r>
      <w:r>
        <w:rPr>
          <w:b/>
          <w:bCs/>
        </w:rPr>
        <w:t xml:space="preserve">negrito</w:t>
      </w:r>
      <w:r>
        <w:t xml:space="preserve">,</w:t>
      </w:r>
      <w:r>
        <w:t xml:space="preserve"> </w:t>
      </w:r>
      <w:r>
        <w:rPr>
          <w:rStyle w:val="VerbatimChar"/>
        </w:rPr>
        <w:t xml:space="preserve">código</w:t>
      </w:r>
      <w:r>
        <w:t xml:space="preserve"> </w:t>
      </w:r>
      <w:r>
        <w:t xml:space="preserve">e um link para</w:t>
      </w:r>
      <w:r>
        <w:t xml:space="preserve"> </w:t>
      </w:r>
      <w:hyperlink r:id="rId35">
        <w:r>
          <w:rPr>
            <w:rStyle w:val="Hyperlink"/>
          </w:rPr>
          <w:t xml:space="preserve">Quarto</w:t>
        </w:r>
      </w:hyperlink>
      <w:r>
        <w:t xml:space="preserve">.</w:t>
      </w:r>
      <w:bookmarkEnd w:id="900005"/>
    </w:p>
  </w:footnote>
  <w:footnote w:id="38">
    <w:p>
      <w:bookmarkStart w:id="900006" w:name="rfn_note_6"/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Primeiro parágrafo de uma nota mais longa.</w:t>
      </w:r>
      <w:bookmarkEnd w:id="900006"/>
    </w:p>
    <w:p>
      <w:pPr>
        <w:pStyle w:val="FootnoteText"/>
      </w:pPr>
      <w:r>
        <w:t xml:space="preserve">Segundo parágrafo da mesma nota. A estrutura completa participa da</w:t>
      </w:r>
      <w:r>
        <w:t xml:space="preserve"> </w:t>
      </w:r>
      <w:r>
        <w:t xml:space="preserve">comparação, portanto a reutilização não depende apenas do primeiro</w:t>
      </w:r>
      <w:r>
        <w:t xml:space="preserve"> </w:t>
      </w:r>
      <w:r>
        <w:t xml:space="preserve">parágrafo.</w:t>
      </w:r>
    </w:p>
  </w:footnote>
  <w:footnote w:id="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</w:t>
      </w:r>
      <w:r>
        <w:t xml:space="preserve"> </w:t>
      </w:r>
      <w:r>
        <w:t xml:space="preserve">fonte foi consultada em 2025.</w:t>
      </w:r>
    </w:p>
  </w:footnote>
  <w:footnote w:id="4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fonte foi consultada em 2026.</w:t>
      </w:r>
    </w:p>
  </w:footnote>
  <w:footnote w:id="44">
    <w:p>
      <w:bookmarkStart w:id="900007" w:name="rfn_note_9"/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Esta nota demonstra a correspondência entre</w:t>
      </w:r>
      <w:r>
        <w:t xml:space="preserve"> </w:t>
      </w:r>
      <w:r>
        <w:t xml:space="preserve">formas de autoria.</w:t>
      </w:r>
      <w:bookmarkEnd w:id="900007"/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reusable-footnotes</dc:title>
  <dc:creator>Lucas Sá Barreto Jordão</dc:creator>
  <cp:keywords/>
  <dcterms:created xsi:type="dcterms:W3CDTF">2026-09-22T00:40:36Z</dcterms:created>
  <dcterms:modified xsi:type="dcterms:W3CDTF">2026-09-22T00:40:36Z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2026-09-21</vt:lpwstr>
  </property>
  <property fmtid="{D5CDD505-2E9C-101B-9397-08002B2CF9AE}" pid="3" name="subtitle">
    <vt:lpwstr>Notas de rodapé reutilizáveis para Quarto</vt:lpwstr>
  </property>
</Properties>
</file>