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ECC26">
      <w:pPr>
        <w:rPr>
          <w:rFonts w:hint="default" w:eastAsia="黑体"/>
          <w:lang w:val="en-US" w:eastAsia="zh-CN"/>
        </w:rPr>
      </w:pPr>
      <w:bookmarkStart w:id="0" w:name="ch3"/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 xml:space="preserve">4 </w:t>
      </w:r>
      <w:bookmarkEnd w:id="0"/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齿轮与定轴轮系传动设计</w:t>
      </w:r>
    </w:p>
    <w:p w14:paraId="21E89606">
      <w:pPr>
        <w:pStyle w:val="3"/>
        <w:spacing w:before="180" w:after="180"/>
        <w:ind w:firstLine="0"/>
        <w:rPr>
          <w:rFonts w:hint="default" w:eastAsia="黑体"/>
          <w:lang w:val="en-US" w:eastAsia="zh-CN"/>
        </w:rPr>
      </w:pPr>
      <w:bookmarkStart w:id="1" w:name="ch3_1"/>
      <w:r>
        <w:rPr>
          <w:rFonts w:hint="eastAsia" w:cs="黑体"/>
          <w:b/>
          <w:bCs/>
          <w:sz w:val="28"/>
          <w:szCs w:val="28"/>
          <w:lang w:val="en-US" w:eastAsia="zh-CN"/>
        </w:rPr>
        <w:t>4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.1 </w:t>
      </w:r>
      <w:bookmarkEnd w:id="1"/>
      <w:r>
        <w:rPr>
          <w:rFonts w:hint="eastAsia" w:cs="黑体"/>
          <w:b/>
          <w:bCs/>
          <w:sz w:val="28"/>
          <w:szCs w:val="28"/>
          <w:lang w:val="en-US" w:eastAsia="zh-CN"/>
        </w:rPr>
        <w:t>电机输入与目标扑翼频率</w:t>
      </w:r>
    </w:p>
    <w:p w14:paraId="7CA9E254">
      <w:pPr>
        <w:spacing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驱动电机（微型空心杯直流电机）的额定转速约为29,400 RPM（490 rev/s），而扑翼飞行所需的工作频率为15~17 Hz。因此，需要在电机输出轴与曲柄轴之间配置减速器，将转速降低至目标范围。</w:t>
      </w:r>
      <w:r>
        <w:rPr>
          <w:rFonts w:hint="eastAsia" w:cs="宋体"/>
          <w:sz w:val="24"/>
          <w:szCs w:val="24"/>
          <w:lang w:val="en-US" w:eastAsia="zh-CN"/>
        </w:rPr>
        <w:t>基于此，</w:t>
      </w:r>
      <w:r>
        <w:rPr>
          <w:rFonts w:ascii="宋体" w:hAnsi="宋体" w:eastAsia="宋体" w:cs="宋体"/>
          <w:sz w:val="24"/>
          <w:szCs w:val="24"/>
        </w:rPr>
        <w:t>本设计采用两级定轴齿轮减速器方案，总传动比设计为|i|=32.65，减速后曲柄转速约为15 Hz。</w:t>
      </w:r>
      <w:r>
        <w:rPr>
          <w:rFonts w:hint="eastAsia" w:cs="宋体"/>
          <w:sz w:val="24"/>
          <w:szCs w:val="24"/>
          <w:lang w:val="en-US" w:eastAsia="zh-CN"/>
        </w:rPr>
        <w:t>如图4-1（a）</w:t>
      </w:r>
      <w:r>
        <w:rPr>
          <w:rFonts w:ascii="宋体" w:hAnsi="宋体" w:eastAsia="宋体" w:cs="宋体"/>
          <w:sz w:val="24"/>
          <w:szCs w:val="24"/>
        </w:rPr>
        <w:t>两级定轴齿轮减速器</w:t>
      </w:r>
      <w:r>
        <w:rPr>
          <w:rFonts w:hint="eastAsia" w:cs="宋体"/>
          <w:sz w:val="24"/>
          <w:szCs w:val="24"/>
          <w:lang w:val="en-US" w:eastAsia="zh-CN"/>
        </w:rPr>
        <w:t>模型，为方便后续计算减速器的传动比，我们将该模型转化为运动装置简图，如图4-1（b）所示。</w:t>
      </w:r>
    </w:p>
    <w:tbl>
      <w:tblPr>
        <w:tblStyle w:val="14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6"/>
        <w:gridCol w:w="4655"/>
      </w:tblGrid>
      <w:tr w14:paraId="7479D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2" w:type="pct"/>
            <w:vAlign w:val="center"/>
          </w:tcPr>
          <w:p w14:paraId="0A8FA126">
            <w:pPr>
              <w:spacing w:line="360" w:lineRule="auto"/>
              <w:jc w:val="center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668905" cy="1921510"/>
                  <wp:effectExtent l="0" t="0" r="10795" b="8890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1921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pct"/>
            <w:vAlign w:val="center"/>
          </w:tcPr>
          <w:p w14:paraId="18A977AE">
            <w:pPr>
              <w:spacing w:line="360" w:lineRule="auto"/>
              <w:jc w:val="center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827655" cy="2000885"/>
                  <wp:effectExtent l="0" t="0" r="4445" b="5715"/>
                  <wp:docPr id="9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655" cy="2000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537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vAlign w:val="center"/>
          </w:tcPr>
          <w:p w14:paraId="6721665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(a)</w:t>
            </w:r>
            <w:r>
              <w:rPr>
                <w:rFonts w:ascii="宋体" w:hAnsi="宋体" w:eastAsia="宋体" w:cs="宋体"/>
                <w:sz w:val="24"/>
                <w:szCs w:val="24"/>
              </w:rPr>
              <w:t>两级定轴齿轮减速器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模型</w:t>
            </w:r>
          </w:p>
        </w:tc>
      </w:tr>
      <w:tr w14:paraId="48F96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vAlign w:val="center"/>
          </w:tcPr>
          <w:p w14:paraId="0D60AC62">
            <w:pPr>
              <w:spacing w:line="360" w:lineRule="auto"/>
              <w:jc w:val="center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drawing>
                <wp:inline distT="0" distB="0" distL="0" distR="0">
                  <wp:extent cx="3754755" cy="3467735"/>
                  <wp:effectExtent l="0" t="0" r="4445" b="12065"/>
                  <wp:docPr id="3" name="图3-1" descr="图3-1" title="图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3-1" descr="图3-1" title="图3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755" cy="346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9B1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vAlign w:val="center"/>
          </w:tcPr>
          <w:p w14:paraId="374A05C6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(b)</w:t>
            </w:r>
            <w:r>
              <w:rPr>
                <w:rFonts w:ascii="宋体" w:hAnsi="宋体" w:eastAsia="宋体" w:cs="宋体"/>
                <w:sz w:val="24"/>
                <w:szCs w:val="24"/>
              </w:rPr>
              <w:t>两级定轴齿轮减速器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轮系简图</w:t>
            </w:r>
          </w:p>
        </w:tc>
      </w:tr>
    </w:tbl>
    <w:p w14:paraId="6FF4F1AE">
      <w:pPr>
        <w:pStyle w:val="8"/>
        <w:bidi w:val="0"/>
        <w:jc w:val="center"/>
      </w:pPr>
      <w:r>
        <w:rPr>
          <w:rFonts w:hint="eastAsia"/>
          <w:lang w:val="en-US" w:eastAsia="zh-CN"/>
        </w:rPr>
        <w:t xml:space="preserve">图4-1 </w:t>
      </w:r>
      <w:r>
        <w:t>两级定轴齿轮减速器</w:t>
      </w:r>
    </w:p>
    <w:p w14:paraId="1D52ED4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4.2齿轮参数与传动比</w:t>
      </w:r>
    </w:p>
    <w:p w14:paraId="24D948B8">
      <w:pPr>
        <w:spacing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为符合蝴蝶轻巧灵便的特性，并且为实现上一节的定比减速，我们选择</w:t>
      </w:r>
      <w:r>
        <w:rPr>
          <w:rFonts w:ascii="宋体" w:hAnsi="宋体" w:eastAsia="宋体" w:cs="宋体"/>
          <w:sz w:val="24"/>
          <w:szCs w:val="24"/>
        </w:rPr>
        <w:t>齿轮参数</w:t>
      </w:r>
      <w:r>
        <w:rPr>
          <w:rFonts w:hint="eastAsia" w:cs="宋体"/>
          <w:sz w:val="24"/>
          <w:szCs w:val="24"/>
          <w:lang w:val="en-US" w:eastAsia="zh-CN"/>
        </w:rPr>
        <w:t>如下</w:t>
      </w:r>
      <w:r>
        <w:rPr>
          <w:rFonts w:ascii="宋体" w:hAnsi="宋体" w:eastAsia="宋体" w:cs="宋体"/>
          <w:sz w:val="24"/>
          <w:szCs w:val="24"/>
        </w:rPr>
        <w:t>：模数m=0.3 mm，压力角α=20°，齿顶高系数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∗</m:t>
        </m:r>
      </m:oMath>
      <w:r>
        <w:rPr>
          <w:rFonts w:ascii="宋体" w:hAnsi="宋体" w:eastAsia="宋体" w:cs="宋体"/>
          <w:sz w:val="24"/>
          <w:szCs w:val="24"/>
        </w:rPr>
        <w:t>=1.0，顶隙系数c*=0.25。</w:t>
      </w:r>
    </w:p>
    <w:p w14:paraId="3A38852D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第一级：小齿轮z1=7，大齿轮z2=40，传动比i1=-40/7≈-5.714；</w:t>
      </w:r>
    </w:p>
    <w:p w14:paraId="33454DC8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第二级：小齿轮z2'=7，大齿轮z3=40，传动比i2=-40/7≈-5.714。</w:t>
      </w:r>
    </w:p>
    <w:p w14:paraId="46076599">
      <w:pPr>
        <w:spacing w:line="360" w:lineRule="auto"/>
        <w:rPr>
          <w:rFonts w:ascii="宋体" w:hAnsi="宋体" w:eastAsia="宋体" w:cs="宋体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Times New Roman"/>
              <w:sz w:val="22"/>
            </w:rPr>
            <m:t>i=</m:t>
          </m:r>
          <m:sSub>
            <m:sSubPr>
              <m:ctrlPr>
                <w:rPr>
                  <w:rFonts w:hint="default" w:ascii="Cambria Math" w:hAnsi="Cambria Math" w:eastAsia="Times New Roman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Times New Roman"/>
                  <w:sz w:val="22"/>
                </w:rPr>
                <m:t>i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Times New Roman"/>
                  <w:sz w:val="22"/>
                </w:rPr>
                <m:t>1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Times New Roman"/>
              <w:sz w:val="22"/>
            </w:rPr>
            <m:t>⋅</m:t>
          </m:r>
          <m:sSub>
            <m:sSubPr>
              <m:ctrlPr>
                <w:rPr>
                  <w:rFonts w:hint="default" w:ascii="Cambria Math" w:hAnsi="Cambria Math" w:eastAsia="Times New Roman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Times New Roman"/>
                  <w:sz w:val="22"/>
                </w:rPr>
                <m:t>i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Times New Roman"/>
                  <w:sz w:val="22"/>
                </w:rPr>
                <m:t>2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Times New Roman"/>
              <w:sz w:val="22"/>
            </w:rPr>
            <m:t>=</m:t>
          </m:r>
          <m:d>
            <m:dPr>
              <m:ctrlPr>
                <w:rPr>
                  <w:rFonts w:hint="default" w:ascii="Cambria Math" w:hAnsi="Cambria Math" w:eastAsia="Times New Roman"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 w:eastAsia="Times New Roman"/>
                  <w:sz w:val="22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Times New Roman"/>
                      <w:sz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Times New Roman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Times New Roman"/>
                          <w:sz w:val="22"/>
                        </w:rPr>
                        <m:t>z</m:t>
                      </m:r>
                      <m:ctrlPr>
                        <w:rPr>
                          <w:rFonts w:ascii="Cambria Math" w:hAnsi="Cambria Math" w:eastAsia="Times New Roman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Times New Roman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 w:eastAsia="Times New Roman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Times New Roman"/>
                      <w:sz w:val="22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Times New Roman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Times New Roman"/>
                          <w:sz w:val="22"/>
                        </w:rPr>
                        <m:t>z</m:t>
                      </m:r>
                      <m:ctrlPr>
                        <w:rPr>
                          <w:rFonts w:ascii="Cambria Math" w:hAnsi="Cambria Math" w:eastAsia="Times New Roman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Times New Roman"/>
                          <w:sz w:val="22"/>
                        </w:rPr>
                        <m:t>1</m:t>
                      </m:r>
                      <m:ctrlPr>
                        <w:rPr>
                          <w:rFonts w:ascii="Cambria Math" w:hAnsi="Cambria Math" w:eastAsia="Times New Roman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Times New Roman"/>
                      <w:sz w:val="22"/>
                    </w:rPr>
                  </m:ctrlPr>
                </m:den>
              </m:f>
              <m:ctrlPr>
                <w:rPr>
                  <w:rFonts w:hint="default" w:ascii="Cambria Math" w:hAnsi="Cambria Math" w:eastAsia="Times New Roman"/>
                  <w:sz w:val="22"/>
                </w:rPr>
              </m:ctrlPr>
            </m:e>
          </m:d>
          <m:r>
            <m:rPr/>
            <w:rPr>
              <w:rFonts w:hint="default" w:ascii="Cambria Math" w:hAnsi="Cambria Math" w:eastAsia="Times New Roman"/>
              <w:sz w:val="22"/>
            </w:rPr>
            <m:t>⋅</m:t>
          </m:r>
          <m:d>
            <m:dPr>
              <m:ctrlPr>
                <w:rPr>
                  <w:rFonts w:hint="default" w:ascii="Cambria Math" w:hAnsi="Cambria Math" w:eastAsia="Times New Roman"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 w:eastAsia="Times New Roman"/>
                  <w:sz w:val="22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Times New Roman"/>
                      <w:sz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Times New Roman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Times New Roman"/>
                          <w:sz w:val="22"/>
                        </w:rPr>
                        <m:t>z</m:t>
                      </m:r>
                      <m:ctrlPr>
                        <w:rPr>
                          <w:rFonts w:ascii="Cambria Math" w:hAnsi="Cambria Math" w:eastAsia="Times New Roman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Times New Roman"/>
                          <w:sz w:val="22"/>
                        </w:rPr>
                        <m:t>3</m:t>
                      </m:r>
                      <m:ctrlPr>
                        <w:rPr>
                          <w:rFonts w:ascii="Cambria Math" w:hAnsi="Cambria Math" w:eastAsia="Times New Roman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Times New Roman"/>
                      <w:sz w:val="22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Times New Roman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Times New Roman"/>
                          <w:sz w:val="22"/>
                        </w:rPr>
                        <m:t>z</m:t>
                      </m:r>
                      <m:ctrlPr>
                        <w:rPr>
                          <w:rFonts w:ascii="Cambria Math" w:hAnsi="Cambria Math" w:eastAsia="Times New Roman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Times New Roman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 w:eastAsia="Times New Roman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Times New Roman"/>
                      <w:sz w:val="22"/>
                    </w:rPr>
                    <m:t>'</m:t>
                  </m:r>
                  <m:ctrlPr>
                    <w:rPr>
                      <w:rFonts w:hint="default" w:ascii="Cambria Math" w:hAnsi="Cambria Math" w:eastAsia="Times New Roman"/>
                      <w:sz w:val="22"/>
                    </w:rPr>
                  </m:ctrlPr>
                </m:den>
              </m:f>
              <m:ctrlPr>
                <w:rPr>
                  <w:rFonts w:hint="default" w:ascii="Cambria Math" w:hAnsi="Cambria Math" w:eastAsia="Times New Roman"/>
                  <w:sz w:val="22"/>
                </w:rPr>
              </m:ctrlPr>
            </m:e>
          </m:d>
          <m:r>
            <m:rPr/>
            <w:rPr>
              <w:rFonts w:hint="default" w:ascii="Cambria Math" w:hAnsi="Cambria Math" w:eastAsia="Times New Roman"/>
              <w:sz w:val="22"/>
            </w:rPr>
            <m:t>=32.653</m:t>
          </m:r>
        </m:oMath>
      </m:oMathPara>
    </w:p>
    <w:p w14:paraId="61D1D67E">
      <w:pPr>
        <w:spacing w:line="360" w:lineRule="auto"/>
        <w:ind w:firstLine="50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最终该减速器的</w:t>
      </w:r>
      <w:r>
        <w:rPr>
          <w:rFonts w:ascii="宋体" w:hAnsi="宋体" w:eastAsia="宋体" w:cs="宋体"/>
          <w:sz w:val="24"/>
          <w:szCs w:val="24"/>
        </w:rPr>
        <w:t>总传动比i=i1·i2=32.653。第一级和第二级均采用等移距变位修正（x1=+0.35,x2=-0.35），使小齿轮避免根切。</w:t>
      </w:r>
    </w:p>
    <w:p w14:paraId="0ABFDF50">
      <w:pPr>
        <w:spacing w:line="360" w:lineRule="auto"/>
        <w:ind w:firstLine="50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基于上述的齿轮参数设计，我们详细计算了齿轮的其余核心参数，参考公式和核心参数如下：</w:t>
      </w:r>
    </w:p>
    <w:p w14:paraId="05E84350">
      <w:pPr>
        <w:spacing w:before="120" w:after="120" w:line="340" w:lineRule="auto"/>
        <w:ind w:firstLine="0"/>
        <w:jc w:val="center"/>
      </w:pPr>
      <m:oMathPara>
        <m:oMath>
          <m:r>
            <m:rPr/>
            <w:rPr>
              <w:rFonts w:ascii="Cambria Math" w:hAnsi="Cambria Math" w:eastAsia="Times New Roman" w:cs="Times New Roman"/>
              <w:sz w:val="22"/>
              <w:szCs w:val="22"/>
            </w:rPr>
            <m:t>d = mz</m:t>
          </m:r>
        </m:oMath>
      </m:oMathPara>
    </w:p>
    <w:p w14:paraId="1A925B28">
      <w:pPr>
        <w:spacing w:before="120" w:after="120" w:line="340" w:lineRule="auto"/>
        <w:ind w:firstLine="0"/>
        <w:jc w:val="center"/>
      </w:pPr>
      <m:oMath>
        <m:sSub>
          <m:sSubPr>
            <m:ctrlPr>
              <w:rPr>
                <w:rFonts w:hint="default" w:ascii="Cambria Math" w:hAnsi="Cambria Math" w:eastAsia="Times New Roman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Times New Roman"/>
                <w:sz w:val="22"/>
              </w:rPr>
              <m:t>d</m:t>
            </m:r>
            <m:ctrlPr>
              <w:rPr>
                <w:rFonts w:ascii="Cambria Math" w:hAnsi="Cambria Math" w:eastAsia="Times New Roman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Times New Roman"/>
                <w:sz w:val="22"/>
              </w:rPr>
              <m:t>a</m:t>
            </m:r>
            <m:ctrlPr>
              <w:rPr>
                <w:rFonts w:ascii="Cambria Math" w:hAnsi="Cambria Math" w:eastAsia="Times New Roman"/>
                <w:sz w:val="22"/>
              </w:rPr>
            </m:ctrlPr>
          </m:sub>
        </m:sSub>
        <m:r>
          <m:rPr/>
          <w:rPr>
            <w:rFonts w:hint="default" w:ascii="Cambria Math" w:hAnsi="Cambria Math" w:eastAsia="Times New Roman"/>
            <w:sz w:val="22"/>
          </w:rPr>
          <m:t>=d+2(</m:t>
        </m:r>
        <m:sSubSup>
          <m:sSubSupPr>
            <m:ctrlPr>
              <w:rPr>
                <w:rFonts w:hint="default" w:ascii="Cambria Math" w:hAnsi="Cambria Math" w:eastAsia="Times New Roman"/>
                <w:sz w:val="22"/>
              </w:rPr>
            </m:ctrlPr>
          </m:sSubSupPr>
          <m:e>
            <m:r>
              <m:rPr/>
              <w:rPr>
                <w:rFonts w:hint="default" w:ascii="Cambria Math" w:hAnsi="Cambria Math" w:eastAsia="Times New Roman"/>
                <w:sz w:val="22"/>
              </w:rPr>
              <m:t>h</m:t>
            </m:r>
            <m:ctrlPr>
              <w:rPr>
                <w:rFonts w:ascii="Cambria Math" w:hAnsi="Cambria Math" w:eastAsia="Times New Roman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Times New Roman"/>
                <w:sz w:val="22"/>
              </w:rPr>
              <m:t>a</m:t>
            </m:r>
            <m:ctrlPr>
              <w:rPr>
                <w:rFonts w:ascii="Cambria Math" w:hAnsi="Cambria Math" w:eastAsia="Times New Roman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Times New Roman"/>
                <w:sz w:val="22"/>
              </w:rPr>
              <m:t>∗</m:t>
            </m:r>
            <m:ctrlPr>
              <w:rPr>
                <w:rFonts w:ascii="Cambria Math" w:hAnsi="Cambria Math" w:eastAsia="Times New Roman"/>
                <w:sz w:val="22"/>
              </w:rPr>
            </m:ctrlPr>
          </m:sup>
        </m:sSubSup>
        <m:r>
          <m:rPr/>
          <w:rPr>
            <w:rFonts w:hint="default" w:ascii="Cambria Math" w:hAnsi="Cambria Math" w:eastAsia="Times New Roman"/>
            <w:sz w:val="22"/>
          </w:rPr>
          <m:t>+x)m</m:t>
        </m:r>
      </m:oMath>
      <w:r>
        <w:rPr>
          <w:rFonts w:ascii="宋体" w:hAnsi="宋体" w:eastAsia="宋体" w:cs="宋体"/>
          <w:sz w:val="22"/>
          <w:szCs w:val="22"/>
        </w:rPr>
        <w:t xml:space="preserve"> </w:t>
      </w:r>
    </w:p>
    <w:p w14:paraId="43D36BC7">
      <w:pPr>
        <w:spacing w:before="120" w:after="120" w:line="340" w:lineRule="auto"/>
        <w:ind w:firstLine="0"/>
        <w:jc w:val="center"/>
      </w:pPr>
      <m:oMathPara>
        <m:oMath>
          <m:sSub>
            <m:sSubPr>
              <m:ctrlPr>
                <w:rPr>
                  <w:rFonts w:hint="default" w:ascii="Cambria Math" w:hAnsi="Cambria Math" w:eastAsia="Times New Roman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Times New Roman"/>
                  <w:sz w:val="22"/>
                </w:rPr>
                <m:t>d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Times New Roman"/>
                  <w:sz w:val="22"/>
                </w:rPr>
                <m:t>f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Times New Roman"/>
              <w:sz w:val="22"/>
            </w:rPr>
            <m:t>=d−2(</m:t>
          </m:r>
          <m:sSubSup>
            <m:sSubSupPr>
              <m:ctrlPr>
                <w:rPr>
                  <w:rFonts w:hint="default" w:ascii="Cambria Math" w:hAnsi="Cambria Math" w:eastAsia="Times New Roman"/>
                  <w:sz w:val="22"/>
                </w:rPr>
              </m:ctrlPr>
            </m:sSubSupPr>
            <m:e>
              <m:r>
                <m:rPr/>
                <w:rPr>
                  <w:rFonts w:hint="default" w:ascii="Cambria Math" w:hAnsi="Cambria Math" w:eastAsia="Times New Roman"/>
                  <w:sz w:val="22"/>
                </w:rPr>
                <m:t>h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Times New Roman"/>
                  <w:sz w:val="22"/>
                </w:rPr>
                <m:t>a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Times New Roman"/>
                  <w:sz w:val="22"/>
                </w:rPr>
                <m:t>∗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sup>
          </m:sSubSup>
          <m:r>
            <m:rPr/>
            <w:rPr>
              <w:rFonts w:hint="default" w:ascii="Cambria Math" w:hAnsi="Cambria Math" w:eastAsia="Times New Roman"/>
              <w:sz w:val="22"/>
            </w:rPr>
            <m:t>+</m:t>
          </m:r>
          <m:sSup>
            <m:sSupPr>
              <m:ctrlPr>
                <w:rPr>
                  <w:rFonts w:hint="default" w:ascii="Cambria Math" w:hAnsi="Cambria Math" w:eastAsia="Times New Roman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 w:eastAsia="Times New Roman"/>
                  <w:sz w:val="22"/>
                </w:rPr>
                <m:t>c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 w:eastAsia="Times New Roman"/>
                  <w:sz w:val="22"/>
                </w:rPr>
                <m:t>∗</m:t>
              </m:r>
              <m:ctrlPr>
                <w:rPr>
                  <w:rFonts w:ascii="Cambria Math" w:hAnsi="Cambria Math" w:eastAsia="Times New Roman"/>
                  <w:sz w:val="22"/>
                </w:rPr>
              </m:ctrlPr>
            </m:sup>
          </m:sSup>
          <m:r>
            <m:rPr/>
            <w:rPr>
              <w:rFonts w:hint="default" w:ascii="Cambria Math" w:hAnsi="Cambria Math" w:eastAsia="Times New Roman"/>
              <w:sz w:val="22"/>
            </w:rPr>
            <m:t>−x)m</m:t>
          </m:r>
        </m:oMath>
      </m:oMathPara>
    </w:p>
    <w:p w14:paraId="079CA96D">
      <w:pPr>
        <w:pStyle w:val="8"/>
        <w:bidi w:val="0"/>
        <w:jc w:val="center"/>
      </w:pPr>
      <w:r>
        <w:t>表3-1 两级定轴齿轮减速器几何参数</w:t>
      </w:r>
    </w:p>
    <w:tbl>
      <w:tblPr>
        <w:tblStyle w:val="13"/>
        <w:tblW w:w="5083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9"/>
        <w:gridCol w:w="493"/>
        <w:gridCol w:w="1787"/>
        <w:gridCol w:w="1894"/>
        <w:gridCol w:w="1894"/>
        <w:gridCol w:w="1895"/>
      </w:tblGrid>
      <w:tr w14:paraId="72FA8C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2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FBBFD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267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A7360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符号</w:t>
            </w:r>
          </w:p>
        </w:tc>
        <w:tc>
          <w:tcPr>
            <w:tcW w:w="968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1488A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第一级小齿轮(z1=7)</w:t>
            </w:r>
          </w:p>
        </w:tc>
        <w:tc>
          <w:tcPr>
            <w:tcW w:w="1026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6DB85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第一级大齿轮(z2=40)</w:t>
            </w:r>
          </w:p>
        </w:tc>
        <w:tc>
          <w:tcPr>
            <w:tcW w:w="1026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7BAA8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第二级小齿轮(z2'=7)</w:t>
            </w:r>
          </w:p>
        </w:tc>
        <w:tc>
          <w:tcPr>
            <w:tcW w:w="1026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2DD4E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第二级大齿轮(z3=40)</w:t>
            </w:r>
          </w:p>
        </w:tc>
      </w:tr>
      <w:tr w14:paraId="6247DA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2" w:type="pct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29786">
            <w:pPr>
              <w:snapToGrid w:val="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模数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/mm</w:t>
            </w:r>
          </w:p>
        </w:tc>
        <w:tc>
          <w:tcPr>
            <w:tcW w:w="267" w:type="pct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9A2D9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m</w:t>
            </w:r>
          </w:p>
        </w:tc>
        <w:tc>
          <w:tcPr>
            <w:tcW w:w="968" w:type="pct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F54F7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0.3</w:t>
            </w:r>
          </w:p>
        </w:tc>
        <w:tc>
          <w:tcPr>
            <w:tcW w:w="1026" w:type="pct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2062E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0.3</w:t>
            </w:r>
          </w:p>
        </w:tc>
        <w:tc>
          <w:tcPr>
            <w:tcW w:w="1026" w:type="pct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1018C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0.3</w:t>
            </w:r>
          </w:p>
        </w:tc>
        <w:tc>
          <w:tcPr>
            <w:tcW w:w="1026" w:type="pct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FF917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0.3</w:t>
            </w:r>
          </w:p>
        </w:tc>
      </w:tr>
      <w:tr w14:paraId="569FE58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2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D275A">
            <w:pPr>
              <w:snapToGrid w:val="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压力角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/°</w:t>
            </w: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68A44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α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CDD6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A9CA3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D5B03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55300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20</w:t>
            </w:r>
          </w:p>
        </w:tc>
      </w:tr>
      <w:tr w14:paraId="1ECDD7B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2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B8A05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变位系数</w:t>
            </w: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56FBB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x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89B3B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+0.35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46543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-0.35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C9C53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+0.35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7F4E7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-0.35</w:t>
            </w:r>
          </w:p>
        </w:tc>
      </w:tr>
      <w:tr w14:paraId="2A08FCB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2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976B7">
            <w:pPr>
              <w:snapToGrid w:val="0"/>
              <w:jc w:val="center"/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分度圆</w:t>
            </w:r>
          </w:p>
          <w:p w14:paraId="7E5ECDD7">
            <w:pPr>
              <w:snapToGrid w:val="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直径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/mm</w:t>
            </w: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16834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d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511DB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2.10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57F92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12.00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D2087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2.10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5A4C6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12.00</w:t>
            </w:r>
          </w:p>
        </w:tc>
      </w:tr>
      <w:tr w14:paraId="10CCE0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2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DC044">
            <w:pPr>
              <w:snapToGrid w:val="0"/>
              <w:jc w:val="center"/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齿顶圆</w:t>
            </w:r>
          </w:p>
          <w:p w14:paraId="56CAEE42">
            <w:pPr>
              <w:snapToGrid w:val="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直径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/mm</w:t>
            </w: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23009">
            <w:pPr>
              <w:snapToGrid w:val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72B22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2.91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75ECA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12.39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AD59C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2.91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E6AF4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12.39</w:t>
            </w:r>
          </w:p>
        </w:tc>
      </w:tr>
      <w:tr w14:paraId="3B76BF6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2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7575E">
            <w:pPr>
              <w:snapToGrid w:val="0"/>
              <w:jc w:val="center"/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齿根圆</w:t>
            </w:r>
          </w:p>
          <w:p w14:paraId="74DFEB72">
            <w:pPr>
              <w:snapToGrid w:val="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直径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/mm</w:t>
            </w: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3C2B9">
            <w:pPr>
              <w:snapToGrid w:val="0"/>
              <w:jc w:val="center"/>
              <w:rPr>
                <w:sz w:val="24"/>
                <w:szCs w:val="24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f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048D6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1.56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C1814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11.04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20282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1.56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108CA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11.04</w:t>
            </w:r>
          </w:p>
        </w:tc>
      </w:tr>
      <w:tr w14:paraId="57EAAD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2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7EA1C">
            <w:pPr>
              <w:snapToGrid w:val="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中心距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/mm</w:t>
            </w: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EEC4A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a</w:t>
            </w: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6E202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7.05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EEC96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—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1DE2A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7.05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A97E4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—</w:t>
            </w:r>
          </w:p>
        </w:tc>
      </w:tr>
      <w:tr w14:paraId="2ED5D3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2" w:type="pct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41FB5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传动比</w:t>
            </w:r>
          </w:p>
        </w:tc>
        <w:tc>
          <w:tcPr>
            <w:tcW w:w="267" w:type="pct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F55D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i</w:t>
            </w:r>
          </w:p>
        </w:tc>
        <w:tc>
          <w:tcPr>
            <w:tcW w:w="968" w:type="pct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2A397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-5.714</w:t>
            </w:r>
          </w:p>
        </w:tc>
        <w:tc>
          <w:tcPr>
            <w:tcW w:w="1026" w:type="pct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FC60B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FDBF9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-5.714</w:t>
            </w:r>
          </w:p>
        </w:tc>
        <w:tc>
          <w:tcPr>
            <w:tcW w:w="1026" w:type="pct"/>
            <w:tcBorders>
              <w:top w:val="nil"/>
              <w:left w:val="nil"/>
              <w:bottom w:val="single" w:color="000000" w:sz="12" w:space="0"/>
              <w:right w:val="nil"/>
            </w:tcBorders>
            <w:noWrap w:val="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C9612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</w:tbl>
    <w:p w14:paraId="37DFA040">
      <w:pPr>
        <w:pStyle w:val="3"/>
      </w:pPr>
      <w:r>
        <w:rPr>
          <w:rFonts w:ascii="Times New Roman" w:hAnsi="Times New Roman" w:eastAsia="黑体"/>
          <w:b/>
        </w:rPr>
        <w:t>4.</w:t>
      </w:r>
      <w:r>
        <w:rPr>
          <w:rFonts w:hint="eastAsia" w:ascii="Times New Roman" w:hAnsi="Times New Roman"/>
          <w:b/>
          <w:lang w:val="en-US" w:eastAsia="zh-CN"/>
        </w:rPr>
        <w:t>3</w:t>
      </w:r>
      <w:r>
        <w:rPr>
          <w:rFonts w:ascii="Times New Roman" w:hAnsi="Times New Roman" w:eastAsia="黑体"/>
          <w:b/>
        </w:rPr>
        <w:t xml:space="preserve"> 齿轮啮合力分析</w:t>
      </w:r>
    </w:p>
    <w:p w14:paraId="7D8B7F74">
      <w:pPr>
        <w:spacing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齿轮啮合力由轴上扭矩和分度圆直径决定。因为第二级齿轮副靠近输出端，其承受的扭矩大于第一级，所以第二级的圆周力、径向力和法向力更大，应作为齿轮强度和轴承支反力校核的重点。</w:t>
      </w:r>
      <w:r>
        <w:rPr>
          <w:rFonts w:hint="eastAsia" w:cs="宋体"/>
          <w:sz w:val="24"/>
          <w:szCs w:val="24"/>
          <w:lang w:val="en-US" w:eastAsia="zh-CN"/>
        </w:rPr>
        <w:t>齿轮啮合力的计算公式如下：</w:t>
      </w:r>
    </w:p>
    <w:p w14:paraId="75742A05">
      <w:pPr>
        <w:spacing w:after="40"/>
        <w:jc w:val="center"/>
      </w:pPr>
      <w:r>
        <w:drawing>
          <wp:inline distT="0" distB="0" distL="114300" distR="114300">
            <wp:extent cx="4751705" cy="3197225"/>
            <wp:effectExtent l="0" t="0" r="1079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9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10E0">
      <w:pPr>
        <w:pStyle w:val="8"/>
        <w:bidi w:val="0"/>
        <w:jc w:val="center"/>
      </w:pPr>
      <w:r>
        <w:t>图4-2 原始齿轮啮合力时变曲线</w:t>
      </w:r>
    </w:p>
    <w:p w14:paraId="2F9C432A">
      <w:pPr>
        <w:spacing w:after="40"/>
        <w:jc w:val="center"/>
      </w:pPr>
      <w:r>
        <w:drawing>
          <wp:inline distT="0" distB="0" distL="114300" distR="114300">
            <wp:extent cx="4751705" cy="3197225"/>
            <wp:effectExtent l="0" t="0" r="1079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9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78DD">
      <w:pPr>
        <w:pStyle w:val="8"/>
        <w:bidi w:val="0"/>
        <w:jc w:val="center"/>
      </w:pPr>
      <w:r>
        <w:t>图4-3 两级齿轮啮合力对比</w:t>
      </w:r>
    </w:p>
    <w:p w14:paraId="22E98B54">
      <w:pPr>
        <w:ind w:firstLine="5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通过仿真计算得到两级齿轮分别受摇杆端外载啮合力矩（如图4-3为摇杆端外载啮合力矩随曲柄转角变化曲线）的齿轮啮合力曲线，基于下述公式分别计算两级齿轮的各方向的啮合力，如表4-2所示</w:t>
      </w:r>
    </w:p>
    <w:p w14:paraId="084D061B">
      <w:pPr>
        <w:pStyle w:val="22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等线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0"/>
                </w:rPr>
                <m:t>F</m:t>
              </m:r>
              <m:ctrlPr>
                <w:rPr>
                  <w:rFonts w:ascii="Cambria Math" w:hAnsi="Cambria Math" w:eastAsia="等线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0"/>
                </w:rPr>
                <m:t>t</m:t>
              </m:r>
              <m:ctrlPr>
                <w:rPr>
                  <w:rFonts w:ascii="Cambria Math" w:hAnsi="Cambria Math" w:eastAsia="等线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等线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等线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等线"/>
                  <w:sz w:val="20"/>
                </w:rPr>
                <m:t>2T</m:t>
              </m:r>
              <m:ctrlPr>
                <w:rPr>
                  <w:rFonts w:ascii="Cambria Math" w:hAnsi="Cambria Math" w:eastAsia="等线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等线"/>
                  <w:sz w:val="20"/>
                </w:rPr>
                <m:t>d</m:t>
              </m:r>
              <m:ctrlPr>
                <w:rPr>
                  <w:rFonts w:ascii="Cambria Math" w:hAnsi="Cambria Math" w:eastAsia="等线"/>
                  <w:sz w:val="20"/>
                </w:rPr>
              </m:ctrlPr>
            </m:den>
          </m:f>
          <m:r>
            <m:rPr/>
            <w:rPr>
              <w:rFonts w:hint="default" w:ascii="Cambria Math" w:hAnsi="Cambria Math" w:eastAsia="等线"/>
              <w:sz w:val="20"/>
            </w:rPr>
            <m:t>,  </m:t>
          </m:r>
          <m:sSub>
            <m:sSubPr>
              <m:ctrlPr>
                <w:rPr>
                  <w:rFonts w:hint="default" w:ascii="Cambria Math" w:hAnsi="Cambria Math" w:eastAsia="等线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0"/>
                </w:rPr>
                <m:t>F</m:t>
              </m:r>
              <m:ctrlPr>
                <w:rPr>
                  <w:rFonts w:ascii="Cambria Math" w:hAnsi="Cambria Math" w:eastAsia="等线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0"/>
                </w:rPr>
                <m:t>r</m:t>
              </m:r>
              <m:ctrlPr>
                <w:rPr>
                  <w:rFonts w:ascii="Cambria Math" w:hAnsi="Cambria Math" w:eastAsia="等线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等线"/>
              <w:sz w:val="20"/>
            </w:rPr>
            <m:t>=</m:t>
          </m:r>
          <m:sSub>
            <m:sSubPr>
              <m:ctrlPr>
                <w:rPr>
                  <w:rFonts w:hint="default" w:ascii="Cambria Math" w:hAnsi="Cambria Math" w:eastAsia="等线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0"/>
                </w:rPr>
                <m:t>F</m:t>
              </m:r>
              <m:ctrlPr>
                <w:rPr>
                  <w:rFonts w:ascii="Cambria Math" w:hAnsi="Cambria Math" w:eastAsia="等线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0"/>
                </w:rPr>
                <m:t>t</m:t>
              </m:r>
              <m:ctrlPr>
                <w:rPr>
                  <w:rFonts w:ascii="Cambria Math" w:hAnsi="Cambria Math" w:eastAsia="等线"/>
                  <w:sz w:val="20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等线"/>
                  <w:sz w:val="20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等线"/>
                  <w:sz w:val="20"/>
                </w:rPr>
                <m:t>tan</m:t>
              </m:r>
              <m:ctrlPr>
                <w:rPr>
                  <w:rFonts w:ascii="Cambria Math" w:hAnsi="Cambria Math" w:eastAsia="等线"/>
                  <w:sz w:val="20"/>
                </w:rPr>
              </m:ctrlPr>
            </m:fName>
            <m:e>
              <m:r>
                <m:rPr/>
                <w:rPr>
                  <w:rFonts w:hint="default" w:ascii="Cambria Math" w:hAnsi="Cambria Math" w:eastAsia="等线"/>
                  <w:sz w:val="20"/>
                </w:rPr>
                <m:t>α</m:t>
              </m:r>
              <m:ctrlPr>
                <w:rPr>
                  <w:rFonts w:ascii="Cambria Math" w:hAnsi="Cambria Math" w:eastAsia="等线"/>
                  <w:sz w:val="20"/>
                </w:rPr>
              </m:ctrlPr>
            </m:e>
          </m:func>
          <m:r>
            <m:rPr/>
            <w:rPr>
              <w:rFonts w:hint="default" w:ascii="Cambria Math" w:hAnsi="Cambria Math" w:eastAsia="等线"/>
              <w:sz w:val="20"/>
            </w:rPr>
            <m:t>,  </m:t>
          </m:r>
          <m:sSub>
            <m:sSubPr>
              <m:ctrlPr>
                <w:rPr>
                  <w:rFonts w:hint="default" w:ascii="Cambria Math" w:hAnsi="Cambria Math" w:eastAsia="等线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0"/>
                </w:rPr>
                <m:t>F</m:t>
              </m:r>
              <m:ctrlPr>
                <w:rPr>
                  <w:rFonts w:ascii="Cambria Math" w:hAnsi="Cambria Math" w:eastAsia="等线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0"/>
                </w:rPr>
                <m:t>n</m:t>
              </m:r>
              <m:ctrlPr>
                <w:rPr>
                  <w:rFonts w:ascii="Cambria Math" w:hAnsi="Cambria Math" w:eastAsia="等线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等线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等线"/>
                  <w:sz w:val="2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等线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等线"/>
                      <w:sz w:val="20"/>
                    </w:rPr>
                    <m:t>F</m:t>
                  </m:r>
                  <m:ctrlPr>
                    <w:rPr>
                      <w:rFonts w:ascii="Cambria Math" w:hAnsi="Cambria Math" w:eastAsia="等线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等线"/>
                      <w:sz w:val="20"/>
                    </w:rPr>
                    <m:t>t</m:t>
                  </m:r>
                  <m:ctrlPr>
                    <w:rPr>
                      <w:rFonts w:ascii="Cambria Math" w:hAnsi="Cambria Math" w:eastAsia="等线"/>
                      <w:sz w:val="20"/>
                    </w:rPr>
                  </m:ctrlPr>
                </m:sub>
              </m:sSub>
              <m:ctrlPr>
                <w:rPr>
                  <w:rFonts w:hint="default" w:ascii="Cambria Math" w:hAnsi="Cambria Math" w:eastAsia="等线"/>
                  <w:sz w:val="20"/>
                </w:rPr>
              </m:ctrlPr>
            </m:num>
            <m:den>
              <m:func>
                <m:funcPr>
                  <m:ctrlPr>
                    <w:rPr>
                      <w:rFonts w:hint="default" w:ascii="Cambria Math" w:hAnsi="Cambria Math" w:eastAsia="等线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等线"/>
                      <w:sz w:val="20"/>
                    </w:rPr>
                    <m:t>cos</m:t>
                  </m:r>
                  <m:ctrlPr>
                    <w:rPr>
                      <w:rFonts w:ascii="Cambria Math" w:hAnsi="Cambria Math" w:eastAsia="等线"/>
                      <w:sz w:val="20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等线"/>
                      <w:sz w:val="20"/>
                    </w:rPr>
                    <m:t>α</m:t>
                  </m:r>
                  <m:ctrlPr>
                    <w:rPr>
                      <w:rFonts w:ascii="Cambria Math" w:hAnsi="Cambria Math" w:eastAsia="等线"/>
                      <w:sz w:val="20"/>
                    </w:rPr>
                  </m:ctrlPr>
                </m:e>
              </m:func>
              <m:ctrlPr>
                <w:rPr>
                  <w:rFonts w:hint="default" w:ascii="Cambria Math" w:hAnsi="Cambria Math" w:eastAsia="等线"/>
                  <w:sz w:val="20"/>
                </w:rPr>
              </m:ctrlPr>
            </m:den>
          </m:f>
        </m:oMath>
      </m:oMathPara>
    </w:p>
    <w:p w14:paraId="6CB036A6">
      <w:pPr>
        <w:pStyle w:val="8"/>
        <w:bidi w:val="0"/>
        <w:jc w:val="center"/>
      </w:pPr>
      <w:r>
        <w:t>表4-2 两级齿轮啮合力计算</w:t>
      </w:r>
    </w:p>
    <w:tbl>
      <w:tblPr>
        <w:tblStyle w:val="14"/>
        <w:tblW w:w="88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1843"/>
        <w:gridCol w:w="1843"/>
        <w:gridCol w:w="1843"/>
      </w:tblGrid>
      <w:tr w14:paraId="58E3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F4F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啮合副</w:t>
            </w:r>
          </w:p>
        </w:tc>
        <w:tc>
          <w:tcPr>
            <w:tcW w:w="0" w:type="auto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39B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Ft/N</w:t>
            </w:r>
          </w:p>
        </w:tc>
        <w:tc>
          <w:tcPr>
            <w:tcW w:w="0" w:type="auto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4B44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Fr/N</w:t>
            </w:r>
          </w:p>
        </w:tc>
        <w:tc>
          <w:tcPr>
            <w:tcW w:w="18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544A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Fn/N</w:t>
            </w:r>
          </w:p>
        </w:tc>
      </w:tr>
      <w:tr w14:paraId="6F40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EE1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齿轮1-齿轮2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3598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10.807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3592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3.933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46A1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11.500</w:t>
            </w:r>
          </w:p>
        </w:tc>
      </w:tr>
      <w:tr w14:paraId="5D01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81C7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齿轮2'-齿轮3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5EA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57.545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FFD87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20.945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C54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61.238</w:t>
            </w:r>
          </w:p>
        </w:tc>
      </w:tr>
    </w:tbl>
    <w:p w14:paraId="7275FC73">
      <w:pPr>
        <w:pStyle w:val="3"/>
        <w:bidi w:val="0"/>
        <w:rPr>
          <w:rFonts w:ascii="Times New Roman" w:hAnsi="Times New Roman" w:eastAsia="黑体"/>
          <w:b/>
        </w:rPr>
      </w:pPr>
      <w:r>
        <w:rPr>
          <w:rFonts w:ascii="Times New Roman" w:hAnsi="Times New Roman" w:eastAsia="黑体"/>
          <w:b/>
        </w:rPr>
        <w:t>4.</w:t>
      </w:r>
      <w:r>
        <w:rPr>
          <w:rFonts w:hint="eastAsia" w:ascii="Times New Roman" w:hAnsi="Times New Roman"/>
          <w:b/>
          <w:lang w:val="en-US" w:eastAsia="zh-CN"/>
        </w:rPr>
        <w:t>4</w:t>
      </w:r>
      <w:r>
        <w:rPr>
          <w:rFonts w:ascii="Times New Roman" w:hAnsi="Times New Roman" w:eastAsia="黑体"/>
          <w:b/>
        </w:rPr>
        <w:t>接触强度与安全裕度校核</w:t>
      </w:r>
    </w:p>
    <w:p w14:paraId="0B46DBC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齿轮材料选用304不锈钢（硬度HB约200，许用接触应力</w:t>
      </w:r>
      <m:oMath>
        <m:r>
          <m:rPr/>
          <w:rPr>
            <w:rFonts w:hint="default" w:ascii="Cambria Math" w:hAnsi="Cambria Math" w:eastAsia="宋体"/>
            <w:sz w:val="24"/>
          </w:rPr>
          <m:t>[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σ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]</m:t>
        </m:r>
      </m:oMath>
      <w:r>
        <w:rPr>
          <w:rFonts w:hint="eastAsia" w:ascii="宋体" w:hAnsi="宋体" w:eastAsia="宋体" w:cs="宋体"/>
          <w:sz w:val="24"/>
          <w:szCs w:val="24"/>
        </w:rPr>
        <w:t>约600 MPa）。</w:t>
      </w:r>
      <w:r>
        <w:rPr>
          <w:rFonts w:hint="eastAsia" w:cs="宋体"/>
          <w:sz w:val="24"/>
          <w:szCs w:val="24"/>
          <w:lang w:val="en-US" w:eastAsia="zh-CN"/>
        </w:rPr>
        <w:t>则</w:t>
      </w:r>
      <w:r>
        <w:rPr>
          <w:rFonts w:hint="eastAsia" w:ascii="宋体" w:hAnsi="宋体" w:eastAsia="宋体" w:cs="宋体"/>
          <w:sz w:val="24"/>
          <w:szCs w:val="24"/>
        </w:rPr>
        <w:t>齿面接触应力按赫兹公式计算</w:t>
      </w:r>
      <w:r>
        <w:rPr>
          <w:rFonts w:hint="eastAsia" w:cs="宋体"/>
          <w:sz w:val="24"/>
          <w:szCs w:val="24"/>
          <w:lang w:val="en-US" w:eastAsia="zh-CN"/>
        </w:rPr>
        <w:t>并得到齿轮接触强度校核参数（如表4-3所示</w:t>
      </w:r>
      <w:bookmarkStart w:id="2" w:name="_GoBack"/>
      <w:bookmarkEnd w:id="2"/>
      <w:r>
        <w:rPr>
          <w:rFonts w:hint="eastAsia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75A1F16C"/>
    <w:p w14:paraId="12BFD8A1">
      <w:pPr>
        <w:pStyle w:val="22"/>
      </w:pPr>
      <m:oMathPara>
        <m:oMath>
          <m:sSub>
            <m:sSubPr>
              <m:ctrlPr>
                <w:rPr>
                  <w:rFonts w:hint="default" w:ascii="Cambria Math" w:hAnsi="Cambria Math" w:eastAsia="等线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0"/>
                </w:rPr>
                <m:t>σ</m:t>
              </m:r>
              <m:ctrlPr>
                <w:rPr>
                  <w:rFonts w:ascii="Cambria Math" w:hAnsi="Cambria Math" w:eastAsia="等线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0"/>
                </w:rPr>
                <m:t>H</m:t>
              </m:r>
              <m:ctrlPr>
                <w:rPr>
                  <w:rFonts w:ascii="Cambria Math" w:hAnsi="Cambria Math" w:eastAsia="等线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等线"/>
              <w:sz w:val="20"/>
            </w:rPr>
            <m:t>=</m:t>
          </m:r>
          <m:sSub>
            <m:sSubPr>
              <m:ctrlPr>
                <w:rPr>
                  <w:rFonts w:hint="default" w:ascii="Cambria Math" w:hAnsi="Cambria Math" w:eastAsia="等线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0"/>
                </w:rPr>
                <m:t>Z</m:t>
              </m:r>
              <m:ctrlPr>
                <w:rPr>
                  <w:rFonts w:ascii="Cambria Math" w:hAnsi="Cambria Math" w:eastAsia="等线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0"/>
                </w:rPr>
                <m:t>H</m:t>
              </m:r>
              <m:ctrlPr>
                <w:rPr>
                  <w:rFonts w:ascii="Cambria Math" w:hAnsi="Cambria Math" w:eastAsia="等线"/>
                  <w:sz w:val="20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等线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0"/>
                </w:rPr>
                <m:t>Z</m:t>
              </m:r>
              <m:ctrlPr>
                <w:rPr>
                  <w:rFonts w:ascii="Cambria Math" w:hAnsi="Cambria Math" w:eastAsia="等线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0"/>
                </w:rPr>
                <m:t>E</m:t>
              </m:r>
              <m:ctrlPr>
                <w:rPr>
                  <w:rFonts w:ascii="Cambria Math" w:hAnsi="Cambria Math" w:eastAsia="等线"/>
                  <w:sz w:val="20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等线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0"/>
                </w:rPr>
                <m:t>Z</m:t>
              </m:r>
              <m:ctrlPr>
                <w:rPr>
                  <w:rFonts w:ascii="Cambria Math" w:hAnsi="Cambria Math" w:eastAsia="等线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0"/>
                </w:rPr>
                <m:t>ε</m:t>
              </m:r>
              <m:ctrlPr>
                <w:rPr>
                  <w:rFonts w:ascii="Cambria Math" w:hAnsi="Cambria Math" w:eastAsia="等线"/>
                  <w:sz w:val="20"/>
                </w:rPr>
              </m:ctrlPr>
            </m:sub>
          </m:sSub>
          <m:rad>
            <m:radPr>
              <m:degHide m:val="1"/>
              <m:ctrlPr>
                <w:rPr>
                  <w:rFonts w:hint="default" w:ascii="Cambria Math" w:hAnsi="Cambria Math" w:eastAsia="等线"/>
                  <w:sz w:val="20"/>
                </w:rPr>
              </m:ctrlPr>
            </m:radPr>
            <m:deg>
              <m:ctrlPr>
                <w:rPr>
                  <w:rFonts w:ascii="Cambria Math" w:hAnsi="Cambria Math" w:eastAsia="等线"/>
                  <w:sz w:val="20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等线"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等线"/>
                      <w:sz w:val="20"/>
                    </w:rPr>
                    <m:t>2</m:t>
                  </m:r>
                  <m:sSub>
                    <m:sSubPr>
                      <m:ctrlPr>
                        <w:rPr>
                          <w:rFonts w:hint="default" w:ascii="Cambria Math" w:hAnsi="Cambria Math" w:eastAsia="等线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等线"/>
                          <w:sz w:val="20"/>
                        </w:rPr>
                        <m:t>K</m:t>
                      </m:r>
                      <m:ctrlPr>
                        <w:rPr>
                          <w:rFonts w:ascii="Cambria Math" w:hAnsi="Cambria Math" w:eastAsia="等线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等线"/>
                          <w:sz w:val="20"/>
                        </w:rPr>
                        <m:t>H</m:t>
                      </m:r>
                      <m:ctrlPr>
                        <w:rPr>
                          <w:rFonts w:ascii="Cambria Math" w:hAnsi="Cambria Math" w:eastAsia="等线"/>
                          <w:sz w:val="2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eastAsia="等线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等线"/>
                          <w:sz w:val="20"/>
                        </w:rPr>
                        <m:t>T</m:t>
                      </m:r>
                      <m:ctrlPr>
                        <w:rPr>
                          <w:rFonts w:ascii="Cambria Math" w:hAnsi="Cambria Math" w:eastAsia="等线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等线"/>
                          <w:sz w:val="20"/>
                        </w:rPr>
                        <m:t>1</m:t>
                      </m:r>
                      <m:ctrlPr>
                        <w:rPr>
                          <w:rFonts w:ascii="Cambria Math" w:hAnsi="Cambria Math" w:eastAsia="等线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等线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等线"/>
                      <w:sz w:val="20"/>
                    </w:rPr>
                    <m:t>b</m:t>
                  </m:r>
                  <m:sSubSup>
                    <m:sSubSupPr>
                      <m:ctrlPr>
                        <w:rPr>
                          <w:rFonts w:hint="default" w:ascii="Cambria Math" w:hAnsi="Cambria Math" w:eastAsia="等线"/>
                          <w:sz w:val="20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等线"/>
                          <w:sz w:val="20"/>
                        </w:rPr>
                        <m:t>d</m:t>
                      </m:r>
                      <m:ctrlPr>
                        <w:rPr>
                          <w:rFonts w:ascii="Cambria Math" w:hAnsi="Cambria Math" w:eastAsia="等线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等线"/>
                          <w:sz w:val="20"/>
                        </w:rPr>
                        <m:t>1</m:t>
                      </m:r>
                      <m:ctrlPr>
                        <w:rPr>
                          <w:rFonts w:ascii="Cambria Math" w:hAnsi="Cambria Math" w:eastAsia="等线"/>
                          <w:sz w:val="20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等线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 w:eastAsia="等线"/>
                          <w:sz w:val="20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等线"/>
                      <w:sz w:val="20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等线"/>
                  <w:sz w:val="20"/>
                </w:rPr>
                <m:t>⋅</m:t>
              </m:r>
              <m:f>
                <m:fPr>
                  <m:ctrlPr>
                    <w:rPr>
                      <w:rFonts w:hint="default" w:ascii="Cambria Math" w:hAnsi="Cambria Math" w:eastAsia="等线"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等线"/>
                      <w:sz w:val="20"/>
                    </w:rPr>
                    <m:t>u+1</m:t>
                  </m:r>
                  <m:ctrlPr>
                    <w:rPr>
                      <w:rFonts w:hint="default" w:ascii="Cambria Math" w:hAnsi="Cambria Math" w:eastAsia="等线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等线"/>
                      <w:sz w:val="20"/>
                    </w:rPr>
                    <m:t>u</m:t>
                  </m:r>
                  <m:ctrlPr>
                    <w:rPr>
                      <w:rFonts w:hint="default" w:ascii="Cambria Math" w:hAnsi="Cambria Math" w:eastAsia="等线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等线"/>
                  <w:sz w:val="20"/>
                </w:rPr>
              </m:ctrlPr>
            </m:e>
          </m:rad>
        </m:oMath>
      </m:oMathPara>
    </w:p>
    <w:p w14:paraId="2F112951">
      <w:pPr>
        <w:pStyle w:val="8"/>
        <w:bidi w:val="0"/>
        <w:jc w:val="center"/>
      </w:pPr>
      <w:r>
        <w:t>表4-3 齿轮接触强度校核参数</w:t>
      </w:r>
    </w:p>
    <w:tbl>
      <w:tblPr>
        <w:tblStyle w:val="14"/>
        <w:tblW w:w="88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1957"/>
        <w:gridCol w:w="2210"/>
        <w:gridCol w:w="1977"/>
      </w:tblGrid>
      <w:tr w14:paraId="35E26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C470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校核参数</w:t>
            </w:r>
          </w:p>
        </w:tc>
        <w:tc>
          <w:tcPr>
            <w:tcW w:w="19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C5C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符号</w:t>
            </w:r>
          </w:p>
        </w:tc>
        <w:tc>
          <w:tcPr>
            <w:tcW w:w="2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A1BC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数值</w:t>
            </w:r>
          </w:p>
        </w:tc>
        <w:tc>
          <w:tcPr>
            <w:tcW w:w="197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0078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单位</w:t>
            </w:r>
          </w:p>
        </w:tc>
      </w:tr>
      <w:tr w14:paraId="22E5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F914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材料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2FD8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—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EE54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304不锈钢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DA6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—</w:t>
            </w:r>
          </w:p>
        </w:tc>
      </w:tr>
      <w:tr w14:paraId="1B77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A44E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硬度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0FD9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HB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2374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~200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F2CE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—</w:t>
            </w:r>
          </w:p>
        </w:tc>
      </w:tr>
      <w:tr w14:paraId="4523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E317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许用接触应力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E514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[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σ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H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]</m:t>
                </m:r>
              </m:oMath>
            </m:oMathPara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318C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600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B6C6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MPa</w:t>
            </w:r>
          </w:p>
        </w:tc>
      </w:tr>
      <w:tr w14:paraId="3DDA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BDE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节点区域系数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6C79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Z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H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2BF2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2.5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387E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—</w:t>
            </w:r>
          </w:p>
        </w:tc>
      </w:tr>
      <w:tr w14:paraId="7BDC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FCB5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弹性系数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9319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Z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E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1BF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190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6968C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sqrt(MPa)</w:t>
            </w:r>
          </w:p>
        </w:tc>
      </w:tr>
      <w:tr w14:paraId="20328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5D9D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重合度系数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AC9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Z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epsilion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687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0.88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FD71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—</w:t>
            </w:r>
          </w:p>
        </w:tc>
      </w:tr>
      <w:tr w14:paraId="130A7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5CCE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动载系数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1E66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K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H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815D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1.3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7CC7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—</w:t>
            </w:r>
          </w:p>
        </w:tc>
      </w:tr>
      <w:tr w14:paraId="4D18B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CC16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小齿轮转矩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69B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T1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C338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5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C761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N·mm</w:t>
            </w:r>
          </w:p>
        </w:tc>
      </w:tr>
      <w:tr w14:paraId="20FCD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7C68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齿宽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D8D5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b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B709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3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A25E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mm</w:t>
            </w:r>
          </w:p>
        </w:tc>
      </w:tr>
      <w:tr w14:paraId="0CEE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CD09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齿数比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2826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u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023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5.714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324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—</w:t>
            </w:r>
          </w:p>
        </w:tc>
      </w:tr>
      <w:tr w14:paraId="26DF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564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计算接触应力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EEB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σ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H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DD7F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420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749A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MPa</w:t>
            </w:r>
          </w:p>
        </w:tc>
      </w:tr>
      <w:tr w14:paraId="43AD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A3BA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安全裕度</w:t>
            </w:r>
          </w:p>
        </w:tc>
        <w:tc>
          <w:tcPr>
            <w:tcW w:w="19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421E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—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2E2D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1.43</w:t>
            </w:r>
          </w:p>
        </w:tc>
        <w:tc>
          <w:tcPr>
            <w:tcW w:w="1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ACC0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4"/>
              </w:rPr>
              <w:t>—</w:t>
            </w:r>
          </w:p>
        </w:tc>
      </w:tr>
    </w:tbl>
    <w:p w14:paraId="48A56602">
      <w:pPr>
        <w:spacing w:line="360" w:lineRule="auto"/>
        <w:ind w:firstLine="500" w:firstLineChars="0"/>
      </w:pPr>
      <w:r>
        <w:rPr>
          <w:rFonts w:hint="eastAsia" w:cs="宋体"/>
          <w:sz w:val="24"/>
          <w:szCs w:val="24"/>
          <w:lang w:val="en-US" w:eastAsia="zh-CN"/>
        </w:rPr>
        <w:t>最终通过设计该减速器，将驱动电机的动力传递给齿轮3，进一步传递给蝴蝶的扑扇机构，使其符合蝴蝶扑翼过程中的正常频率。</w:t>
      </w:r>
    </w:p>
    <w:sectPr>
      <w:headerReference r:id="rId3" w:type="default"/>
      <w:footerReference r:id="rId4" w:type="default"/>
      <w:pgSz w:w="11906" w:h="16838"/>
      <w:pgMar w:top="1417" w:right="1304" w:bottom="1134" w:left="153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13DD6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3373C">
    <w:pPr>
      <w:jc w:val="center"/>
    </w:pPr>
    <w:r>
      <w:rPr>
        <w:rFonts w:ascii="宋体" w:hAnsi="宋体" w:eastAsia="宋体" w:cs="宋体"/>
        <w:i/>
        <w:iCs/>
        <w:sz w:val="18"/>
        <w:szCs w:val="18"/>
      </w:rPr>
      <w:t>仿生蝴蝶扑翼微型飞行器（MAV）工程设计报告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3444FC9"/>
    <w:rsid w:val="68F47B1E"/>
    <w:rsid w:val="7ACD5787"/>
    <w:rsid w:val="7F8110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18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  <w:outlineLvl w:val="2"/>
    </w:pPr>
    <w:rPr>
      <w:rFonts w:ascii="黑体" w:hAnsi="黑体" w:eastAsia="黑体" w:cs="黑体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1">
    <w:name w:val="Normal (Web)"/>
    <w:basedOn w:val="1"/>
    <w:qFormat/>
    <w:uiPriority w:val="0"/>
    <w:rPr>
      <w:sz w:val="24"/>
    </w:rPr>
  </w:style>
  <w:style w:type="paragraph" w:styleId="12">
    <w:name w:val="Title"/>
    <w:qFormat/>
    <w:uiPriority w:val="0"/>
    <w:rPr>
      <w:rFonts w:ascii="宋体" w:hAnsi="宋体" w:eastAsia="宋体" w:cs="宋体"/>
      <w:sz w:val="56"/>
      <w:szCs w:val="56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22">
    <w:name w:val="公式"/>
    <w:qFormat/>
    <w:uiPriority w:val="0"/>
    <w:pPr>
      <w:spacing w:before="60" w:after="140" w:line="264" w:lineRule="auto"/>
      <w:jc w:val="center"/>
    </w:pPr>
    <w:rPr>
      <w:rFonts w:ascii="Consolas" w:hAnsi="Consolas" w:eastAsia="等线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905</Words>
  <Characters>1294</Characters>
  <TotalTime>11</TotalTime>
  <ScaleCrop>false</ScaleCrop>
  <LinksUpToDate>false</LinksUpToDate>
  <CharactersWithSpaces>1312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2026-06-19T16:32:00Z</dcterms:created>
  <dc:creator>Un-named</dc:creator>
  <cp:lastModifiedBy>华聪</cp:lastModifiedBy>
  <dcterms:modified xsi:type="dcterms:W3CDTF">2026-06-19T18:19:44Z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eyJoZGlkIjoiN2UzYjM5Y2E2NDU4ODA3YjAyMTUyMzMwNjMzM2ZmNjQiLCJ1c2VySWQiOiI5NDIxNjQ0NDAifQ==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B75BD6A9F6524F52B90E9FD32B130E63_12</vt:lpwstr>
  </property>
</Properties>
</file>