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Times New Roman" w:eastAsia="宋体" w:cs="Times New Roman"/>
          <w:b/>
          <w:i w:val="0"/>
          <w:color w:val="000000"/>
          <w:sz w:val="44"/>
        </w:rPr>
        <w:t>鸢尾花分类问题的人工智能方法对比研究</w:t>
      </w:r>
    </w:p>
    <w:p>
      <w:pPr>
        <w:spacing w:line="360" w:lineRule="auto" w:after="120"/>
        <w:ind w:left="567" w:firstLine="482"/>
      </w:pPr>
      <w:r>
        <w:rPr>
          <w:rFonts w:ascii="Times New Roman" w:hAnsi="Times New Roman" w:eastAsia="宋体" w:cs="Times New Roman"/>
          <w:b w:val="0"/>
          <w:i/>
          <w:color w:val="000000"/>
          <w:sz w:val="21"/>
        </w:rPr>
        <w:t>人工智能课程大作业</w:t>
      </w:r>
    </w:p>
    <w:p>
      <w:pPr>
        <w:spacing w:before="240" w:after="120" w:lineRule="auto" w:line="300"/>
        <w:jc w:val="left"/>
      </w:pPr>
      <w:r>
        <w:rPr>
          <w:rFonts w:ascii="Times New Roman" w:hAnsi="Times New Roman" w:eastAsia="宋体" w:cs="Times New Roman"/>
          <w:b/>
          <w:i w:val="0"/>
          <w:color w:val="000000"/>
          <w:sz w:val="32"/>
        </w:rPr>
        <w:t>摘要</w:t>
      </w:r>
    </w:p>
    <w:p>
      <w:pPr>
        <w:spacing w:line="360" w:lineRule="auto" w:after="120" w:before="0"/>
        <w:ind w:firstLine="482"/>
      </w:pPr>
      <w:r>
        <w:rPr>
          <w:rFonts w:ascii="Times New Roman" w:hAnsi="Times New Roman" w:eastAsia="宋体" w:cs="Times New Roman"/>
          <w:b w:val="0"/>
          <w:i w:val="0"/>
          <w:color w:val="000000"/>
          <w:sz w:val="24"/>
        </w:rPr>
        <w:t>本实验在Iris鸢尾花数据集上对比了8类共12个分类方法的性能。考虑到单次划分的方差较高，实验采用10次重复试验，并将各次试验的测试集预测汇总后统一计算F1、ROC和混淆矩阵。结果显示，经过网格搜索调优的MLP以平均95.8%的准确率排第一，三隐层MLP和梯度提升树以93.6%垫底。MLP单隐层配置的标准差最大，达3.9%，逻辑回归最稳定，仅2.4%。网格搜索选出的参数差异极大——10次试验中最常见的配置也仅出现2次——但整体平均仍优于所有手动配置，说明参数搜索虽不稳定但总体有益。消融实验进一步发现：决策树在训练数据缩减至10%时准确率降至62.2%，而SVM仍能保持84.4%；不做标准化时KNN和MLP反而更准，表明在单次划分下即使预处理这种常规操作的结论也可能被随机性左右。</w:t>
      </w:r>
    </w:p>
    <w:p>
      <w:pPr>
        <w:spacing w:line="360" w:lineRule="auto" w:after="120" w:before="0"/>
        <w:ind w:firstLine="482"/>
      </w:pPr>
      <w:r>
        <w:rPr>
          <w:rFonts w:ascii="Times New Roman" w:hAnsi="Times New Roman" w:eastAsia="宋体" w:cs="Times New Roman"/>
          <w:b/>
          <w:i w:val="0"/>
          <w:color w:val="000000"/>
          <w:sz w:val="24"/>
        </w:rPr>
        <w:t>关键词：</w:t>
      </w:r>
      <w:r>
        <w:rPr>
          <w:rFonts w:ascii="Times New Roman" w:hAnsi="Times New Roman" w:eastAsia="宋体" w:cs="Times New Roman"/>
          <w:b w:val="0"/>
          <w:i w:val="0"/>
          <w:color w:val="000000"/>
          <w:sz w:val="24"/>
        </w:rPr>
        <w:t>鸢尾花分类；机器学习；重复试验；网格搜索；消融实验</w:t>
      </w:r>
    </w:p>
    <w:p>
      <w:pPr>
        <w:spacing w:before="240" w:after="120" w:lineRule="auto" w:line="300"/>
        <w:jc w:val="left"/>
      </w:pPr>
      <w:r>
        <w:rPr>
          <w:rFonts w:ascii="Times New Roman" w:hAnsi="Times New Roman" w:eastAsia="宋体" w:cs="Times New Roman"/>
          <w:b/>
          <w:i w:val="0"/>
          <w:color w:val="000000"/>
          <w:sz w:val="32"/>
        </w:rPr>
        <w:t>1. 引言</w:t>
      </w:r>
    </w:p>
    <w:p>
      <w:pPr>
        <w:spacing w:line="360" w:lineRule="auto" w:after="120" w:before="0"/>
        <w:ind w:firstLine="482"/>
      </w:pPr>
      <w:r>
        <w:rPr>
          <w:rFonts w:ascii="Times New Roman" w:hAnsi="Times New Roman" w:eastAsia="宋体" w:cs="Times New Roman"/>
          <w:b w:val="0"/>
          <w:i w:val="0"/>
          <w:color w:val="000000"/>
          <w:sz w:val="24"/>
        </w:rPr>
        <w:t>鸢尾花数据集由Fisher于1936年提出，包含3个品种各50条样本，每条记录花萼长、花萼宽、花瓣长、花瓣宽4个特征。因特征区分度高，常被用作机器学习入门实验。</w:t>
      </w:r>
    </w:p>
    <w:p>
      <w:pPr>
        <w:spacing w:line="360" w:lineRule="auto" w:after="120" w:before="0"/>
        <w:ind w:firstLine="482"/>
      </w:pPr>
      <w:r>
        <w:rPr>
          <w:rFonts w:ascii="Times New Roman" w:hAnsi="Times New Roman" w:eastAsia="宋体" w:cs="Times New Roman"/>
          <w:b w:val="0"/>
          <w:i w:val="0"/>
          <w:color w:val="000000"/>
          <w:sz w:val="24"/>
        </w:rPr>
        <w:t>本次大作业的任务是在该数据集上对比多种分类方法。实际实验过程中发现，比较哪个模型最好并非重点——Iris数据过于简单，所有方法准确率均在94%附近——更有价值的是一些反直觉的结果：MLP增加层数后性能反而下降、网格搜索选出的参数极不稳定、不做标准化的距离模型反而更准。本报告围绕这些现象展开分析。</w:t>
      </w:r>
    </w:p>
    <w:p>
      <w:pPr>
        <w:spacing w:before="240" w:after="120" w:lineRule="auto" w:line="300"/>
        <w:jc w:val="left"/>
      </w:pPr>
      <w:r>
        <w:rPr>
          <w:rFonts w:ascii="Times New Roman" w:hAnsi="Times New Roman" w:eastAsia="宋体" w:cs="Times New Roman"/>
          <w:b/>
          <w:i w:val="0"/>
          <w:color w:val="000000"/>
          <w:sz w:val="32"/>
        </w:rPr>
        <w:t>2. 实验设置</w:t>
      </w:r>
    </w:p>
    <w:p>
      <w:pPr>
        <w:spacing w:before="240" w:after="120" w:lineRule="auto" w:line="300"/>
        <w:jc w:val="left"/>
      </w:pPr>
      <w:r>
        <w:rPr>
          <w:rFonts w:ascii="Times New Roman" w:hAnsi="Times New Roman" w:eastAsia="宋体" w:cs="Times New Roman"/>
          <w:b/>
          <w:i w:val="0"/>
          <w:color w:val="000000"/>
          <w:sz w:val="28"/>
        </w:rPr>
        <w:t>2.1数据集与预处理</w:t>
      </w:r>
    </w:p>
    <w:p>
      <w:pPr>
        <w:spacing w:line="360" w:lineRule="auto" w:after="120" w:before="0"/>
        <w:ind w:firstLine="482"/>
      </w:pPr>
      <w:r>
        <w:rPr>
          <w:rFonts w:ascii="Times New Roman" w:hAnsi="Times New Roman" w:eastAsia="宋体" w:cs="Times New Roman"/>
          <w:b w:val="0"/>
          <w:i w:val="0"/>
          <w:color w:val="000000"/>
          <w:sz w:val="24"/>
        </w:rPr>
        <w:t>数据集共150条样本，3个类别各50条，完全平衡。实验采用10次独立重复试验：每次随机将70%的样本划分为训练集，含105条；30%为测试集，含45条。最终报告的准确率为10次测试的均值与标准差。每次试验中各模型的预测标签、概率和F1保存至</w:t>
      </w:r>
      <w:r>
        <w:rPr>
          <w:rFonts w:ascii="Times New Roman" w:hAnsi="Times New Roman" w:eastAsia="宋体" w:cs="Times New Roman"/>
          <w:b w:val="0"/>
          <w:i w:val="0"/>
          <w:color w:val="000000"/>
          <w:sz w:val="24"/>
        </w:rPr>
        <w:t>experiment_results.json</w:t>
      </w:r>
      <w:r>
        <w:rPr>
          <w:rFonts w:ascii="Times New Roman" w:hAnsi="Times New Roman" w:eastAsia="宋体" w:cs="Times New Roman"/>
          <w:b w:val="0"/>
          <w:i w:val="0"/>
          <w:color w:val="000000"/>
          <w:sz w:val="24"/>
        </w:rPr>
        <w:t>，训练好的模型、标准化器和数据划分保存至</w:t>
      </w:r>
      <w:r>
        <w:rPr>
          <w:rFonts w:ascii="Times New Roman" w:hAnsi="Times New Roman" w:eastAsia="宋体" w:cs="Times New Roman"/>
          <w:b w:val="0"/>
          <w:i w:val="0"/>
          <w:color w:val="000000"/>
          <w:sz w:val="24"/>
        </w:rPr>
        <w:t>session.joblib</w:t>
      </w:r>
      <w:r>
        <w:rPr>
          <w:rFonts w:ascii="Times New Roman" w:hAnsi="Times New Roman" w:eastAsia="宋体" w:cs="Times New Roman"/>
          <w:b w:val="0"/>
          <w:i w:val="0"/>
          <w:color w:val="000000"/>
          <w:sz w:val="24"/>
        </w:rPr>
        <w:t>。</w:t>
      </w:r>
    </w:p>
    <w:p>
      <w:pPr>
        <w:spacing w:line="360" w:lineRule="auto" w:after="120" w:before="0"/>
        <w:ind w:firstLine="482"/>
      </w:pPr>
      <w:r>
        <w:rPr>
          <w:rFonts w:ascii="Times New Roman" w:hAnsi="Times New Roman" w:eastAsia="宋体" w:cs="Times New Roman"/>
          <w:b w:val="0"/>
          <w:i w:val="0"/>
          <w:color w:val="000000"/>
          <w:sz w:val="24"/>
        </w:rPr>
        <w:t>在评估方式上做了改进：不再仅依赖末次试验的45条测试样本，而是将10次试验的全部测试集预测拼接为约450条样本后统一计算F1、ROC和混淆矩阵。这一拼接策略同样应用于各单方法可视化图（图4至图6、图12至图16）的混淆矩阵，使每张混淆矩阵反映10次试验的综合表现。</w:t>
      </w:r>
    </w:p>
    <w:p>
      <w:pPr>
        <w:spacing w:line="360" w:lineRule="auto" w:after="120" w:before="0"/>
        <w:ind w:firstLine="482"/>
      </w:pPr>
      <w:r>
        <w:rPr>
          <w:rFonts w:ascii="Times New Roman" w:hAnsi="Times New Roman" w:eastAsia="宋体" w:cs="Times New Roman"/>
          <w:b w:val="0"/>
          <w:i w:val="0"/>
          <w:color w:val="000000"/>
          <w:sz w:val="24"/>
        </w:rPr>
        <w:t>交叉验证方面，10次试验各在训练集上做5折分层交叉验证，共获得50个分数，跨试验取均值。参与交叉验证的模型为6个：逻辑回归、SVM、随机森林、KNN、梯度提升树和朴素贝叶斯，不含MLP变体和决策树。</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消融实验基于末次试验的单次划分，末次划分固定随机种子</w:t>
      </w:r>
      <w:r>
        <w:rPr>
          <w:rFonts w:ascii="Times New Roman" w:hAnsi="Times New Roman" w:eastAsia="宋体" w:cs="Times New Roman"/>
          <w:b w:val="0"/>
          <w:i w:val="0"/>
          <w:color w:val="000000"/>
          <w:sz w:val="24"/>
        </w:rPr>
        <w:t>random_state=42</w:t>
      </w:r>
      <w:r>
        <w:rPr>
          <w:rFonts w:ascii="Times New Roman" w:hAnsi="Times New Roman" w:eastAsia="宋体" w:cs="Times New Roman"/>
          <w:b w:val="0"/>
          <w:i w:val="0"/>
          <w:color w:val="000000"/>
          <w:sz w:val="24"/>
        </w:rPr>
        <w:t>以保证可复现。特征消融、数据量消融、MLP架构消融和预处理消融这四组结果同样保存在session中，供</w:t>
      </w:r>
      <w:r>
        <w:rPr>
          <w:rFonts w:ascii="Times New Roman" w:hAnsi="Times New Roman" w:eastAsia="宋体" w:cs="Times New Roman"/>
          <w:b w:val="0"/>
          <w:i w:val="0"/>
          <w:color w:val="000000"/>
          <w:sz w:val="24"/>
        </w:rPr>
        <w:t>--analyze</w:t>
      </w:r>
      <w:r>
        <w:rPr>
          <w:rFonts w:ascii="Times New Roman" w:hAnsi="Times New Roman" w:eastAsia="宋体" w:cs="Times New Roman"/>
          <w:b w:val="0"/>
          <w:i w:val="0"/>
          <w:color w:val="000000"/>
          <w:sz w:val="24"/>
        </w:rPr>
        <w:t>模式直接读取。</w:t>
      </w:r>
    </w:p>
    <w:p>
      <w:pPr>
        <w:spacing w:line="360" w:lineRule="auto" w:after="120" w:before="0"/>
        <w:ind w:firstLine="482"/>
      </w:pPr>
      <w:r>
        <w:rPr>
          <w:rFonts w:ascii="Times New Roman" w:hAnsi="Times New Roman" w:eastAsia="宋体" w:cs="Times New Roman"/>
          <w:b w:val="0"/>
          <w:i w:val="0"/>
          <w:color w:val="000000"/>
          <w:sz w:val="24"/>
        </w:rPr>
        <w:t>标准化方面，对所有模型统一使用基于训练集均值和标准差的标准化，变换后应用于测试集。树模型和朴素贝叶斯理论上不受量纲影响，但为保持处理一致，同样走这一流程。</w:t>
      </w:r>
    </w:p>
    <w:p>
      <w:pPr>
        <w:spacing w:line="360" w:lineRule="auto" w:after="120" w:before="0"/>
        <w:ind w:firstLine="482"/>
      </w:pPr>
      <w:r>
        <w:rPr>
          <w:rFonts w:ascii="Times New Roman" w:hAnsi="Times New Roman" w:eastAsia="宋体" w:cs="Times New Roman"/>
          <w:b w:val="0"/>
          <w:i w:val="0"/>
          <w:color w:val="000000"/>
          <w:sz w:val="24"/>
        </w:rPr>
        <w:t>关于可复现性：首次执行</w:t>
      </w:r>
      <w:r>
        <w:rPr>
          <w:rFonts w:ascii="Times New Roman" w:hAnsi="Times New Roman" w:eastAsia="宋体" w:cs="Times New Roman"/>
          <w:b w:val="0"/>
          <w:i w:val="0"/>
          <w:color w:val="000000"/>
          <w:sz w:val="24"/>
        </w:rPr>
        <w:t>python classify.py</w:t>
      </w:r>
      <w:r>
        <w:rPr>
          <w:rFonts w:ascii="Times New Roman" w:hAnsi="Times New Roman" w:eastAsia="宋体" w:cs="Times New Roman"/>
          <w:b w:val="0"/>
          <w:i w:val="0"/>
          <w:color w:val="000000"/>
          <w:sz w:val="24"/>
        </w:rPr>
        <w:t>会完成训练并保存session，之后执行</w:t>
      </w:r>
      <w:r>
        <w:rPr>
          <w:rFonts w:ascii="Times New Roman" w:hAnsi="Times New Roman" w:eastAsia="宋体" w:cs="Times New Roman"/>
          <w:b w:val="0"/>
          <w:i w:val="0"/>
          <w:color w:val="000000"/>
          <w:sz w:val="24"/>
        </w:rPr>
        <w:t>python classify.py --analyze</w:t>
      </w:r>
      <w:r>
        <w:rPr>
          <w:rFonts w:ascii="Times New Roman" w:hAnsi="Times New Roman" w:eastAsia="宋体" w:cs="Times New Roman"/>
          <w:b w:val="0"/>
          <w:i w:val="0"/>
          <w:color w:val="000000"/>
          <w:sz w:val="24"/>
        </w:rPr>
        <w:t>即可从session加载全部数据重绘所有图表，包含消融实验，无需重新训练。需注意每次完整运行会产生新的随机划分，因此具体数值会有小幅波动，但定性趋势保持稳定。</w:t>
      </w:r>
    </w:p>
    <w:p>
      <w:pPr>
        <w:spacing w:before="240" w:after="120" w:lineRule="auto" w:line="300"/>
        <w:jc w:val="left"/>
      </w:pPr>
      <w:r>
        <w:rPr>
          <w:rFonts w:ascii="Times New Roman" w:hAnsi="Times New Roman" w:eastAsia="宋体" w:cs="Times New Roman"/>
          <w:b/>
          <w:i w:val="0"/>
          <w:color w:val="000000"/>
          <w:sz w:val="28"/>
        </w:rPr>
        <w:t>2.2方法概览</w:t>
      </w:r>
    </w:p>
    <w:p>
      <w:pPr>
        <w:spacing w:line="360" w:lineRule="auto" w:after="120" w:before="0"/>
        <w:ind w:firstLine="482"/>
      </w:pPr>
      <w:r>
        <w:rPr>
          <w:rFonts w:ascii="Times New Roman" w:hAnsi="Times New Roman" w:eastAsia="宋体" w:cs="Times New Roman"/>
          <w:b w:val="0"/>
          <w:i w:val="0"/>
          <w:color w:val="000000"/>
          <w:sz w:val="24"/>
        </w:rPr>
        <w:t>共8类12个模型：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类别</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关键参数</w:t>
            </w:r>
          </w:p>
        </w:tc>
      </w:tr>
      <w:tr>
        <w:tc>
          <w:tcPr>
            <w:tcW w:type="dxa" w:w="2880"/>
          </w:tcPr>
          <w:p>
            <w:pPr>
              <w:jc w:val="center"/>
            </w:pPr>
            <w:r>
              <w:rPr>
                <w:rFonts w:ascii="Times New Roman" w:hAnsi="Times New Roman" w:eastAsia="宋体" w:cs="Times New Roman"/>
                <w:b w:val="0"/>
                <w:i w:val="0"/>
                <w:color w:val="000000"/>
                <w:sz w:val="24"/>
              </w:rPr>
              <w:t>线性</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LBFGS求解器, 正则化系数C=1.0</w:t>
            </w:r>
          </w:p>
        </w:tc>
      </w:tr>
      <w:tr>
        <w:tc>
          <w:tcPr>
            <w:tcW w:type="dxa" w:w="2880"/>
          </w:tcPr>
          <w:p>
            <w:pPr>
              <w:jc w:val="center"/>
            </w:pPr>
            <w:r>
              <w:rPr>
                <w:rFonts w:ascii="Times New Roman" w:hAnsi="Times New Roman" w:eastAsia="宋体" w:cs="Times New Roman"/>
                <w:b w:val="0"/>
                <w:i w:val="0"/>
                <w:color w:val="000000"/>
                <w:sz w:val="24"/>
              </w:rPr>
              <w:t>核方法</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C=1.0, 核宽度gamma=scale</w:t>
            </w:r>
          </w:p>
        </w:tc>
      </w:tr>
      <w:tr>
        <w:tc>
          <w:tcPr>
            <w:tcW w:type="dxa" w:w="2880"/>
          </w:tcPr>
          <w:p>
            <w:pPr>
              <w:jc w:val="center"/>
            </w:pPr>
            <w:r>
              <w:rPr>
                <w:rFonts w:ascii="Times New Roman" w:hAnsi="Times New Roman" w:eastAsia="宋体" w:cs="Times New Roman"/>
                <w:b w:val="0"/>
                <w:i w:val="0"/>
                <w:color w:val="000000"/>
                <w:sz w:val="24"/>
              </w:rPr>
              <w:t>树</w:t>
            </w:r>
          </w:p>
        </w:tc>
        <w:tc>
          <w:tcPr>
            <w:tcW w:type="dxa" w:w="2880"/>
          </w:tcPr>
          <w:p>
            <w:pPr>
              <w:jc w:val="center"/>
            </w:pPr>
            <w:r>
              <w:rPr>
                <w:rFonts w:ascii="Times New Roman" w:hAnsi="Times New Roman" w:eastAsia="宋体" w:cs="Times New Roman"/>
                <w:b w:val="0"/>
                <w:i w:val="0"/>
                <w:color w:val="000000"/>
                <w:sz w:val="24"/>
              </w:rPr>
              <w:t>决策树（深度为3）</w:t>
            </w:r>
          </w:p>
        </w:tc>
        <w:tc>
          <w:tcPr>
            <w:tcW w:type="dxa" w:w="2880"/>
          </w:tcPr>
          <w:p>
            <w:pPr>
              <w:jc w:val="center"/>
            </w:pPr>
            <w:r>
              <w:rPr>
                <w:rFonts w:ascii="Times New Roman" w:hAnsi="Times New Roman" w:eastAsia="宋体" w:cs="Times New Roman"/>
                <w:b w:val="0"/>
                <w:i w:val="0"/>
                <w:color w:val="000000"/>
                <w:sz w:val="24"/>
              </w:rPr>
              <w:t>max_depth=3</w:t>
            </w:r>
          </w:p>
        </w:tc>
      </w:tr>
      <w:tr>
        <w:tc>
          <w:tcPr>
            <w:tcW w:type="dxa" w:w="2880"/>
          </w:tcPr>
          <w:p>
            <w:pPr>
              <w:jc w:val="center"/>
            </w:pPr>
            <w:r>
              <w:rPr>
                <w:rFonts w:ascii="Times New Roman" w:hAnsi="Times New Roman" w:eastAsia="宋体" w:cs="Times New Roman"/>
                <w:b w:val="0"/>
                <w:i w:val="0"/>
                <w:color w:val="000000"/>
                <w:sz w:val="24"/>
              </w:rPr>
              <w:t>Bagging集成</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100棵树, max_depth=5</w:t>
            </w:r>
          </w:p>
        </w:tc>
      </w:tr>
      <w:tr>
        <w:tc>
          <w:tcPr>
            <w:tcW w:type="dxa" w:w="2880"/>
          </w:tcPr>
          <w:p>
            <w:pPr>
              <w:jc w:val="center"/>
            </w:pPr>
            <w:r>
              <w:rPr>
                <w:rFonts w:ascii="Times New Roman" w:hAnsi="Times New Roman" w:eastAsia="宋体" w:cs="Times New Roman"/>
                <w:b w:val="0"/>
                <w:i w:val="0"/>
                <w:color w:val="000000"/>
                <w:sz w:val="24"/>
              </w:rPr>
              <w:t>Boosting集成</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100棵, 学习率0.1, max_depth=3</w:t>
            </w:r>
          </w:p>
        </w:tc>
      </w:tr>
      <w:tr>
        <w:tc>
          <w:tcPr>
            <w:tcW w:type="dxa" w:w="2880"/>
          </w:tcPr>
          <w:p>
            <w:pPr>
              <w:jc w:val="center"/>
            </w:pPr>
            <w:r>
              <w:rPr>
                <w:rFonts w:ascii="Times New Roman" w:hAnsi="Times New Roman" w:eastAsia="宋体" w:cs="Times New Roman"/>
                <w:b w:val="0"/>
                <w:i w:val="0"/>
                <w:color w:val="000000"/>
                <w:sz w:val="24"/>
              </w:rPr>
              <w:t>距离</w:t>
            </w:r>
          </w:p>
        </w:tc>
        <w:tc>
          <w:tcPr>
            <w:tcW w:type="dxa" w:w="2880"/>
          </w:tcPr>
          <w:p>
            <w:pPr>
              <w:jc w:val="center"/>
            </w:pPr>
            <w:r>
              <w:rPr>
                <w:rFonts w:ascii="Times New Roman" w:hAnsi="Times New Roman" w:eastAsia="宋体" w:cs="Times New Roman"/>
                <w:b w:val="0"/>
                <w:i w:val="0"/>
                <w:color w:val="000000"/>
                <w:sz w:val="24"/>
              </w:rPr>
              <w:t>KNN（k=5）</w:t>
            </w:r>
          </w:p>
        </w:tc>
        <w:tc>
          <w:tcPr>
            <w:tcW w:type="dxa" w:w="2880"/>
          </w:tcPr>
          <w:p>
            <w:pPr>
              <w:jc w:val="center"/>
            </w:pPr>
            <w:r>
              <w:rPr>
                <w:rFonts w:ascii="Times New Roman" w:hAnsi="Times New Roman" w:eastAsia="宋体" w:cs="Times New Roman"/>
                <w:b w:val="0"/>
                <w:i w:val="0"/>
                <w:color w:val="000000"/>
                <w:sz w:val="24"/>
              </w:rPr>
              <w:t>近邻数n_neighbors=5</w:t>
            </w:r>
          </w:p>
        </w:tc>
      </w:tr>
      <w:tr>
        <w:tc>
          <w:tcPr>
            <w:tcW w:type="dxa" w:w="2880"/>
          </w:tcPr>
          <w:p>
            <w:pPr>
              <w:jc w:val="center"/>
            </w:pPr>
            <w:r>
              <w:rPr>
                <w:rFonts w:ascii="Times New Roman" w:hAnsi="Times New Roman" w:eastAsia="宋体" w:cs="Times New Roman"/>
                <w:b w:val="0"/>
                <w:i w:val="0"/>
                <w:color w:val="000000"/>
                <w:sz w:val="24"/>
              </w:rPr>
              <w:t>神经网络</w:t>
            </w:r>
          </w:p>
        </w:tc>
        <w:tc>
          <w:tcPr>
            <w:tcW w:type="dxa" w:w="2880"/>
          </w:tcPr>
          <w:p>
            <w:pPr>
              <w:jc w:val="center"/>
            </w:pPr>
            <w:r>
              <w:rPr>
                <w:rFonts w:ascii="Times New Roman" w:hAnsi="Times New Roman" w:eastAsia="宋体" w:cs="Times New Roman"/>
                <w:b w:val="0"/>
                <w:i w:val="0"/>
                <w:color w:val="000000"/>
                <w:sz w:val="24"/>
              </w:rPr>
              <w:t>MLP四组手动配置</w:t>
            </w:r>
          </w:p>
        </w:tc>
        <w:tc>
          <w:tcPr>
            <w:tcW w:type="dxa" w:w="2880"/>
          </w:tcPr>
          <w:p>
            <w:pPr>
              <w:jc w:val="center"/>
            </w:pPr>
            <w:r>
              <w:rPr>
                <w:rFonts w:ascii="Times New Roman" w:hAnsi="Times New Roman" w:eastAsia="宋体" w:cs="Times New Roman"/>
                <w:b w:val="0"/>
                <w:i w:val="0"/>
                <w:color w:val="000000"/>
                <w:sz w:val="24"/>
              </w:rPr>
              <w:t>详见下文</w:t>
            </w:r>
          </w:p>
        </w:tc>
      </w:tr>
      <w:tr>
        <w:tc>
          <w:tcPr>
            <w:tcW w:type="dxa" w:w="2880"/>
          </w:tcPr>
          <w:p>
            <w:pPr>
              <w:jc w:val="center"/>
            </w:pPr>
            <w:r>
              <w:rPr>
                <w:rFonts w:ascii="Times New Roman" w:hAnsi="Times New Roman" w:eastAsia="宋体" w:cs="Times New Roman"/>
                <w:b w:val="0"/>
                <w:i w:val="0"/>
                <w:color w:val="000000"/>
                <w:sz w:val="24"/>
              </w:rPr>
              <w:t>神经网络+调参</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自动扫描32组参数</w:t>
            </w:r>
          </w:p>
        </w:tc>
      </w:tr>
      <w:tr>
        <w:tc>
          <w:tcPr>
            <w:tcW w:type="dxa" w:w="2880"/>
          </w:tcPr>
          <w:p>
            <w:pPr>
              <w:jc w:val="center"/>
            </w:pPr>
            <w:r>
              <w:rPr>
                <w:rFonts w:ascii="Times New Roman" w:hAnsi="Times New Roman" w:eastAsia="宋体" w:cs="Times New Roman"/>
                <w:b w:val="0"/>
                <w:i w:val="0"/>
                <w:color w:val="000000"/>
                <w:sz w:val="24"/>
              </w:rPr>
              <w:t>概率</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w:t>
            </w:r>
          </w:p>
        </w:tc>
      </w:tr>
    </w:tbl>
    <w:p/>
    <w:p>
      <w:pPr>
        <w:spacing w:line="360" w:lineRule="auto" w:after="120" w:before="0"/>
        <w:ind w:firstLine="482"/>
      </w:pPr>
      <w:r>
        <w:rPr>
          <w:rFonts w:ascii="Times New Roman" w:hAnsi="Times New Roman" w:eastAsia="宋体" w:cs="Times New Roman"/>
          <w:b w:val="0"/>
          <w:i w:val="0"/>
          <w:color w:val="000000"/>
          <w:sz w:val="24"/>
        </w:rPr>
        <w:t>四组手动MLP配置如下：MLP分别设置单隐层16个神经元、单隐层32个接8个、双隐层64接32、三隐层32接16接8。所有MLP统一使用Adam优化器、ReLU激活函数、L2正则化系数0.001、最大迭代1000次。网格搜索版MLP在每轮试验中自动扫描4种隐层结构、4种正则化系数和2种激活函数，共32组参数组合，以5折交叉验证选出当轮最优配置，再在独立测试集上评估。</w:t>
      </w:r>
    </w:p>
    <w:p>
      <w:pPr>
        <w:spacing w:before="240" w:after="120" w:lineRule="auto" w:line="300"/>
        <w:jc w:val="left"/>
      </w:pPr>
      <w:r>
        <w:rPr>
          <w:rFonts w:ascii="Times New Roman" w:hAnsi="Times New Roman" w:eastAsia="宋体" w:cs="Times New Roman"/>
          <w:b/>
          <w:i w:val="0"/>
          <w:color w:val="000000"/>
          <w:sz w:val="32"/>
        </w:rPr>
        <w:t>3. 实验结果与发现</w:t>
      </w:r>
    </w:p>
    <w:p>
      <w:pPr>
        <w:spacing w:before="240" w:after="120" w:lineRule="auto" w:line="300"/>
        <w:jc w:val="left"/>
      </w:pPr>
      <w:r>
        <w:rPr>
          <w:rFonts w:ascii="Times New Roman" w:hAnsi="Times New Roman" w:eastAsia="宋体" w:cs="Times New Roman"/>
          <w:b/>
          <w:i w:val="0"/>
          <w:color w:val="000000"/>
          <w:sz w:val="28"/>
        </w:rPr>
        <w:t>3.1整体表现</w:t>
      </w:r>
    </w:p>
    <w:p>
      <w:pPr>
        <w:spacing w:line="360" w:lineRule="auto" w:after="120" w:before="0"/>
        <w:ind w:firstLine="482"/>
      </w:pPr>
      <w:r>
        <w:rPr>
          <w:rFonts w:ascii="Times New Roman" w:hAnsi="Times New Roman" w:eastAsia="宋体" w:cs="Times New Roman"/>
          <w:b w:val="0"/>
          <w:i w:val="0"/>
          <w:color w:val="000000"/>
          <w:sz w:val="24"/>
        </w:rPr>
        <w:t>10次试验的测试准确率均值与标准差如下，按均值降序排列：</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排名</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准确率</w:t>
            </w:r>
          </w:p>
        </w:tc>
      </w:tr>
      <w:tr>
        <w:tc>
          <w:tcPr>
            <w:tcW w:type="dxa" w:w="2880"/>
          </w:tcPr>
          <w:p>
            <w:pPr>
              <w:jc w:val="center"/>
            </w:pPr>
            <w:r>
              <w:rPr>
                <w:rFonts w:ascii="Times New Roman" w:hAnsi="Times New Roman" w:eastAsia="宋体" w:cs="Times New Roman"/>
                <w:b w:val="0"/>
                <w:i w:val="0"/>
                <w:color w:val="000000"/>
                <w:sz w:val="24"/>
              </w:rPr>
              <w:t>1</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95.8%±3.4%</w:t>
            </w:r>
          </w:p>
        </w:tc>
      </w:tr>
      <w:tr>
        <w:tc>
          <w:tcPr>
            <w:tcW w:type="dxa" w:w="2880"/>
          </w:tcPr>
          <w:p>
            <w:pPr>
              <w:jc w:val="center"/>
            </w:pPr>
            <w:r>
              <w:rPr>
                <w:rFonts w:ascii="Times New Roman" w:hAnsi="Times New Roman" w:eastAsia="宋体" w:cs="Times New Roman"/>
                <w:b w:val="0"/>
                <w:i w:val="0"/>
                <w:color w:val="000000"/>
                <w:sz w:val="24"/>
              </w:rPr>
              <w:t>2</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95.1%±2.6%</w:t>
            </w:r>
          </w:p>
        </w:tc>
      </w:tr>
      <w:tr>
        <w:tc>
          <w:tcPr>
            <w:tcW w:type="dxa" w:w="2880"/>
          </w:tcPr>
          <w:p>
            <w:pPr>
              <w:jc w:val="center"/>
            </w:pPr>
            <w:r>
              <w:rPr>
                <w:rFonts w:ascii="Times New Roman" w:hAnsi="Times New Roman" w:eastAsia="宋体" w:cs="Times New Roman"/>
                <w:b w:val="0"/>
                <w:i w:val="0"/>
                <w:color w:val="000000"/>
                <w:sz w:val="24"/>
              </w:rPr>
              <w:t>3</w:t>
            </w:r>
          </w:p>
        </w:tc>
        <w:tc>
          <w:tcPr>
            <w:tcW w:type="dxa" w:w="2880"/>
          </w:tcPr>
          <w:p>
            <w:pPr>
              <w:jc w:val="center"/>
            </w:pPr>
            <w:r>
              <w:rPr>
                <w:rFonts w:ascii="Times New Roman" w:hAnsi="Times New Roman" w:eastAsia="宋体" w:cs="Times New Roman"/>
                <w:b w:val="0"/>
                <w:i w:val="0"/>
                <w:color w:val="000000"/>
                <w:sz w:val="24"/>
              </w:rPr>
              <w:t>决策树</w:t>
            </w:r>
          </w:p>
        </w:tc>
        <w:tc>
          <w:tcPr>
            <w:tcW w:type="dxa" w:w="2880"/>
          </w:tcPr>
          <w:p>
            <w:pPr>
              <w:jc w:val="center"/>
            </w:pPr>
            <w:r>
              <w:rPr>
                <w:rFonts w:ascii="Times New Roman" w:hAnsi="Times New Roman" w:eastAsia="宋体" w:cs="Times New Roman"/>
                <w:b w:val="0"/>
                <w:i w:val="0"/>
                <w:color w:val="000000"/>
                <w:sz w:val="24"/>
              </w:rPr>
              <w:t>95.1%±2.8%</w:t>
            </w:r>
          </w:p>
        </w:tc>
      </w:tr>
      <w:tr>
        <w:tc>
          <w:tcPr>
            <w:tcW w:type="dxa" w:w="2880"/>
          </w:tcPr>
          <w:p>
            <w:pPr>
              <w:jc w:val="center"/>
            </w:pPr>
            <w:r>
              <w:rPr>
                <w:rFonts w:ascii="Times New Roman" w:hAnsi="Times New Roman" w:eastAsia="宋体" w:cs="Times New Roman"/>
                <w:b w:val="0"/>
                <w:i w:val="0"/>
                <w:color w:val="000000"/>
                <w:sz w:val="24"/>
              </w:rPr>
              <w:t>4</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94.9%±2.4%</w:t>
            </w:r>
          </w:p>
        </w:tc>
      </w:tr>
      <w:tr>
        <w:tc>
          <w:tcPr>
            <w:tcW w:type="dxa" w:w="2880"/>
          </w:tcPr>
          <w:p>
            <w:pPr>
              <w:jc w:val="center"/>
            </w:pPr>
            <w:r>
              <w:rPr>
                <w:rFonts w:ascii="Times New Roman" w:hAnsi="Times New Roman" w:eastAsia="宋体" w:cs="Times New Roman"/>
                <w:b w:val="0"/>
                <w:i w:val="0"/>
                <w:color w:val="000000"/>
                <w:sz w:val="24"/>
              </w:rPr>
              <w:t>5</w:t>
            </w:r>
          </w:p>
        </w:tc>
        <w:tc>
          <w:tcPr>
            <w:tcW w:type="dxa" w:w="2880"/>
          </w:tcPr>
          <w:p>
            <w:pPr>
              <w:jc w:val="center"/>
            </w:pPr>
            <w:r>
              <w:rPr>
                <w:rFonts w:ascii="Times New Roman" w:hAnsi="Times New Roman" w:eastAsia="宋体" w:cs="Times New Roman"/>
                <w:b w:val="0"/>
                <w:i w:val="0"/>
                <w:color w:val="000000"/>
                <w:sz w:val="24"/>
              </w:rPr>
              <w:t>MLP单隐层16</w:t>
            </w:r>
          </w:p>
        </w:tc>
        <w:tc>
          <w:tcPr>
            <w:tcW w:type="dxa" w:w="2880"/>
          </w:tcPr>
          <w:p>
            <w:pPr>
              <w:jc w:val="center"/>
            </w:pPr>
            <w:r>
              <w:rPr>
                <w:rFonts w:ascii="Times New Roman" w:hAnsi="Times New Roman" w:eastAsia="宋体" w:cs="Times New Roman"/>
                <w:b w:val="0"/>
                <w:i w:val="0"/>
                <w:color w:val="000000"/>
                <w:sz w:val="24"/>
              </w:rPr>
              <w:t>94.7%±3.9%</w:t>
            </w:r>
          </w:p>
        </w:tc>
      </w:tr>
      <w:tr>
        <w:tc>
          <w:tcPr>
            <w:tcW w:type="dxa" w:w="2880"/>
          </w:tcPr>
          <w:p>
            <w:pPr>
              <w:jc w:val="center"/>
            </w:pPr>
            <w:r>
              <w:rPr>
                <w:rFonts w:ascii="Times New Roman" w:hAnsi="Times New Roman" w:eastAsia="宋体" w:cs="Times New Roman"/>
                <w:b w:val="0"/>
                <w:i w:val="0"/>
                <w:color w:val="000000"/>
                <w:sz w:val="24"/>
              </w:rPr>
              <w:t>6</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94.7%±2.8%</w:t>
            </w:r>
          </w:p>
        </w:tc>
      </w:tr>
      <w:tr>
        <w:tc>
          <w:tcPr>
            <w:tcW w:type="dxa" w:w="2880"/>
          </w:tcPr>
          <w:p>
            <w:pPr>
              <w:jc w:val="center"/>
            </w:pPr>
            <w:r>
              <w:rPr>
                <w:rFonts w:ascii="Times New Roman" w:hAnsi="Times New Roman" w:eastAsia="宋体" w:cs="Times New Roman"/>
                <w:b w:val="0"/>
                <w:i w:val="0"/>
                <w:color w:val="000000"/>
                <w:sz w:val="24"/>
              </w:rPr>
              <w:t>7</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8</w:t>
            </w:r>
          </w:p>
        </w:tc>
        <w:tc>
          <w:tcPr>
            <w:tcW w:type="dxa" w:w="2880"/>
          </w:tcPr>
          <w:p>
            <w:pPr>
              <w:jc w:val="center"/>
            </w:pPr>
            <w:r>
              <w:rPr>
                <w:rFonts w:ascii="Times New Roman" w:hAnsi="Times New Roman" w:eastAsia="宋体" w:cs="Times New Roman"/>
                <w:b w:val="0"/>
                <w:i w:val="0"/>
                <w:color w:val="000000"/>
                <w:sz w:val="24"/>
              </w:rPr>
              <w:t>MLP双隐层64→32</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9</w:t>
            </w:r>
          </w:p>
        </w:tc>
        <w:tc>
          <w:tcPr>
            <w:tcW w:type="dxa" w:w="2880"/>
          </w:tcPr>
          <w:p>
            <w:pPr>
              <w:jc w:val="center"/>
            </w:pPr>
            <w:r>
              <w:rPr>
                <w:rFonts w:ascii="Times New Roman" w:hAnsi="Times New Roman" w:eastAsia="宋体" w:cs="Times New Roman"/>
                <w:b w:val="0"/>
                <w:i w:val="0"/>
                <w:color w:val="000000"/>
                <w:sz w:val="24"/>
              </w:rPr>
              <w:t>KNN（k=5）</w:t>
            </w:r>
          </w:p>
        </w:tc>
        <w:tc>
          <w:tcPr>
            <w:tcW w:type="dxa" w:w="2880"/>
          </w:tcPr>
          <w:p>
            <w:pPr>
              <w:jc w:val="center"/>
            </w:pPr>
            <w:r>
              <w:rPr>
                <w:rFonts w:ascii="Times New Roman" w:hAnsi="Times New Roman" w:eastAsia="宋体" w:cs="Times New Roman"/>
                <w:b w:val="0"/>
                <w:i w:val="0"/>
                <w:color w:val="000000"/>
                <w:sz w:val="24"/>
              </w:rPr>
              <w:t>94.2%±2.8%</w:t>
            </w:r>
          </w:p>
        </w:tc>
      </w:tr>
      <w:tr>
        <w:tc>
          <w:tcPr>
            <w:tcW w:type="dxa" w:w="2880"/>
          </w:tcPr>
          <w:p>
            <w:pPr>
              <w:jc w:val="center"/>
            </w:pPr>
            <w:r>
              <w:rPr>
                <w:rFonts w:ascii="Times New Roman" w:hAnsi="Times New Roman" w:eastAsia="宋体" w:cs="Times New Roman"/>
                <w:b w:val="0"/>
                <w:i w:val="0"/>
                <w:color w:val="000000"/>
                <w:sz w:val="24"/>
              </w:rPr>
              <w:t>10</w:t>
            </w:r>
          </w:p>
        </w:tc>
        <w:tc>
          <w:tcPr>
            <w:tcW w:type="dxa" w:w="2880"/>
          </w:tcPr>
          <w:p>
            <w:pPr>
              <w:jc w:val="center"/>
            </w:pPr>
            <w:r>
              <w:rPr>
                <w:rFonts w:ascii="Times New Roman" w:hAnsi="Times New Roman" w:eastAsia="宋体" w:cs="Times New Roman"/>
                <w:b w:val="0"/>
                <w:i w:val="0"/>
                <w:color w:val="000000"/>
                <w:sz w:val="24"/>
              </w:rPr>
              <w:t>MLP两隐层32→8</w:t>
            </w:r>
          </w:p>
        </w:tc>
        <w:tc>
          <w:tcPr>
            <w:tcW w:type="dxa" w:w="2880"/>
          </w:tcPr>
          <w:p>
            <w:pPr>
              <w:jc w:val="center"/>
            </w:pPr>
            <w:r>
              <w:rPr>
                <w:rFonts w:ascii="Times New Roman" w:hAnsi="Times New Roman" w:eastAsia="宋体" w:cs="Times New Roman"/>
                <w:b w:val="0"/>
                <w:i w:val="0"/>
                <w:color w:val="000000"/>
                <w:sz w:val="24"/>
              </w:rPr>
              <w:t>93.8%±3.6%</w:t>
            </w:r>
          </w:p>
        </w:tc>
      </w:tr>
      <w:tr>
        <w:tc>
          <w:tcPr>
            <w:tcW w:type="dxa" w:w="2880"/>
          </w:tcPr>
          <w:p>
            <w:pPr>
              <w:jc w:val="center"/>
            </w:pPr>
            <w:r>
              <w:rPr>
                <w:rFonts w:ascii="Times New Roman" w:hAnsi="Times New Roman" w:eastAsia="宋体" w:cs="Times New Roman"/>
                <w:b w:val="0"/>
                <w:i w:val="0"/>
                <w:color w:val="000000"/>
                <w:sz w:val="24"/>
              </w:rPr>
              <w:t>11</w:t>
            </w:r>
          </w:p>
        </w:tc>
        <w:tc>
          <w:tcPr>
            <w:tcW w:type="dxa" w:w="2880"/>
          </w:tcPr>
          <w:p>
            <w:pPr>
              <w:jc w:val="center"/>
            </w:pPr>
            <w:r>
              <w:rPr>
                <w:rFonts w:ascii="Times New Roman" w:hAnsi="Times New Roman" w:eastAsia="宋体" w:cs="Times New Roman"/>
                <w:b w:val="0"/>
                <w:i w:val="0"/>
                <w:color w:val="000000"/>
                <w:sz w:val="24"/>
              </w:rPr>
              <w:t>MLP三隐层32→16→8</w:t>
            </w:r>
          </w:p>
        </w:tc>
        <w:tc>
          <w:tcPr>
            <w:tcW w:type="dxa" w:w="2880"/>
          </w:tcPr>
          <w:p>
            <w:pPr>
              <w:jc w:val="center"/>
            </w:pPr>
            <w:r>
              <w:rPr>
                <w:rFonts w:ascii="Times New Roman" w:hAnsi="Times New Roman" w:eastAsia="宋体" w:cs="Times New Roman"/>
                <w:b w:val="0"/>
                <w:i w:val="0"/>
                <w:color w:val="000000"/>
                <w:sz w:val="24"/>
              </w:rPr>
              <w:t>93.6%±3.2%</w:t>
            </w:r>
          </w:p>
        </w:tc>
      </w:tr>
      <w:tr>
        <w:tc>
          <w:tcPr>
            <w:tcW w:type="dxa" w:w="2880"/>
          </w:tcPr>
          <w:p>
            <w:pPr>
              <w:jc w:val="center"/>
            </w:pPr>
            <w:r>
              <w:rPr>
                <w:rFonts w:ascii="Times New Roman" w:hAnsi="Times New Roman" w:eastAsia="宋体" w:cs="Times New Roman"/>
                <w:b w:val="0"/>
                <w:i w:val="0"/>
                <w:color w:val="000000"/>
                <w:sz w:val="24"/>
              </w:rPr>
              <w:t>12</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93.6%±2.7%</w:t>
            </w:r>
          </w:p>
        </w:tc>
      </w:tr>
    </w:tbl>
    <w:p/>
    <w:p>
      <w:pPr>
        <w:spacing w:line="360" w:lineRule="auto" w:after="120" w:before="0"/>
        <w:ind w:firstLine="482"/>
      </w:pPr>
      <w:r>
        <w:rPr>
          <w:rFonts w:ascii="Times New Roman" w:hAnsi="Times New Roman" w:eastAsia="宋体" w:cs="Times New Roman"/>
          <w:b w:val="0"/>
          <w:i w:val="0"/>
          <w:color w:val="000000"/>
          <w:sz w:val="24"/>
        </w:rPr>
        <w:t>最高95.8%，最低93.6%，极差仅2.2个百分点。考虑到各模型标准差大多在2.4%至3.9%之间，所有模型的置信区间高度重叠，排名不具备严格的统计可区分性。逻辑回归标准差最小，为2.4%；MLP单隐层配置波动最大，为3.9%，但这一波动差异也未大到可断言某一模型明显更不稳定。</w:t>
      </w:r>
    </w:p>
    <w:p>
      <w:pPr>
        <w:spacing w:line="360" w:lineRule="auto" w:after="120" w:before="0"/>
        <w:ind w:firstLine="482"/>
      </w:pPr>
      <w:r>
        <w:rPr>
          <w:rFonts w:ascii="Times New Roman" w:hAnsi="Times New Roman" w:eastAsia="宋体" w:cs="Times New Roman"/>
          <w:b w:val="0"/>
          <w:i w:val="0"/>
          <w:color w:val="000000"/>
          <w:sz w:val="24"/>
        </w:rPr>
        <w:t>F1方面，所有模型对setosa类的F1均为满分或接近满分，该类与另两类完全线性可分。差异主要体现在versicolor和virginica上，网格搜索MLP在这两类上的F1最高，分别为0.938和0.942；梯度提升树最低，分别为0.906和0.900。</w:t>
      </w:r>
    </w:p>
    <w:p>
      <w:pPr>
        <w:spacing w:line="360" w:lineRule="auto" w:after="120" w:before="0"/>
        <w:ind w:firstLine="482"/>
      </w:pPr>
      <w:r>
        <w:rPr>
          <w:rFonts w:ascii="Times New Roman" w:hAnsi="Times New Roman" w:eastAsia="宋体" w:cs="Times New Roman"/>
          <w:b w:val="0"/>
          <w:i w:val="0"/>
          <w:color w:val="000000"/>
          <w:sz w:val="24"/>
        </w:rPr>
        <w:t>[图：综合对比总结]</w:t>
      </w:r>
    </w:p>
    <w:p>
      <w:pPr>
        <w:spacing w:line="360" w:lineRule="auto" w:after="120" w:before="0"/>
        <w:ind w:firstLine="482"/>
      </w:pPr>
      <w:r>
        <w:rPr>
          <w:rFonts w:ascii="Times New Roman" w:hAnsi="Times New Roman" w:eastAsia="宋体" w:cs="Times New Roman"/>
          <w:b w:val="0"/>
          <w:i w:val="0"/>
          <w:color w:val="000000"/>
          <w:sz w:val="24"/>
        </w:rPr>
        <w:t>图1综合对比总结（准确率排名、F1对比、ROC曲线）</w:t>
      </w:r>
    </w:p>
    <w:p>
      <w:pPr>
        <w:spacing w:line="360" w:lineRule="auto" w:after="120" w:before="0"/>
        <w:ind w:firstLine="482"/>
      </w:pPr>
      <w:r>
        <w:rPr>
          <w:rFonts w:ascii="Times New Roman" w:hAnsi="Times New Roman" w:eastAsia="宋体" w:cs="Times New Roman"/>
          <w:b w:val="0"/>
          <w:i w:val="0"/>
          <w:color w:val="000000"/>
          <w:sz w:val="24"/>
        </w:rPr>
        <w:t>[图：混淆矩阵汇总]</w:t>
      </w:r>
    </w:p>
    <w:p>
      <w:pPr>
        <w:spacing w:line="360" w:lineRule="auto" w:after="120" w:before="0"/>
        <w:ind w:firstLine="482"/>
      </w:pPr>
      <w:r>
        <w:rPr>
          <w:rFonts w:ascii="Times New Roman" w:hAnsi="Times New Roman" w:eastAsia="宋体" w:cs="Times New Roman"/>
          <w:b w:val="0"/>
          <w:i w:val="0"/>
          <w:color w:val="000000"/>
          <w:sz w:val="24"/>
        </w:rPr>
        <w:t>图2混淆矩阵汇总（8个方法，10次试验拼接）</w:t>
      </w:r>
    </w:p>
    <w:p>
      <w:pPr>
        <w:spacing w:before="240" w:after="120" w:lineRule="auto" w:line="300"/>
        <w:jc w:val="left"/>
      </w:pPr>
      <w:r>
        <w:rPr>
          <w:rFonts w:ascii="Times New Roman" w:hAnsi="Times New Roman" w:eastAsia="宋体" w:cs="Times New Roman"/>
          <w:b/>
          <w:i w:val="0"/>
          <w:color w:val="000000"/>
          <w:sz w:val="28"/>
        </w:rPr>
        <w:t>3.2交叉验证</w:t>
      </w:r>
    </w:p>
    <w:p>
      <w:pPr>
        <w:spacing w:line="360" w:lineRule="auto" w:after="120" w:before="0"/>
        <w:ind w:firstLine="482"/>
      </w:pPr>
      <w:r>
        <w:rPr>
          <w:rFonts w:ascii="Times New Roman" w:hAnsi="Times New Roman" w:eastAsia="宋体" w:cs="Times New Roman"/>
          <w:b w:val="0"/>
          <w:i w:val="0"/>
          <w:color w:val="000000"/>
          <w:sz w:val="24"/>
        </w:rPr>
        <w:t>交叉验证仅覆盖6个传统方法，不含MLP变体和决策树。10次试验各做5折，共50个分数，跨试验取均值后CV准确率与测试集结果处于同一水平，均位于93%至96%，但CV的标准差约3.5%至5.5%，明显高于测试集的2.4%至3.9%，原因在于每折验证集仅约21条样本，折叠间波动较大。</w:t>
      </w:r>
    </w:p>
    <w:p>
      <w:pPr>
        <w:spacing w:line="360" w:lineRule="auto" w:after="120" w:before="0"/>
        <w:ind w:firstLine="482"/>
      </w:pPr>
      <w:r>
        <w:rPr>
          <w:rFonts w:ascii="Times New Roman" w:hAnsi="Times New Roman" w:eastAsia="宋体" w:cs="Times New Roman"/>
          <w:b w:val="0"/>
          <w:i w:val="0"/>
          <w:color w:val="000000"/>
          <w:sz w:val="24"/>
        </w:rPr>
        <w:t>CV排名与测试排名不完全对应，这在150条样本规模的数据集上属于正常现象——不同评估方式引入的方差足以改变排序。</w:t>
      </w:r>
    </w:p>
    <w:p>
      <w:pPr>
        <w:spacing w:line="360" w:lineRule="auto" w:after="120" w:before="0"/>
        <w:ind w:firstLine="482"/>
      </w:pPr>
      <w:r>
        <w:rPr>
          <w:rFonts w:ascii="Times New Roman" w:hAnsi="Times New Roman" w:eastAsia="宋体" w:cs="Times New Roman"/>
          <w:b w:val="0"/>
          <w:i w:val="0"/>
          <w:color w:val="000000"/>
          <w:sz w:val="24"/>
        </w:rPr>
        <w:t>[图：交叉验证对比]</w:t>
      </w:r>
    </w:p>
    <w:p>
      <w:pPr>
        <w:spacing w:line="360" w:lineRule="auto" w:after="120" w:before="0"/>
        <w:ind w:firstLine="482"/>
      </w:pPr>
      <w:r>
        <w:rPr>
          <w:rFonts w:ascii="Times New Roman" w:hAnsi="Times New Roman" w:eastAsia="宋体" w:cs="Times New Roman"/>
          <w:b w:val="0"/>
          <w:i w:val="0"/>
          <w:color w:val="000000"/>
          <w:sz w:val="24"/>
        </w:rPr>
        <w:t>图3交叉验证对比（6模型，10次试验各5折）</w:t>
      </w:r>
    </w:p>
    <w:p>
      <w:pPr>
        <w:spacing w:before="240" w:after="120" w:lineRule="auto" w:line="300"/>
        <w:jc w:val="left"/>
      </w:pPr>
      <w:r>
        <w:rPr>
          <w:rFonts w:ascii="Times New Roman" w:hAnsi="Times New Roman" w:eastAsia="宋体" w:cs="Times New Roman"/>
          <w:b/>
          <w:i w:val="0"/>
          <w:color w:val="000000"/>
          <w:sz w:val="28"/>
        </w:rPr>
        <w:t>3.3 MLP各配置对比</w:t>
      </w:r>
    </w:p>
    <w:p>
      <w:pPr>
        <w:spacing w:line="360" w:lineRule="auto" w:after="120" w:before="0"/>
        <w:ind w:firstLine="482"/>
      </w:pPr>
      <w:r>
        <w:rPr>
          <w:rFonts w:ascii="Times New Roman" w:hAnsi="Times New Roman" w:eastAsia="宋体" w:cs="Times New Roman"/>
          <w:b w:val="0"/>
          <w:i w:val="0"/>
          <w:color w:val="000000"/>
          <w:sz w:val="24"/>
        </w:rPr>
        <w:t>五个MLP配置的表现分为三个层次：网格搜索最优，达95.8%；单隐层16和双隐层64→32居中，分别为94.7%和94.4%；三隐层32→16→8和两隐层32→8靠后，分别为93.6%和93.8%。</w:t>
      </w:r>
    </w:p>
    <w:p>
      <w:pPr>
        <w:spacing w:line="360" w:lineRule="auto" w:after="120" w:before="0"/>
        <w:ind w:firstLine="482"/>
      </w:pPr>
      <w:r>
        <w:rPr>
          <w:rFonts w:ascii="Times New Roman" w:hAnsi="Times New Roman" w:eastAsia="宋体" w:cs="Times New Roman"/>
          <w:b w:val="0"/>
          <w:i w:val="0"/>
          <w:color w:val="000000"/>
          <w:sz w:val="24"/>
        </w:rPr>
        <w:t>单隐层16的配置较三隐层32→16→8高出1.1个百分点——加深两层反而下降。原因在于Iris总共150条样本，三隐层的可训练参数超过600个，对训练集形成了过参数化，模型倾向于记忆噪声而非学习模式。</w:t>
      </w:r>
    </w:p>
    <w:p>
      <w:pPr>
        <w:spacing w:line="360" w:lineRule="auto" w:after="120" w:before="0"/>
        <w:ind w:firstLine="482"/>
      </w:pPr>
      <w:r>
        <w:rPr>
          <w:rFonts w:ascii="Times New Roman" w:hAnsi="Times New Roman" w:eastAsia="宋体" w:cs="Times New Roman"/>
          <w:b w:val="0"/>
          <w:i w:val="0"/>
          <w:color w:val="000000"/>
          <w:sz w:val="24"/>
        </w:rPr>
        <w:t>网格搜索平均准确率排名第一，优于所有手动配置的MLP，说明参数搜索整体上有益。但选出的参数极不稳定：10次试验中，最常见配置仅出现2次，其余6次各不相同。一种常见配置为ReLU激活函数配合0.0001的正则化系数和单隐层16结构，另一种为Tanh配合0.0001的正则化系数和双隐层64→32结构。这表明在小数据集上，交叉验证每轮选出的最优参数高度依赖当次的数据划分，不应将其视为全局最优。但从平均效果来看，扫描参数空间这一动作确实能提升性能——只是不应过度信赖单次搜索结果。</w:t>
      </w:r>
    </w:p>
    <w:p>
      <w:pPr>
        <w:spacing w:line="360" w:lineRule="auto" w:after="120" w:before="0"/>
        <w:ind w:firstLine="482"/>
      </w:pPr>
      <w:r>
        <w:rPr>
          <w:rFonts w:ascii="Times New Roman" w:hAnsi="Times New Roman" w:eastAsia="宋体" w:cs="Times New Roman"/>
          <w:b w:val="0"/>
          <w:i w:val="0"/>
          <w:color w:val="000000"/>
          <w:sz w:val="24"/>
        </w:rPr>
        <w:t>手动单隐层16的正则化系数为0.001，而网格搜索更倾向于选到0.0001，即更弱的正则化。对Iris这种简单数据，适度放松正则化让模型更充分地拟合训练集，约为网格搜索版本带来了额外收益，但代价是增加了过拟合风险。</w:t>
      </w:r>
    </w:p>
    <w:p>
      <w:pPr>
        <w:spacing w:line="360" w:lineRule="auto" w:after="120" w:before="0"/>
        <w:ind w:firstLine="482"/>
      </w:pPr>
      <w:r>
        <w:rPr>
          <w:rFonts w:ascii="Times New Roman" w:hAnsi="Times New Roman" w:eastAsia="宋体" w:cs="Times New Roman"/>
          <w:b w:val="0"/>
          <w:i w:val="0"/>
          <w:color w:val="000000"/>
          <w:sz w:val="24"/>
        </w:rPr>
        <w:t>[图：MLP分析]</w:t>
      </w:r>
    </w:p>
    <w:p>
      <w:pPr>
        <w:spacing w:line="360" w:lineRule="auto" w:after="120" w:before="0"/>
        <w:ind w:firstLine="482"/>
      </w:pPr>
      <w:r>
        <w:rPr>
          <w:rFonts w:ascii="Times New Roman" w:hAnsi="Times New Roman" w:eastAsia="宋体" w:cs="Times New Roman"/>
          <w:b w:val="0"/>
          <w:i w:val="0"/>
          <w:color w:val="000000"/>
          <w:sz w:val="24"/>
        </w:rPr>
        <w:t>图4 MLP分析（架构对比、损失曲线、网格搜索结果、正则化系数与激活函数扫描）</w:t>
      </w:r>
    </w:p>
    <w:p>
      <w:pPr>
        <w:spacing w:before="240" w:after="120" w:lineRule="auto" w:line="300"/>
        <w:jc w:val="left"/>
      </w:pPr>
      <w:r>
        <w:rPr>
          <w:rFonts w:ascii="Times New Roman" w:hAnsi="Times New Roman" w:eastAsia="宋体" w:cs="Times New Roman"/>
          <w:b/>
          <w:i w:val="0"/>
          <w:color w:val="000000"/>
          <w:sz w:val="28"/>
        </w:rPr>
        <w:t>3.4决策树与集成方法</w:t>
      </w:r>
    </w:p>
    <w:p>
      <w:pPr>
        <w:spacing w:line="360" w:lineRule="auto" w:after="120" w:before="0"/>
        <w:ind w:firstLine="482"/>
      </w:pPr>
      <w:r>
        <w:rPr>
          <w:rFonts w:ascii="Times New Roman" w:hAnsi="Times New Roman" w:eastAsia="宋体" w:cs="Times New Roman"/>
          <w:b w:val="0"/>
          <w:i w:val="0"/>
          <w:color w:val="000000"/>
          <w:sz w:val="24"/>
        </w:rPr>
        <w:t>决策树以95.1%排第三，标准差2.8%居中。但随机森林仅94.4%，集成之后反而下降了0.7个百分点。这一结果与集成学习的普遍预期相反，原因是Iris只有4个特征，随机森林每棵树每次分裂仅随机选取其中2个，有约一半的概率看不到花瓣宽等关键特征，只能依赖信息量较小的花萼特征做次优分裂。随机子空间在多特征场景下提供多样性收益，但在此处被特征匮乏所抵消。</w:t>
      </w:r>
    </w:p>
    <w:p>
      <w:pPr>
        <w:spacing w:line="360" w:lineRule="auto" w:after="120" w:before="0"/>
        <w:ind w:firstLine="482"/>
      </w:pPr>
      <w:r>
        <w:rPr>
          <w:rFonts w:ascii="Times New Roman" w:hAnsi="Times New Roman" w:eastAsia="宋体" w:cs="Times New Roman"/>
          <w:b w:val="0"/>
          <w:i w:val="0"/>
          <w:color w:val="000000"/>
          <w:sz w:val="24"/>
        </w:rPr>
        <w:t>梯度提升树以93.6%垫底。Boosting每轮迭代试图纠正前一轮的残差，但训练集仅105个样本，每棵树拟合的残差中噪声占比较高，逐轮累积可能放大偏差而非改善性能。</w:t>
      </w:r>
    </w:p>
    <w:p>
      <w:pPr>
        <w:spacing w:line="360" w:lineRule="auto" w:after="120" w:before="0"/>
        <w:ind w:firstLine="482"/>
      </w:pPr>
      <w:r>
        <w:rPr>
          <w:rFonts w:ascii="Times New Roman" w:hAnsi="Times New Roman" w:eastAsia="宋体" w:cs="Times New Roman"/>
          <w:b w:val="0"/>
          <w:i w:val="0"/>
          <w:color w:val="000000"/>
          <w:sz w:val="24"/>
        </w:rPr>
        <w:t>[图：随机森林分析]</w:t>
      </w:r>
    </w:p>
    <w:p>
      <w:pPr>
        <w:spacing w:line="360" w:lineRule="auto" w:after="120" w:before="0"/>
        <w:ind w:firstLine="482"/>
      </w:pPr>
      <w:r>
        <w:rPr>
          <w:rFonts w:ascii="Times New Roman" w:hAnsi="Times New Roman" w:eastAsia="宋体" w:cs="Times New Roman"/>
          <w:b w:val="0"/>
          <w:i w:val="0"/>
          <w:color w:val="000000"/>
          <w:sz w:val="24"/>
        </w:rPr>
        <w:t>图5随机森林分析（特征重要性、估计器数量、混淆矩阵、深度扫描）</w:t>
      </w:r>
    </w:p>
    <w:p>
      <w:pPr>
        <w:spacing w:before="240" w:after="120" w:lineRule="auto" w:line="300"/>
        <w:jc w:val="left"/>
      </w:pPr>
      <w:r>
        <w:rPr>
          <w:rFonts w:ascii="Times New Roman" w:hAnsi="Times New Roman" w:eastAsia="宋体" w:cs="Times New Roman"/>
          <w:b/>
          <w:i w:val="0"/>
          <w:color w:val="000000"/>
          <w:sz w:val="28"/>
        </w:rPr>
        <w:t>3.5其他方法</w:t>
      </w:r>
    </w:p>
    <w:p>
      <w:pPr>
        <w:spacing w:line="360" w:lineRule="auto" w:after="120" w:before="0"/>
        <w:ind w:firstLine="482"/>
      </w:pPr>
      <w:r>
        <w:rPr>
          <w:rFonts w:ascii="Times New Roman" w:hAnsi="Times New Roman" w:eastAsia="宋体" w:cs="Times New Roman"/>
          <w:b w:val="0"/>
          <w:i w:val="0"/>
          <w:color w:val="000000"/>
          <w:sz w:val="24"/>
        </w:rPr>
        <w:t>逻辑回归平均94.9%，标准差2.4%，最为稳定。正则化系数的倒数C从0.001扫到100，准确率基本不变，表明Iris对正则化不敏感——线性模型在该数据上的瓶颈在于表达能力本身，而非过拟合。</w:t>
      </w:r>
    </w:p>
    <w:p>
      <w:pPr>
        <w:spacing w:line="360" w:lineRule="auto" w:after="120" w:before="0"/>
        <w:ind w:firstLine="482"/>
      </w:pPr>
      <w:r>
        <w:rPr>
          <w:rFonts w:ascii="Times New Roman" w:hAnsi="Times New Roman" w:eastAsia="宋体" w:cs="Times New Roman"/>
          <w:b w:val="0"/>
          <w:i w:val="0"/>
          <w:color w:val="000000"/>
          <w:sz w:val="24"/>
        </w:rPr>
        <w:t>SVM平均95.1%，排名第二。C值在0.01至100区间呈现典型U型曲线：C过小则欠拟合，过大则过拟合。核宽度gamma取0.1时表现最佳。支持向量约占训练集的15%至25%，说明RBF核没有过度记忆训练样本。</w:t>
      </w:r>
    </w:p>
    <w:p>
      <w:pPr>
        <w:spacing w:line="360" w:lineRule="auto" w:after="120" w:before="0"/>
        <w:ind w:firstLine="482"/>
      </w:pPr>
      <w:r>
        <w:rPr>
          <w:rFonts w:ascii="Times New Roman" w:hAnsi="Times New Roman" w:eastAsia="宋体" w:cs="Times New Roman"/>
          <w:b w:val="0"/>
          <w:i w:val="0"/>
          <w:color w:val="000000"/>
          <w:sz w:val="24"/>
        </w:rPr>
        <w:t>KNN平均94.2%，排名靠后，k=5表现稳健，k超过15后准确率开始下降。</w:t>
      </w:r>
    </w:p>
    <w:p>
      <w:pPr>
        <w:spacing w:line="360" w:lineRule="auto" w:after="120" w:before="0"/>
        <w:ind w:firstLine="482"/>
      </w:pPr>
      <w:r>
        <w:rPr>
          <w:rFonts w:ascii="Times New Roman" w:hAnsi="Times New Roman" w:eastAsia="宋体" w:cs="Times New Roman"/>
          <w:b w:val="0"/>
          <w:i w:val="0"/>
          <w:color w:val="000000"/>
          <w:sz w:val="24"/>
        </w:rPr>
        <w:t>朴素贝叶斯平均94.7%。花瓣长与花瓣宽存在明显相关性，违反了特征独立性假设，但Iris各品种的类间区分度足够高，使得这一假设违背对最终分类的影响有限。</w:t>
      </w:r>
    </w:p>
    <w:p>
      <w:pPr>
        <w:spacing w:line="360" w:lineRule="auto" w:after="120" w:before="0"/>
        <w:ind w:firstLine="482"/>
      </w:pPr>
      <w:r>
        <w:rPr>
          <w:rFonts w:ascii="Times New Roman" w:hAnsi="Times New Roman" w:eastAsia="宋体" w:cs="Times New Roman"/>
          <w:b w:val="0"/>
          <w:i w:val="0"/>
          <w:color w:val="000000"/>
          <w:sz w:val="24"/>
        </w:rPr>
        <w:t>[图：SVM分析]</w:t>
      </w:r>
    </w:p>
    <w:p>
      <w:pPr>
        <w:spacing w:line="360" w:lineRule="auto" w:after="120" w:before="0"/>
        <w:ind w:firstLine="482"/>
      </w:pPr>
      <w:r>
        <w:rPr>
          <w:rFonts w:ascii="Times New Roman" w:hAnsi="Times New Roman" w:eastAsia="宋体" w:cs="Times New Roman"/>
          <w:b w:val="0"/>
          <w:i w:val="0"/>
          <w:color w:val="000000"/>
          <w:sz w:val="24"/>
        </w:rPr>
        <w:t>图6 SVM分析（C值、gamma影响、混淆矩阵、支持向量统计）</w:t>
      </w:r>
    </w:p>
    <w:p>
      <w:pPr>
        <w:spacing w:before="240" w:after="120" w:lineRule="auto" w:line="300"/>
        <w:jc w:val="left"/>
      </w:pPr>
      <w:r>
        <w:rPr>
          <w:rFonts w:ascii="Times New Roman" w:hAnsi="Times New Roman" w:eastAsia="宋体" w:cs="Times New Roman"/>
          <w:b/>
          <w:i w:val="0"/>
          <w:color w:val="000000"/>
          <w:sz w:val="32"/>
        </w:rPr>
        <w:t>4. 消融实验</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消融实验基于末次试验的单次固定划分，随机种子固定为42，所有模型以相同种子初始化以确保可复现。四类消融结果已保存在session中，</w:t>
      </w:r>
      <w:r>
        <w:rPr>
          <w:rFonts w:ascii="Times New Roman" w:hAnsi="Times New Roman" w:eastAsia="宋体" w:cs="Times New Roman"/>
          <w:b w:val="0"/>
          <w:i w:val="0"/>
          <w:color w:val="000000"/>
          <w:sz w:val="24"/>
        </w:rPr>
        <w:t>--analyze</w:t>
      </w:r>
      <w:r>
        <w:rPr>
          <w:rFonts w:ascii="Times New Roman" w:hAnsi="Times New Roman" w:eastAsia="宋体" w:cs="Times New Roman"/>
          <w:b w:val="0"/>
          <w:i w:val="0"/>
          <w:color w:val="000000"/>
          <w:sz w:val="24"/>
        </w:rPr>
        <w:t>可直接读取并重绘。</w:t>
      </w:r>
    </w:p>
    <w:p>
      <w:pPr>
        <w:spacing w:before="240" w:after="120" w:lineRule="auto" w:line="300"/>
        <w:jc w:val="left"/>
      </w:pPr>
      <w:r>
        <w:rPr>
          <w:rFonts w:ascii="Times New Roman" w:hAnsi="Times New Roman" w:eastAsia="宋体" w:cs="Times New Roman"/>
          <w:b/>
          <w:i w:val="0"/>
          <w:color w:val="000000"/>
          <w:sz w:val="28"/>
        </w:rPr>
        <w:t>4.1特征消融</w:t>
      </w:r>
    </w:p>
    <w:p>
      <w:pPr>
        <w:spacing w:line="360" w:lineRule="auto" w:after="120" w:before="0"/>
        <w:ind w:firstLine="482"/>
      </w:pPr>
      <w:r>
        <w:rPr>
          <w:rFonts w:ascii="Times New Roman" w:hAnsi="Times New Roman" w:eastAsia="宋体" w:cs="Times New Roman"/>
          <w:b w:val="0"/>
          <w:i w:val="0"/>
          <w:color w:val="000000"/>
          <w:sz w:val="24"/>
        </w:rPr>
        <w:t>逐一移除4个特征后，8个基准模型的测试准确率如下：</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rFonts w:ascii="Times New Roman" w:hAnsi="Times New Roman" w:eastAsia="宋体" w:cs="Times New Roman"/>
                <w:b/>
                <w:i w:val="0"/>
                <w:color w:val="000000"/>
                <w:sz w:val="24"/>
              </w:rPr>
              <w:t>移除特征</w:t>
            </w:r>
          </w:p>
        </w:tc>
        <w:tc>
          <w:tcPr>
            <w:tcW w:type="dxa" w:w="960"/>
          </w:tcPr>
          <w:p>
            <w:pPr>
              <w:jc w:val="center"/>
            </w:pPr>
            <w:r>
              <w:rPr>
                <w:rFonts w:ascii="Times New Roman" w:hAnsi="Times New Roman" w:eastAsia="宋体" w:cs="Times New Roman"/>
                <w:b/>
                <w:i w:val="0"/>
                <w:color w:val="000000"/>
                <w:sz w:val="24"/>
              </w:rPr>
              <w:t>逻辑回归</w:t>
            </w:r>
          </w:p>
        </w:tc>
        <w:tc>
          <w:tcPr>
            <w:tcW w:type="dxa" w:w="960"/>
          </w:tcPr>
          <w:p>
            <w:pPr>
              <w:jc w:val="center"/>
            </w:pPr>
            <w:r>
              <w:rPr>
                <w:rFonts w:ascii="Times New Roman" w:hAnsi="Times New Roman" w:eastAsia="宋体" w:cs="Times New Roman"/>
                <w:b/>
                <w:i w:val="0"/>
                <w:color w:val="000000"/>
                <w:sz w:val="24"/>
              </w:rPr>
              <w:t>SVM</w:t>
            </w:r>
          </w:p>
        </w:tc>
        <w:tc>
          <w:tcPr>
            <w:tcW w:type="dxa" w:w="960"/>
          </w:tcPr>
          <w:p>
            <w:pPr>
              <w:jc w:val="center"/>
            </w:pPr>
            <w:r>
              <w:rPr>
                <w:rFonts w:ascii="Times New Roman" w:hAnsi="Times New Roman" w:eastAsia="宋体" w:cs="Times New Roman"/>
                <w:b/>
                <w:i w:val="0"/>
                <w:color w:val="000000"/>
                <w:sz w:val="24"/>
              </w:rPr>
              <w:t>随机森林</w:t>
            </w:r>
          </w:p>
        </w:tc>
        <w:tc>
          <w:tcPr>
            <w:tcW w:type="dxa" w:w="960"/>
          </w:tcPr>
          <w:p>
            <w:pPr>
              <w:jc w:val="center"/>
            </w:pPr>
            <w:r>
              <w:rPr>
                <w:rFonts w:ascii="Times New Roman" w:hAnsi="Times New Roman" w:eastAsia="宋体" w:cs="Times New Roman"/>
                <w:b/>
                <w:i w:val="0"/>
                <w:color w:val="000000"/>
                <w:sz w:val="24"/>
              </w:rPr>
              <w:t>KNN</w:t>
            </w:r>
          </w:p>
        </w:tc>
        <w:tc>
          <w:tcPr>
            <w:tcW w:type="dxa" w:w="960"/>
          </w:tcPr>
          <w:p>
            <w:pPr>
              <w:jc w:val="center"/>
            </w:pPr>
            <w:r>
              <w:rPr>
                <w:rFonts w:ascii="Times New Roman" w:hAnsi="Times New Roman" w:eastAsia="宋体" w:cs="Times New Roman"/>
                <w:b/>
                <w:i w:val="0"/>
                <w:color w:val="000000"/>
                <w:sz w:val="24"/>
              </w:rPr>
              <w:t>MLP三隐层</w:t>
            </w:r>
          </w:p>
        </w:tc>
        <w:tc>
          <w:tcPr>
            <w:tcW w:type="dxa" w:w="960"/>
          </w:tcPr>
          <w:p>
            <w:pPr>
              <w:jc w:val="center"/>
            </w:pPr>
            <w:r>
              <w:rPr>
                <w:rFonts w:ascii="Times New Roman" w:hAnsi="Times New Roman" w:eastAsia="宋体" w:cs="Times New Roman"/>
                <w:b/>
                <w:i w:val="0"/>
                <w:color w:val="000000"/>
                <w:sz w:val="24"/>
              </w:rPr>
              <w:t>GBDT</w:t>
            </w:r>
          </w:p>
        </w:tc>
        <w:tc>
          <w:tcPr>
            <w:tcW w:type="dxa" w:w="960"/>
          </w:tcPr>
          <w:p>
            <w:pPr>
              <w:jc w:val="center"/>
            </w:pPr>
            <w:r>
              <w:rPr>
                <w:rFonts w:ascii="Times New Roman" w:hAnsi="Times New Roman" w:eastAsia="宋体" w:cs="Times New Roman"/>
                <w:b/>
                <w:i w:val="0"/>
                <w:color w:val="000000"/>
                <w:sz w:val="24"/>
              </w:rPr>
              <w:t>决策树</w:t>
            </w:r>
          </w:p>
        </w:tc>
        <w:tc>
          <w:tcPr>
            <w:tcW w:type="dxa" w:w="960"/>
          </w:tcPr>
          <w:p>
            <w:pPr>
              <w:jc w:val="center"/>
            </w:pPr>
            <w:r>
              <w:rPr>
                <w:rFonts w:ascii="Times New Roman" w:hAnsi="Times New Roman" w:eastAsia="宋体" w:cs="Times New Roman"/>
                <w:b/>
                <w:i w:val="0"/>
                <w:color w:val="000000"/>
                <w:sz w:val="24"/>
              </w:rPr>
              <w:t>朴素贝叶斯</w:t>
            </w:r>
          </w:p>
        </w:tc>
      </w:tr>
      <w:tr>
        <w:tc>
          <w:tcPr>
            <w:tcW w:type="dxa" w:w="960"/>
          </w:tcPr>
          <w:p>
            <w:pPr>
              <w:jc w:val="center"/>
            </w:pPr>
            <w:r>
              <w:rPr>
                <w:rFonts w:ascii="Times New Roman" w:hAnsi="Times New Roman" w:eastAsia="宋体" w:cs="Times New Roman"/>
                <w:b w:val="0"/>
                <w:i w:val="0"/>
                <w:color w:val="000000"/>
                <w:sz w:val="24"/>
              </w:rPr>
              <w:t>全特征</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花萼长</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花萼宽</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花瓣长</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0.867</w:t>
            </w:r>
          </w:p>
        </w:tc>
      </w:tr>
      <w:tr>
        <w:tc>
          <w:tcPr>
            <w:tcW w:type="dxa" w:w="960"/>
          </w:tcPr>
          <w:p>
            <w:pPr>
              <w:jc w:val="center"/>
            </w:pPr>
            <w:r>
              <w:rPr>
                <w:rFonts w:ascii="Times New Roman" w:hAnsi="Times New Roman" w:eastAsia="宋体" w:cs="Times New Roman"/>
                <w:b w:val="0"/>
                <w:i w:val="0"/>
                <w:color w:val="000000"/>
                <w:sz w:val="24"/>
              </w:rPr>
              <w:t>花瓣宽</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0.844</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r>
    </w:tbl>
    <w:p/>
    <w:p>
      <w:pPr>
        <w:spacing w:line="360" w:lineRule="auto" w:after="120" w:before="0"/>
        <w:ind w:firstLine="482"/>
      </w:pPr>
      <w:r>
        <w:rPr>
          <w:rFonts w:ascii="Times New Roman" w:hAnsi="Times New Roman" w:eastAsia="宋体" w:cs="Times New Roman"/>
          <w:b w:val="0"/>
          <w:i w:val="0"/>
          <w:color w:val="000000"/>
          <w:sz w:val="24"/>
        </w:rPr>
        <w:t>移除花瓣宽的影响最大：KNN下降了0.067，GBDT下降了0.022。移除花萼长或花萼宽的影响很小，部分模型甚至准确率微升——GBDT从0.911升至0.933，MLP从0.911升至0.933——说明在本次划分下花萼特征近乎噪声。</w:t>
      </w:r>
    </w:p>
    <w:p>
      <w:pPr>
        <w:spacing w:line="360" w:lineRule="auto" w:after="120" w:before="0"/>
        <w:ind w:firstLine="482"/>
      </w:pPr>
      <w:r>
        <w:rPr>
          <w:rFonts w:ascii="Times New Roman" w:hAnsi="Times New Roman" w:eastAsia="宋体" w:cs="Times New Roman"/>
          <w:b w:val="0"/>
          <w:i w:val="0"/>
          <w:color w:val="000000"/>
          <w:sz w:val="24"/>
        </w:rPr>
        <w:t>决策树在全特征下达到0.978，为8个模型中最高，且移除任一单特征后仍保持在0.911至0.978，是特征鲁棒性最强的模型。树模型能够在剩余特征中重新选择最优分裂点，不依赖单一特征的强弱。</w:t>
      </w:r>
    </w:p>
    <w:p>
      <w:pPr>
        <w:spacing w:line="360" w:lineRule="auto" w:after="120" w:before="0"/>
        <w:ind w:firstLine="482"/>
      </w:pPr>
      <w:r>
        <w:rPr>
          <w:rFonts w:ascii="Times New Roman" w:hAnsi="Times New Roman" w:eastAsia="宋体" w:cs="Times New Roman"/>
          <w:b w:val="0"/>
          <w:i w:val="0"/>
          <w:color w:val="000000"/>
          <w:sz w:val="24"/>
        </w:rPr>
        <w:t>[图：特征消融]</w:t>
      </w:r>
    </w:p>
    <w:p>
      <w:pPr>
        <w:spacing w:line="360" w:lineRule="auto" w:after="120" w:before="0"/>
        <w:ind w:firstLine="482"/>
      </w:pPr>
      <w:r>
        <w:rPr>
          <w:rFonts w:ascii="Times New Roman" w:hAnsi="Times New Roman" w:eastAsia="宋体" w:cs="Times New Roman"/>
          <w:b w:val="0"/>
          <w:i w:val="0"/>
          <w:color w:val="000000"/>
          <w:sz w:val="24"/>
        </w:rPr>
        <w:t>图7特征消融热力图</w:t>
      </w:r>
    </w:p>
    <w:p>
      <w:pPr>
        <w:spacing w:before="240" w:after="120" w:lineRule="auto" w:line="300"/>
        <w:jc w:val="left"/>
      </w:pPr>
      <w:r>
        <w:rPr>
          <w:rFonts w:ascii="Times New Roman" w:hAnsi="Times New Roman" w:eastAsia="宋体" w:cs="Times New Roman"/>
          <w:b/>
          <w:i w:val="0"/>
          <w:color w:val="000000"/>
          <w:sz w:val="28"/>
        </w:rPr>
        <w:t>4.2数据量消融</w:t>
      </w:r>
    </w:p>
    <w:p>
      <w:pPr>
        <w:spacing w:line="360" w:lineRule="auto" w:after="120" w:before="0"/>
        <w:ind w:firstLine="482"/>
      </w:pPr>
      <w:r>
        <w:rPr>
          <w:rFonts w:ascii="Times New Roman" w:hAnsi="Times New Roman" w:eastAsia="宋体" w:cs="Times New Roman"/>
          <w:b w:val="0"/>
          <w:i w:val="0"/>
          <w:color w:val="000000"/>
          <w:sz w:val="24"/>
        </w:rPr>
        <w:t>训练比例从90%逐步减至10%，在10%条件下每个品种仅剩约3至4条训练样本。决策树从0.933降至0.622，降幅达0.311，是所有模型中最脆弱者——分裂阈值在极少量样本下很难准确估计。SVM和随机森林仍保持0.844，表现最为稳健：SVM的间隔最大化对样本稀疏不敏感，随机森林的随机采样子空间在此处反而降低了过拟合。朴素贝叶斯在10%数据下仅0.778，每类3至4条样本无法可靠估计高斯分布的均值和方差。</w:t>
      </w:r>
    </w:p>
    <w:p>
      <w:pPr>
        <w:spacing w:line="360" w:lineRule="auto" w:after="120" w:before="0"/>
        <w:ind w:firstLine="482"/>
      </w:pPr>
      <w:r>
        <w:rPr>
          <w:rFonts w:ascii="Times New Roman" w:hAnsi="Times New Roman" w:eastAsia="宋体" w:cs="Times New Roman"/>
          <w:b w:val="0"/>
          <w:i w:val="0"/>
          <w:color w:val="000000"/>
          <w:sz w:val="24"/>
        </w:rPr>
        <w:t>[图：数据量消融]</w:t>
      </w:r>
    </w:p>
    <w:p>
      <w:pPr>
        <w:spacing w:line="360" w:lineRule="auto" w:after="120" w:before="0"/>
        <w:ind w:firstLine="482"/>
      </w:pPr>
      <w:r>
        <w:rPr>
          <w:rFonts w:ascii="Times New Roman" w:hAnsi="Times New Roman" w:eastAsia="宋体" w:cs="Times New Roman"/>
          <w:b w:val="0"/>
          <w:i w:val="0"/>
          <w:color w:val="000000"/>
          <w:sz w:val="24"/>
        </w:rPr>
        <w:t>图8数据量消融曲线</w:t>
      </w:r>
    </w:p>
    <w:p>
      <w:pPr>
        <w:spacing w:before="240" w:after="120" w:lineRule="auto" w:line="300"/>
        <w:jc w:val="left"/>
      </w:pPr>
      <w:r>
        <w:rPr>
          <w:rFonts w:ascii="Times New Roman" w:hAnsi="Times New Roman" w:eastAsia="宋体" w:cs="Times New Roman"/>
          <w:b/>
          <w:i w:val="0"/>
          <w:color w:val="000000"/>
          <w:sz w:val="28"/>
        </w:rPr>
        <w:t>4.3 MLP架构消融</w:t>
      </w:r>
    </w:p>
    <w:p>
      <w:pPr>
        <w:spacing w:line="360" w:lineRule="auto" w:after="120" w:before="0"/>
        <w:ind w:firstLine="482"/>
      </w:pPr>
      <w:r>
        <w:rPr>
          <w:rFonts w:ascii="Times New Roman" w:hAnsi="Times New Roman" w:eastAsia="宋体" w:cs="Times New Roman"/>
          <w:b w:val="0"/>
          <w:i w:val="0"/>
          <w:color w:val="000000"/>
          <w:sz w:val="24"/>
        </w:rPr>
        <w:t>在末次划分上以单隐层16、正则化系数0.001、ReLU激活函数为基准，逐一扫描宽度、深度、正则化强度和激活函数四个维度。</w:t>
      </w:r>
    </w:p>
    <w:p>
      <w:pPr>
        <w:spacing w:line="360" w:lineRule="auto" w:after="120" w:before="0"/>
        <w:ind w:firstLine="482"/>
      </w:pPr>
      <w:r>
        <w:rPr>
          <w:rFonts w:ascii="Times New Roman" w:hAnsi="Times New Roman" w:eastAsia="宋体" w:cs="Times New Roman"/>
          <w:b w:val="0"/>
          <w:i w:val="0"/>
          <w:color w:val="000000"/>
          <w:sz w:val="24"/>
        </w:rPr>
        <w:t>宽度扫描中，4个和32个神经元最高，为93.33%，8个最低，为88.89%。准确率随宽度变化呈非单调趋势，说明小数据下网络容量被随机因素主导。深度扫描中，1到4层均在91.11%至93.33%，无单调提升趋势。正则化扫描中，系数从0到0.1均为91.11%，系数取1时升至93.33%，强正则化在此次划分中反而有益。激活函数方面，ReLU为95.56%，优于Tanh和Sigmoid的93.33%。然而网格搜索在10次试验中时有选到Tanh的情况——交叉验证选出的最优激活函数与测试集最优不一致，再次说明CV选参在小数据上的不稳定性。</w:t>
      </w:r>
    </w:p>
    <w:p>
      <w:pPr>
        <w:spacing w:line="360" w:lineRule="auto" w:after="120" w:before="0"/>
        <w:ind w:firstLine="482"/>
      </w:pPr>
      <w:r>
        <w:rPr>
          <w:rFonts w:ascii="Times New Roman" w:hAnsi="Times New Roman" w:eastAsia="宋体" w:cs="Times New Roman"/>
          <w:b w:val="0"/>
          <w:i w:val="0"/>
          <w:color w:val="000000"/>
          <w:sz w:val="24"/>
        </w:rPr>
        <w:t>[图：MLP架构消融]</w:t>
      </w:r>
    </w:p>
    <w:p>
      <w:pPr>
        <w:spacing w:line="360" w:lineRule="auto" w:after="120" w:before="0"/>
        <w:ind w:firstLine="482"/>
      </w:pPr>
      <w:r>
        <w:rPr>
          <w:rFonts w:ascii="Times New Roman" w:hAnsi="Times New Roman" w:eastAsia="宋体" w:cs="Times New Roman"/>
          <w:b w:val="0"/>
          <w:i w:val="0"/>
          <w:color w:val="000000"/>
          <w:sz w:val="24"/>
        </w:rPr>
        <w:t>图9 MLP架构消融（宽度、深度、正则化强度、激活函数）</w:t>
      </w:r>
    </w:p>
    <w:p>
      <w:pPr>
        <w:spacing w:before="240" w:after="120" w:lineRule="auto" w:line="300"/>
        <w:jc w:val="left"/>
      </w:pPr>
      <w:r>
        <w:rPr>
          <w:rFonts w:ascii="Times New Roman" w:hAnsi="Times New Roman" w:eastAsia="宋体" w:cs="Times New Roman"/>
          <w:b/>
          <w:i w:val="0"/>
          <w:color w:val="000000"/>
          <w:sz w:val="28"/>
        </w:rPr>
        <w:t>4.4预处理消融</w:t>
      </w:r>
    </w:p>
    <w:p>
      <w:pPr>
        <w:spacing w:line="360" w:lineRule="auto" w:after="120" w:before="0"/>
        <w:ind w:firstLine="482"/>
      </w:pPr>
      <w:r>
        <w:rPr>
          <w:rFonts w:ascii="Times New Roman" w:hAnsi="Times New Roman" w:eastAsia="宋体" w:cs="Times New Roman"/>
          <w:b w:val="0"/>
          <w:i w:val="0"/>
          <w:color w:val="000000"/>
          <w:sz w:val="24"/>
        </w:rPr>
        <w:t>标准化与未标准化在末次划分上的对比如下：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eastAsia="宋体" w:cs="Times New Roman"/>
                <w:b/>
                <w:i w:val="0"/>
                <w:color w:val="000000"/>
                <w:sz w:val="24"/>
              </w:rPr>
              <w:t>模型</w:t>
            </w:r>
          </w:p>
        </w:tc>
        <w:tc>
          <w:tcPr>
            <w:tcW w:type="dxa" w:w="2160"/>
          </w:tcPr>
          <w:p>
            <w:pPr>
              <w:jc w:val="center"/>
            </w:pPr>
            <w:r>
              <w:rPr>
                <w:rFonts w:ascii="Times New Roman" w:hAnsi="Times New Roman" w:eastAsia="宋体" w:cs="Times New Roman"/>
                <w:b/>
                <w:i w:val="0"/>
                <w:color w:val="000000"/>
                <w:sz w:val="24"/>
              </w:rPr>
              <w:t>标准化</w:t>
            </w:r>
          </w:p>
        </w:tc>
        <w:tc>
          <w:tcPr>
            <w:tcW w:type="dxa" w:w="2160"/>
          </w:tcPr>
          <w:p>
            <w:pPr>
              <w:jc w:val="center"/>
            </w:pPr>
            <w:r>
              <w:rPr>
                <w:rFonts w:ascii="Times New Roman" w:hAnsi="Times New Roman" w:eastAsia="宋体" w:cs="Times New Roman"/>
                <w:b/>
                <w:i w:val="0"/>
                <w:color w:val="000000"/>
                <w:sz w:val="24"/>
              </w:rPr>
              <w:t>未标准化</w:t>
            </w:r>
          </w:p>
        </w:tc>
        <w:tc>
          <w:tcPr>
            <w:tcW w:type="dxa" w:w="2160"/>
          </w:tcPr>
          <w:p>
            <w:pPr>
              <w:jc w:val="center"/>
            </w:pPr>
            <w:r>
              <w:rPr>
                <w:rFonts w:ascii="Times New Roman" w:hAnsi="Times New Roman" w:eastAsia="宋体" w:cs="Times New Roman"/>
                <w:b/>
                <w:i w:val="0"/>
                <w:color w:val="000000"/>
                <w:sz w:val="24"/>
              </w:rPr>
              <w:t>差值</w:t>
            </w:r>
          </w:p>
        </w:tc>
      </w:tr>
      <w:tr>
        <w:tc>
          <w:tcPr>
            <w:tcW w:type="dxa" w:w="2160"/>
          </w:tcPr>
          <w:p>
            <w:pPr>
              <w:jc w:val="center"/>
            </w:pPr>
            <w:r>
              <w:rPr>
                <w:rFonts w:ascii="Times New Roman" w:hAnsi="Times New Roman" w:eastAsia="宋体" w:cs="Times New Roman"/>
                <w:b w:val="0"/>
                <w:i w:val="0"/>
                <w:color w:val="000000"/>
                <w:sz w:val="24"/>
              </w:rPr>
              <w:t>逻辑回归</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SVM</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0.956</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随机森林</w:t>
            </w:r>
          </w:p>
        </w:tc>
        <w:tc>
          <w:tcPr>
            <w:tcW w:type="dxa" w:w="2160"/>
          </w:tcPr>
          <w:p>
            <w:pPr>
              <w:jc w:val="center"/>
            </w:pPr>
            <w:r>
              <w:rPr>
                <w:rFonts w:ascii="Times New Roman" w:hAnsi="Times New Roman" w:eastAsia="宋体" w:cs="Times New Roman"/>
                <w:b w:val="0"/>
                <w:i w:val="0"/>
                <w:color w:val="000000"/>
                <w:sz w:val="24"/>
              </w:rPr>
              <w:t>0.889</w:t>
            </w:r>
          </w:p>
        </w:tc>
        <w:tc>
          <w:tcPr>
            <w:tcW w:type="dxa" w:w="2160"/>
          </w:tcPr>
          <w:p>
            <w:pPr>
              <w:jc w:val="center"/>
            </w:pPr>
            <w:r>
              <w:rPr>
                <w:rFonts w:ascii="Times New Roman" w:hAnsi="Times New Roman" w:eastAsia="宋体" w:cs="Times New Roman"/>
                <w:b w:val="0"/>
                <w:i w:val="0"/>
                <w:color w:val="000000"/>
                <w:sz w:val="24"/>
              </w:rPr>
              <w:t>0.889</w:t>
            </w:r>
          </w:p>
        </w:tc>
        <w:tc>
          <w:tcPr>
            <w:tcW w:type="dxa" w:w="2160"/>
          </w:tcPr>
          <w:p>
            <w:pPr>
              <w:jc w:val="center"/>
            </w:pPr>
            <w:r>
              <w:rPr>
                <w:rFonts w:ascii="Times New Roman" w:hAnsi="Times New Roman" w:eastAsia="宋体" w:cs="Times New Roman"/>
                <w:b w:val="0"/>
                <w:i w:val="0"/>
                <w:color w:val="000000"/>
                <w:sz w:val="24"/>
              </w:rPr>
              <w:t>0.000</w:t>
            </w:r>
          </w:p>
        </w:tc>
      </w:tr>
      <w:tr>
        <w:tc>
          <w:tcPr>
            <w:tcW w:type="dxa" w:w="2160"/>
          </w:tcPr>
          <w:p>
            <w:pPr>
              <w:jc w:val="center"/>
            </w:pPr>
            <w:r>
              <w:rPr>
                <w:rFonts w:ascii="Times New Roman" w:hAnsi="Times New Roman" w:eastAsia="宋体" w:cs="Times New Roman"/>
                <w:b w:val="0"/>
                <w:i w:val="0"/>
                <w:color w:val="000000"/>
                <w:sz w:val="24"/>
              </w:rPr>
              <w:t>KNN</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−0.067</w:t>
            </w:r>
          </w:p>
        </w:tc>
      </w:tr>
      <w:tr>
        <w:tc>
          <w:tcPr>
            <w:tcW w:type="dxa" w:w="2160"/>
          </w:tcPr>
          <w:p>
            <w:pPr>
              <w:jc w:val="center"/>
            </w:pPr>
            <w:r>
              <w:rPr>
                <w:rFonts w:ascii="Times New Roman" w:hAnsi="Times New Roman" w:eastAsia="宋体" w:cs="Times New Roman"/>
                <w:b w:val="0"/>
                <w:i w:val="0"/>
                <w:color w:val="000000"/>
                <w:sz w:val="24"/>
              </w:rPr>
              <w:t>MLP三隐层</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−0.067</w:t>
            </w:r>
          </w:p>
        </w:tc>
      </w:tr>
      <w:tr>
        <w:tc>
          <w:tcPr>
            <w:tcW w:type="dxa" w:w="2160"/>
          </w:tcPr>
          <w:p>
            <w:pPr>
              <w:jc w:val="center"/>
            </w:pPr>
            <w:r>
              <w:rPr>
                <w:rFonts w:ascii="Times New Roman" w:hAnsi="Times New Roman" w:eastAsia="宋体" w:cs="Times New Roman"/>
                <w:b w:val="0"/>
                <w:i w:val="0"/>
                <w:color w:val="000000"/>
                <w:sz w:val="24"/>
              </w:rPr>
              <w:t>梯度提升树</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决策树</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0.000</w:t>
            </w:r>
          </w:p>
        </w:tc>
      </w:tr>
      <w:tr>
        <w:tc>
          <w:tcPr>
            <w:tcW w:type="dxa" w:w="2160"/>
          </w:tcPr>
          <w:p>
            <w:pPr>
              <w:jc w:val="center"/>
            </w:pPr>
            <w:r>
              <w:rPr>
                <w:rFonts w:ascii="Times New Roman" w:hAnsi="Times New Roman" w:eastAsia="宋体" w:cs="Times New Roman"/>
                <w:b w:val="0"/>
                <w:i w:val="0"/>
                <w:color w:val="000000"/>
                <w:sz w:val="24"/>
              </w:rPr>
              <w:t>朴素贝叶斯</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0.000</w:t>
            </w:r>
          </w:p>
        </w:tc>
      </w:tr>
    </w:tbl>
    <w:p/>
    <w:p>
      <w:pPr>
        <w:spacing w:line="360" w:lineRule="auto" w:after="120" w:before="0"/>
        <w:ind w:firstLine="482"/>
      </w:pPr>
      <w:r>
        <w:rPr>
          <w:rFonts w:ascii="Times New Roman" w:hAnsi="Times New Roman" w:eastAsia="宋体" w:cs="Times New Roman"/>
          <w:b w:val="0"/>
          <w:i w:val="0"/>
          <w:color w:val="000000"/>
          <w:sz w:val="24"/>
        </w:rPr>
        <w:t>距离类模型标准化后反而下降，其中KNN和MLP降幅最大，达0.067。原因在于花萼特征的原始数值偏大：花萼长4.3至7.9 cm，花萼宽2.0至4.4 cm，未标准化时在欧氏距离中权重更高；花萼长与花瓣特征存在相关性，使得花萼特征通过量纲放大间接携带了判别信息。标准化消除了这一效应，导致本次划分下准确率下降。</w:t>
      </w:r>
    </w:p>
    <w:p>
      <w:pPr>
        <w:spacing w:line="360" w:lineRule="auto" w:after="120" w:before="0"/>
        <w:ind w:firstLine="482"/>
      </w:pPr>
      <w:r>
        <w:rPr>
          <w:rFonts w:ascii="Times New Roman" w:hAnsi="Times New Roman" w:eastAsia="宋体" w:cs="Times New Roman"/>
          <w:b w:val="0"/>
          <w:i w:val="0"/>
          <w:color w:val="000000"/>
          <w:sz w:val="24"/>
        </w:rPr>
        <w:t>这是本次特定划分的结果，不代表标准化在整体上有害。10次重复试验中标准化模型的总体均值更高——单以SVM为例，有标准化的10次均值为95.1%——标准化在大部分划分下是有益的。本次消融揭示了一个重要局限：单次划分下对预处理策略的判断可能被数据划分的随机性所颠倒。树模型不受标准化影响，朴素贝叶斯的高斯参数估计对标准化的依赖较小。</w:t>
      </w:r>
    </w:p>
    <w:p>
      <w:pPr>
        <w:spacing w:line="360" w:lineRule="auto" w:after="120" w:before="0"/>
        <w:ind w:firstLine="482"/>
      </w:pPr>
      <w:r>
        <w:rPr>
          <w:rFonts w:ascii="Times New Roman" w:hAnsi="Times New Roman" w:eastAsia="宋体" w:cs="Times New Roman"/>
          <w:b w:val="0"/>
          <w:i w:val="0"/>
          <w:color w:val="000000"/>
          <w:sz w:val="24"/>
        </w:rPr>
        <w:t>[图：预处理消融]</w:t>
      </w:r>
    </w:p>
    <w:p>
      <w:pPr>
        <w:spacing w:line="360" w:lineRule="auto" w:after="120" w:before="0"/>
        <w:ind w:firstLine="482"/>
      </w:pPr>
      <w:r>
        <w:rPr>
          <w:rFonts w:ascii="Times New Roman" w:hAnsi="Times New Roman" w:eastAsia="宋体" w:cs="Times New Roman"/>
          <w:b w:val="0"/>
          <w:i w:val="0"/>
          <w:color w:val="000000"/>
          <w:sz w:val="24"/>
        </w:rPr>
        <w:t>图10预处理消融对比（标准化与未标准化）</w:t>
      </w:r>
    </w:p>
    <w:p>
      <w:pPr>
        <w:spacing w:before="240" w:after="120" w:lineRule="auto" w:line="300"/>
        <w:jc w:val="left"/>
      </w:pPr>
      <w:r>
        <w:rPr>
          <w:rFonts w:ascii="Times New Roman" w:hAnsi="Times New Roman" w:eastAsia="宋体" w:cs="Times New Roman"/>
          <w:b/>
          <w:i w:val="0"/>
          <w:color w:val="000000"/>
          <w:sz w:val="32"/>
        </w:rPr>
        <w:t>5. 讨论</w:t>
      </w:r>
    </w:p>
    <w:p>
      <w:pPr>
        <w:spacing w:line="360" w:lineRule="auto" w:after="120" w:before="0"/>
        <w:ind w:firstLine="482"/>
      </w:pPr>
      <w:r>
        <w:rPr>
          <w:rFonts w:ascii="Times New Roman" w:hAnsi="Times New Roman" w:eastAsia="宋体" w:cs="Times New Roman"/>
          <w:b w:val="0"/>
          <w:i w:val="0"/>
          <w:color w:val="000000"/>
          <w:sz w:val="24"/>
        </w:rPr>
        <w:t>从实验结果中可归纳以下几个值得关注的方面。</w:t>
      </w:r>
    </w:p>
    <w:p>
      <w:pPr>
        <w:spacing w:line="360" w:lineRule="auto" w:after="120" w:before="0"/>
        <w:ind w:firstLine="482"/>
      </w:pPr>
      <w:r>
        <w:rPr>
          <w:rFonts w:ascii="Times New Roman" w:hAnsi="Times New Roman" w:eastAsia="宋体" w:cs="Times New Roman"/>
          <w:b/>
          <w:i w:val="0"/>
          <w:color w:val="000000"/>
          <w:sz w:val="24"/>
        </w:rPr>
        <w:t>模型间差异极小，排名意义有限。</w:t>
      </w:r>
      <w:r>
        <w:rPr>
          <w:rFonts w:ascii="Times New Roman" w:hAnsi="Times New Roman" w:eastAsia="宋体" w:cs="Times New Roman"/>
          <w:b w:val="0"/>
          <w:i w:val="0"/>
          <w:color w:val="000000"/>
          <w:sz w:val="24"/>
        </w:rPr>
        <w:t>最高与最低仅差2.2个百分点，所有模型的置信区间高度重叠。在Iris上，选择哪种方法对最终准确率的影响有限——所有合理配置的模型均可达到94%以上。真正值得关注的不是排名本身，而是那些与预期方向相反的结果：集成方法不升反降、深度网络劣于浅层、标准化反降准确率。这些现象揭示了小数据集下方法行为与大数据场景的本质差异。</w:t>
      </w:r>
    </w:p>
    <w:p>
      <w:pPr>
        <w:spacing w:line="360" w:lineRule="auto" w:after="120" w:before="0"/>
        <w:ind w:firstLine="482"/>
      </w:pPr>
      <w:r>
        <w:rPr>
          <w:rFonts w:ascii="Times New Roman" w:hAnsi="Times New Roman" w:eastAsia="宋体" w:cs="Times New Roman"/>
          <w:b/>
          <w:i w:val="0"/>
          <w:color w:val="000000"/>
          <w:sz w:val="24"/>
        </w:rPr>
        <w:t>网格搜索整体有益，但参数选择不可靠。</w:t>
      </w:r>
      <w:r>
        <w:rPr>
          <w:rFonts w:ascii="Times New Roman" w:hAnsi="Times New Roman" w:eastAsia="宋体" w:cs="Times New Roman"/>
          <w:b w:val="0"/>
          <w:i w:val="0"/>
          <w:color w:val="000000"/>
          <w:sz w:val="24"/>
        </w:rPr>
        <w:t>10次试验平均网格搜索确实最优，达95.8%，但每次选出的最优参数高度不一致，10次中最常见配置仅出现2次。这一现象是交叉验证在小验证集上分数方差大的直接后果。从中可得出两点认识：参数搜索本身有利，探索多种架构和超参数组合能提高性能分布的上限；但不宜将某一次交叉验证选出的参数视为固定最优，小数据集的CV搜索结果不具备参数级可复现性。</w:t>
      </w:r>
    </w:p>
    <w:p>
      <w:pPr>
        <w:spacing w:line="360" w:lineRule="auto" w:after="120" w:before="0"/>
        <w:ind w:firstLine="482"/>
      </w:pPr>
      <w:r>
        <w:rPr>
          <w:rFonts w:ascii="Times New Roman" w:hAnsi="Times New Roman" w:eastAsia="宋体" w:cs="Times New Roman"/>
          <w:b/>
          <w:i w:val="0"/>
          <w:color w:val="000000"/>
          <w:sz w:val="24"/>
        </w:rPr>
        <w:t>集成方法在特征匮乏的数据上失效。</w:t>
      </w:r>
      <w:r>
        <w:rPr>
          <w:rFonts w:ascii="Times New Roman" w:hAnsi="Times New Roman" w:eastAsia="宋体" w:cs="Times New Roman"/>
          <w:b w:val="0"/>
          <w:i w:val="0"/>
          <w:color w:val="000000"/>
          <w:sz w:val="24"/>
        </w:rPr>
        <w:t>随机森林未能超越单棵决策树，梯度提升树直接垫底。4个特征中随机子空间每次仅选2个，关键特征有约一半的概率在本轮分裂中不可见，多样性收益被次优分裂所抵消。Boosting在此规模下逐轮拟合残差更接近追噪声而非改善预测。这一结果说明，集成方法的正面效果以充分的特征多元化为前提。</w:t>
      </w:r>
    </w:p>
    <w:p>
      <w:pPr>
        <w:spacing w:line="360" w:lineRule="auto" w:after="120" w:before="0"/>
        <w:ind w:firstLine="482"/>
      </w:pPr>
      <w:r>
        <w:rPr>
          <w:rFonts w:ascii="Times New Roman" w:hAnsi="Times New Roman" w:eastAsia="宋体" w:cs="Times New Roman"/>
          <w:b/>
          <w:i w:val="0"/>
          <w:color w:val="000000"/>
          <w:sz w:val="24"/>
        </w:rPr>
        <w:t>单次划分下的任何结论都不可轻信。</w:t>
      </w:r>
      <w:r>
        <w:rPr>
          <w:rFonts w:ascii="Times New Roman" w:hAnsi="Times New Roman" w:eastAsia="宋体" w:cs="Times New Roman"/>
          <w:b w:val="0"/>
          <w:i w:val="0"/>
          <w:color w:val="000000"/>
          <w:sz w:val="24"/>
        </w:rPr>
        <w:t>标准化在本次消融中降低了距离模型的准确率，看似标准化有害，但10次重复的整体结果支持标准化的必要性。这说明对Iris这种小数据集，单一划分的结论不具备足够的稳定性——预处理决策、模型选择、参数调优的评估都必须建立在多次重复之上。</w:t>
      </w:r>
    </w:p>
    <w:p>
      <w:pPr>
        <w:spacing w:before="240" w:after="120" w:lineRule="auto" w:line="300"/>
        <w:jc w:val="left"/>
      </w:pPr>
      <w:r>
        <w:rPr>
          <w:rFonts w:ascii="Times New Roman" w:hAnsi="Times New Roman" w:eastAsia="宋体" w:cs="Times New Roman"/>
          <w:b/>
          <w:i w:val="0"/>
          <w:color w:val="000000"/>
          <w:sz w:val="32"/>
        </w:rPr>
        <w:t>6. 结论</w:t>
      </w:r>
    </w:p>
    <w:p>
      <w:pPr>
        <w:spacing w:line="360" w:lineRule="auto" w:after="120" w:before="0"/>
        <w:ind w:firstLine="482"/>
      </w:pPr>
      <w:r>
        <w:rPr>
          <w:rFonts w:ascii="Times New Roman" w:hAnsi="Times New Roman" w:eastAsia="宋体" w:cs="Times New Roman"/>
          <w:b w:val="0"/>
          <w:i w:val="0"/>
          <w:color w:val="000000"/>
          <w:sz w:val="24"/>
        </w:rPr>
        <w:t>本实验通过对Iris数据集的系统对比，得出以下主要结论：</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12个模型的准确率极差仅2.2个百分点，且标准差重叠严重，严格排名意义有限。定性趋势上，浅层MLP和SVM处于第一梯队，深层MLP和梯度提升树靠后，线性模型和朴素贝叶斯居中。</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网格搜索在平均意义上表现最优，达95.8%，但参数选择极不稳定，10次中仅出现2次相同配置。参数搜索整体有益，但不应将单次CV结果视为最优参数。</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集成方法在4特征空间中均未超越单棵决策树，甚至更差。特征匮乏使集成的多样性收益不足以弥补次优分裂的代价。</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花瓣宽和花瓣长是最关键的分类特征，花萼特征的单独贡献极小，但在未标准化条件下可通过量纲放大间接影响距离模型。</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在小数据集上，单次划分的结论可能被随机性完全颠覆。多次重复、拼接评估和消融分析是获得可靠结论的三个必要环节。</w:t>
      </w:r>
    </w:p>
    <w:p>
      <w:pPr>
        <w:spacing w:before="240" w:after="120" w:lineRule="auto" w:line="300"/>
        <w:jc w:val="left"/>
      </w:pPr>
      <w:r>
        <w:rPr>
          <w:rFonts w:ascii="Times New Roman" w:hAnsi="Times New Roman" w:eastAsia="宋体" w:cs="Times New Roman"/>
          <w:b/>
          <w:i w:val="0"/>
          <w:color w:val="000000"/>
          <w:sz w:val="32"/>
        </w:rPr>
        <w:t>附录：图表索引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图号</w:t>
            </w:r>
          </w:p>
        </w:tc>
        <w:tc>
          <w:tcPr>
            <w:tcW w:type="dxa" w:w="2880"/>
          </w:tcPr>
          <w:p>
            <w:pPr>
              <w:jc w:val="center"/>
            </w:pPr>
            <w:r>
              <w:rPr>
                <w:rFonts w:ascii="Times New Roman" w:hAnsi="Times New Roman" w:eastAsia="宋体" w:cs="Times New Roman"/>
                <w:b/>
                <w:i w:val="0"/>
                <w:color w:val="000000"/>
                <w:sz w:val="24"/>
              </w:rPr>
              <w:t>文件名</w:t>
            </w:r>
          </w:p>
        </w:tc>
        <w:tc>
          <w:tcPr>
            <w:tcW w:type="dxa" w:w="2880"/>
          </w:tcPr>
          <w:p>
            <w:pPr>
              <w:jc w:val="center"/>
            </w:pPr>
            <w:r>
              <w:rPr>
                <w:rFonts w:ascii="Times New Roman" w:hAnsi="Times New Roman" w:eastAsia="宋体" w:cs="Times New Roman"/>
                <w:b/>
                <w:i w:val="0"/>
                <w:color w:val="000000"/>
                <w:sz w:val="24"/>
              </w:rPr>
              <w:t>内容描述</w:t>
            </w:r>
          </w:p>
        </w:tc>
      </w:tr>
      <w:tr>
        <w:tc>
          <w:tcPr>
            <w:tcW w:type="dxa" w:w="2880"/>
          </w:tcPr>
          <w:p>
            <w:pPr>
              <w:jc w:val="center"/>
            </w:pPr>
            <w:r>
              <w:rPr>
                <w:rFonts w:ascii="Times New Roman" w:hAnsi="Times New Roman" w:eastAsia="宋体" w:cs="Times New Roman"/>
                <w:b w:val="0"/>
                <w:i w:val="0"/>
                <w:color w:val="000000"/>
                <w:sz w:val="24"/>
              </w:rPr>
              <w:t>图1</w:t>
            </w:r>
          </w:p>
        </w:tc>
        <w:tc>
          <w:tcPr>
            <w:tcW w:type="dxa" w:w="2880"/>
          </w:tcPr>
          <w:p>
            <w:pPr>
              <w:jc w:val="center"/>
            </w:pPr>
            <w:r>
              <w:rPr>
                <w:rFonts w:ascii="Times New Roman" w:hAnsi="Times New Roman" w:eastAsia="宋体" w:cs="Times New Roman"/>
                <w:b w:val="0"/>
                <w:i w:val="0"/>
                <w:color w:val="000000"/>
                <w:sz w:val="24"/>
              </w:rPr>
              <w:t>output/12_summary.svg</w:t>
            </w:r>
          </w:p>
        </w:tc>
        <w:tc>
          <w:tcPr>
            <w:tcW w:type="dxa" w:w="2880"/>
          </w:tcPr>
          <w:p>
            <w:pPr>
              <w:jc w:val="center"/>
            </w:pPr>
            <w:r>
              <w:rPr>
                <w:rFonts w:ascii="Times New Roman" w:hAnsi="Times New Roman" w:eastAsia="宋体" w:cs="Times New Roman"/>
                <w:b w:val="0"/>
                <w:i w:val="0"/>
                <w:color w:val="000000"/>
                <w:sz w:val="24"/>
              </w:rPr>
              <w:t>综合对比总结（准确率排名、F1、ROC）</w:t>
            </w:r>
          </w:p>
        </w:tc>
      </w:tr>
      <w:tr>
        <w:tc>
          <w:tcPr>
            <w:tcW w:type="dxa" w:w="2880"/>
          </w:tcPr>
          <w:p>
            <w:pPr>
              <w:jc w:val="center"/>
            </w:pPr>
            <w:r>
              <w:rPr>
                <w:rFonts w:ascii="Times New Roman" w:hAnsi="Times New Roman" w:eastAsia="宋体" w:cs="Times New Roman"/>
                <w:b w:val="0"/>
                <w:i w:val="0"/>
                <w:color w:val="000000"/>
                <w:sz w:val="24"/>
              </w:rPr>
              <w:t>图2</w:t>
            </w:r>
          </w:p>
        </w:tc>
        <w:tc>
          <w:tcPr>
            <w:tcW w:type="dxa" w:w="2880"/>
          </w:tcPr>
          <w:p>
            <w:pPr>
              <w:jc w:val="center"/>
            </w:pPr>
            <w:r>
              <w:rPr>
                <w:rFonts w:ascii="Times New Roman" w:hAnsi="Times New Roman" w:eastAsia="宋体" w:cs="Times New Roman"/>
                <w:b w:val="0"/>
                <w:i w:val="0"/>
                <w:color w:val="000000"/>
                <w:sz w:val="24"/>
              </w:rPr>
              <w:t>output/13_confusion_matrices.svg</w:t>
            </w:r>
          </w:p>
        </w:tc>
        <w:tc>
          <w:tcPr>
            <w:tcW w:type="dxa" w:w="2880"/>
          </w:tcPr>
          <w:p>
            <w:pPr>
              <w:jc w:val="center"/>
            </w:pPr>
            <w:r>
              <w:rPr>
                <w:rFonts w:ascii="Times New Roman" w:hAnsi="Times New Roman" w:eastAsia="宋体" w:cs="Times New Roman"/>
                <w:b w:val="0"/>
                <w:i w:val="0"/>
                <w:color w:val="000000"/>
                <w:sz w:val="24"/>
              </w:rPr>
              <w:t>8方法混淆矩阵汇总（10次拼接）</w:t>
            </w:r>
          </w:p>
        </w:tc>
      </w:tr>
      <w:tr>
        <w:tc>
          <w:tcPr>
            <w:tcW w:type="dxa" w:w="2880"/>
          </w:tcPr>
          <w:p>
            <w:pPr>
              <w:jc w:val="center"/>
            </w:pPr>
            <w:r>
              <w:rPr>
                <w:rFonts w:ascii="Times New Roman" w:hAnsi="Times New Roman" w:eastAsia="宋体" w:cs="Times New Roman"/>
                <w:b w:val="0"/>
                <w:i w:val="0"/>
                <w:color w:val="000000"/>
                <w:sz w:val="24"/>
              </w:rPr>
              <w:t>图3</w:t>
            </w:r>
          </w:p>
        </w:tc>
        <w:tc>
          <w:tcPr>
            <w:tcW w:type="dxa" w:w="2880"/>
          </w:tcPr>
          <w:p>
            <w:pPr>
              <w:jc w:val="center"/>
            </w:pPr>
            <w:r>
              <w:rPr>
                <w:rFonts w:ascii="Times New Roman" w:hAnsi="Times New Roman" w:eastAsia="宋体" w:cs="Times New Roman"/>
                <w:b w:val="0"/>
                <w:i w:val="0"/>
                <w:color w:val="000000"/>
                <w:sz w:val="24"/>
              </w:rPr>
              <w:t>output/14_cv_comparison.svg</w:t>
            </w:r>
          </w:p>
        </w:tc>
        <w:tc>
          <w:tcPr>
            <w:tcW w:type="dxa" w:w="2880"/>
          </w:tcPr>
          <w:p>
            <w:pPr>
              <w:jc w:val="center"/>
            </w:pPr>
            <w:r>
              <w:rPr>
                <w:rFonts w:ascii="Times New Roman" w:hAnsi="Times New Roman" w:eastAsia="宋体" w:cs="Times New Roman"/>
                <w:b w:val="0"/>
                <w:i w:val="0"/>
                <w:color w:val="000000"/>
                <w:sz w:val="24"/>
              </w:rPr>
              <w:t>6模型交叉验证对比</w:t>
            </w:r>
          </w:p>
        </w:tc>
      </w:tr>
      <w:tr>
        <w:tc>
          <w:tcPr>
            <w:tcW w:type="dxa" w:w="2880"/>
          </w:tcPr>
          <w:p>
            <w:pPr>
              <w:jc w:val="center"/>
            </w:pPr>
            <w:r>
              <w:rPr>
                <w:rFonts w:ascii="Times New Roman" w:hAnsi="Times New Roman" w:eastAsia="宋体" w:cs="Times New Roman"/>
                <w:b w:val="0"/>
                <w:i w:val="0"/>
                <w:color w:val="000000"/>
                <w:sz w:val="24"/>
              </w:rPr>
              <w:t>图4</w:t>
            </w:r>
          </w:p>
        </w:tc>
        <w:tc>
          <w:tcPr>
            <w:tcW w:type="dxa" w:w="2880"/>
          </w:tcPr>
          <w:p>
            <w:pPr>
              <w:jc w:val="center"/>
            </w:pPr>
            <w:r>
              <w:rPr>
                <w:rFonts w:ascii="Times New Roman" w:hAnsi="Times New Roman" w:eastAsia="宋体" w:cs="Times New Roman"/>
                <w:b w:val="0"/>
                <w:i w:val="0"/>
                <w:color w:val="000000"/>
                <w:sz w:val="24"/>
              </w:rPr>
              <w:t>output/05_mlp_analysis.svg</w:t>
            </w:r>
          </w:p>
        </w:tc>
        <w:tc>
          <w:tcPr>
            <w:tcW w:type="dxa" w:w="2880"/>
          </w:tcPr>
          <w:p>
            <w:pPr>
              <w:jc w:val="center"/>
            </w:pPr>
            <w:r>
              <w:rPr>
                <w:rFonts w:ascii="Times New Roman" w:hAnsi="Times New Roman" w:eastAsia="宋体" w:cs="Times New Roman"/>
                <w:b w:val="0"/>
                <w:i w:val="0"/>
                <w:color w:val="000000"/>
                <w:sz w:val="24"/>
              </w:rPr>
              <w:t>MLP分析（架构、网格搜索、正则化系数、激活函数）</w:t>
            </w:r>
          </w:p>
        </w:tc>
      </w:tr>
      <w:tr>
        <w:tc>
          <w:tcPr>
            <w:tcW w:type="dxa" w:w="2880"/>
          </w:tcPr>
          <w:p>
            <w:pPr>
              <w:jc w:val="center"/>
            </w:pPr>
            <w:r>
              <w:rPr>
                <w:rFonts w:ascii="Times New Roman" w:hAnsi="Times New Roman" w:eastAsia="宋体" w:cs="Times New Roman"/>
                <w:b w:val="0"/>
                <w:i w:val="0"/>
                <w:color w:val="000000"/>
                <w:sz w:val="24"/>
              </w:rPr>
              <w:t>图5</w:t>
            </w:r>
          </w:p>
        </w:tc>
        <w:tc>
          <w:tcPr>
            <w:tcW w:type="dxa" w:w="2880"/>
          </w:tcPr>
          <w:p>
            <w:pPr>
              <w:jc w:val="center"/>
            </w:pPr>
            <w:r>
              <w:rPr>
                <w:rFonts w:ascii="Times New Roman" w:hAnsi="Times New Roman" w:eastAsia="宋体" w:cs="Times New Roman"/>
                <w:b w:val="0"/>
                <w:i w:val="0"/>
                <w:color w:val="000000"/>
                <w:sz w:val="24"/>
              </w:rPr>
              <w:t>output/06_random_forest.svg</w:t>
            </w:r>
          </w:p>
        </w:tc>
        <w:tc>
          <w:tcPr>
            <w:tcW w:type="dxa" w:w="2880"/>
          </w:tcPr>
          <w:p>
            <w:pPr>
              <w:jc w:val="center"/>
            </w:pPr>
            <w:r>
              <w:rPr>
                <w:rFonts w:ascii="Times New Roman" w:hAnsi="Times New Roman" w:eastAsia="宋体" w:cs="Times New Roman"/>
                <w:b w:val="0"/>
                <w:i w:val="0"/>
                <w:color w:val="000000"/>
                <w:sz w:val="24"/>
              </w:rPr>
              <w:t>随机森林分析（重要性、估计器数、混淆矩阵、深度）</w:t>
            </w:r>
          </w:p>
        </w:tc>
      </w:tr>
      <w:tr>
        <w:tc>
          <w:tcPr>
            <w:tcW w:type="dxa" w:w="2880"/>
          </w:tcPr>
          <w:p>
            <w:pPr>
              <w:jc w:val="center"/>
            </w:pPr>
            <w:r>
              <w:rPr>
                <w:rFonts w:ascii="Times New Roman" w:hAnsi="Times New Roman" w:eastAsia="宋体" w:cs="Times New Roman"/>
                <w:b w:val="0"/>
                <w:i w:val="0"/>
                <w:color w:val="000000"/>
                <w:sz w:val="24"/>
              </w:rPr>
              <w:t>图6</w:t>
            </w:r>
          </w:p>
        </w:tc>
        <w:tc>
          <w:tcPr>
            <w:tcW w:type="dxa" w:w="2880"/>
          </w:tcPr>
          <w:p>
            <w:pPr>
              <w:jc w:val="center"/>
            </w:pPr>
            <w:r>
              <w:rPr>
                <w:rFonts w:ascii="Times New Roman" w:hAnsi="Times New Roman" w:eastAsia="宋体" w:cs="Times New Roman"/>
                <w:b w:val="0"/>
                <w:i w:val="0"/>
                <w:color w:val="000000"/>
                <w:sz w:val="24"/>
              </w:rPr>
              <w:t>output/03_svm_analysis.svg</w:t>
            </w:r>
          </w:p>
        </w:tc>
        <w:tc>
          <w:tcPr>
            <w:tcW w:type="dxa" w:w="2880"/>
          </w:tcPr>
          <w:p>
            <w:pPr>
              <w:jc w:val="center"/>
            </w:pPr>
            <w:r>
              <w:rPr>
                <w:rFonts w:ascii="Times New Roman" w:hAnsi="Times New Roman" w:eastAsia="宋体" w:cs="Times New Roman"/>
                <w:b w:val="0"/>
                <w:i w:val="0"/>
                <w:color w:val="000000"/>
                <w:sz w:val="24"/>
              </w:rPr>
              <w:t>SVM分析（C值、gamma、混淆矩阵、支持向量统计）</w:t>
            </w:r>
          </w:p>
        </w:tc>
      </w:tr>
      <w:tr>
        <w:tc>
          <w:tcPr>
            <w:tcW w:type="dxa" w:w="2880"/>
          </w:tcPr>
          <w:p>
            <w:pPr>
              <w:jc w:val="center"/>
            </w:pPr>
            <w:r>
              <w:rPr>
                <w:rFonts w:ascii="Times New Roman" w:hAnsi="Times New Roman" w:eastAsia="宋体" w:cs="Times New Roman"/>
                <w:b w:val="0"/>
                <w:i w:val="0"/>
                <w:color w:val="000000"/>
                <w:sz w:val="24"/>
              </w:rPr>
              <w:t>图7</w:t>
            </w:r>
          </w:p>
        </w:tc>
        <w:tc>
          <w:tcPr>
            <w:tcW w:type="dxa" w:w="2880"/>
          </w:tcPr>
          <w:p>
            <w:pPr>
              <w:jc w:val="center"/>
            </w:pPr>
            <w:r>
              <w:rPr>
                <w:rFonts w:ascii="Times New Roman" w:hAnsi="Times New Roman" w:eastAsia="宋体" w:cs="Times New Roman"/>
                <w:b w:val="0"/>
                <w:i w:val="0"/>
                <w:color w:val="000000"/>
                <w:sz w:val="24"/>
              </w:rPr>
              <w:t>output/ablation_01_feature.svg</w:t>
            </w:r>
          </w:p>
        </w:tc>
        <w:tc>
          <w:tcPr>
            <w:tcW w:type="dxa" w:w="2880"/>
          </w:tcPr>
          <w:p>
            <w:pPr>
              <w:jc w:val="center"/>
            </w:pPr>
            <w:r>
              <w:rPr>
                <w:rFonts w:ascii="Times New Roman" w:hAnsi="Times New Roman" w:eastAsia="宋体" w:cs="Times New Roman"/>
                <w:b w:val="0"/>
                <w:i w:val="0"/>
                <w:color w:val="000000"/>
                <w:sz w:val="24"/>
              </w:rPr>
              <w:t>特征消融热力图</w:t>
            </w:r>
          </w:p>
        </w:tc>
      </w:tr>
      <w:tr>
        <w:tc>
          <w:tcPr>
            <w:tcW w:type="dxa" w:w="2880"/>
          </w:tcPr>
          <w:p>
            <w:pPr>
              <w:jc w:val="center"/>
            </w:pPr>
            <w:r>
              <w:rPr>
                <w:rFonts w:ascii="Times New Roman" w:hAnsi="Times New Roman" w:eastAsia="宋体" w:cs="Times New Roman"/>
                <w:b w:val="0"/>
                <w:i w:val="0"/>
                <w:color w:val="000000"/>
                <w:sz w:val="24"/>
              </w:rPr>
              <w:t>图8</w:t>
            </w:r>
          </w:p>
        </w:tc>
        <w:tc>
          <w:tcPr>
            <w:tcW w:type="dxa" w:w="2880"/>
          </w:tcPr>
          <w:p>
            <w:pPr>
              <w:jc w:val="center"/>
            </w:pPr>
            <w:r>
              <w:rPr>
                <w:rFonts w:ascii="Times New Roman" w:hAnsi="Times New Roman" w:eastAsia="宋体" w:cs="Times New Roman"/>
                <w:b w:val="0"/>
                <w:i w:val="0"/>
                <w:color w:val="000000"/>
                <w:sz w:val="24"/>
              </w:rPr>
              <w:t>output/ablation_02_data.svg</w:t>
            </w:r>
          </w:p>
        </w:tc>
        <w:tc>
          <w:tcPr>
            <w:tcW w:type="dxa" w:w="2880"/>
          </w:tcPr>
          <w:p>
            <w:pPr>
              <w:jc w:val="center"/>
            </w:pPr>
            <w:r>
              <w:rPr>
                <w:rFonts w:ascii="Times New Roman" w:hAnsi="Times New Roman" w:eastAsia="宋体" w:cs="Times New Roman"/>
                <w:b w:val="0"/>
                <w:i w:val="0"/>
                <w:color w:val="000000"/>
                <w:sz w:val="24"/>
              </w:rPr>
              <w:t>数据量消融曲线</w:t>
            </w:r>
          </w:p>
        </w:tc>
      </w:tr>
      <w:tr>
        <w:tc>
          <w:tcPr>
            <w:tcW w:type="dxa" w:w="2880"/>
          </w:tcPr>
          <w:p>
            <w:pPr>
              <w:jc w:val="center"/>
            </w:pPr>
            <w:r>
              <w:rPr>
                <w:rFonts w:ascii="Times New Roman" w:hAnsi="Times New Roman" w:eastAsia="宋体" w:cs="Times New Roman"/>
                <w:b w:val="0"/>
                <w:i w:val="0"/>
                <w:color w:val="000000"/>
                <w:sz w:val="24"/>
              </w:rPr>
              <w:t>图9</w:t>
            </w:r>
          </w:p>
        </w:tc>
        <w:tc>
          <w:tcPr>
            <w:tcW w:type="dxa" w:w="2880"/>
          </w:tcPr>
          <w:p>
            <w:pPr>
              <w:jc w:val="center"/>
            </w:pPr>
            <w:r>
              <w:rPr>
                <w:rFonts w:ascii="Times New Roman" w:hAnsi="Times New Roman" w:eastAsia="宋体" w:cs="Times New Roman"/>
                <w:b w:val="0"/>
                <w:i w:val="0"/>
                <w:color w:val="000000"/>
                <w:sz w:val="24"/>
              </w:rPr>
              <w:t>output/ablation_03_mlp_architecture.svg</w:t>
            </w:r>
          </w:p>
        </w:tc>
        <w:tc>
          <w:tcPr>
            <w:tcW w:type="dxa" w:w="2880"/>
          </w:tcPr>
          <w:p>
            <w:pPr>
              <w:jc w:val="center"/>
            </w:pPr>
            <w:r>
              <w:rPr>
                <w:rFonts w:ascii="Times New Roman" w:hAnsi="Times New Roman" w:eastAsia="宋体" w:cs="Times New Roman"/>
                <w:b w:val="0"/>
                <w:i w:val="0"/>
                <w:color w:val="000000"/>
                <w:sz w:val="24"/>
              </w:rPr>
              <w:t>MLP架构消融（宽、深、正则化、激活函数）</w:t>
            </w:r>
          </w:p>
        </w:tc>
      </w:tr>
      <w:tr>
        <w:tc>
          <w:tcPr>
            <w:tcW w:type="dxa" w:w="2880"/>
          </w:tcPr>
          <w:p>
            <w:pPr>
              <w:jc w:val="center"/>
            </w:pPr>
            <w:r>
              <w:rPr>
                <w:rFonts w:ascii="Times New Roman" w:hAnsi="Times New Roman" w:eastAsia="宋体" w:cs="Times New Roman"/>
                <w:b w:val="0"/>
                <w:i w:val="0"/>
                <w:color w:val="000000"/>
                <w:sz w:val="24"/>
              </w:rPr>
              <w:t>图10</w:t>
            </w:r>
          </w:p>
        </w:tc>
        <w:tc>
          <w:tcPr>
            <w:tcW w:type="dxa" w:w="2880"/>
          </w:tcPr>
          <w:p>
            <w:pPr>
              <w:jc w:val="center"/>
            </w:pPr>
            <w:r>
              <w:rPr>
                <w:rFonts w:ascii="Times New Roman" w:hAnsi="Times New Roman" w:eastAsia="宋体" w:cs="Times New Roman"/>
                <w:b w:val="0"/>
                <w:i w:val="0"/>
                <w:color w:val="000000"/>
                <w:sz w:val="24"/>
              </w:rPr>
              <w:t>output/ablation_04_preprocessing.svg</w:t>
            </w:r>
          </w:p>
        </w:tc>
        <w:tc>
          <w:tcPr>
            <w:tcW w:type="dxa" w:w="2880"/>
          </w:tcPr>
          <w:p>
            <w:pPr>
              <w:jc w:val="center"/>
            </w:pPr>
            <w:r>
              <w:rPr>
                <w:rFonts w:ascii="Times New Roman" w:hAnsi="Times New Roman" w:eastAsia="宋体" w:cs="Times New Roman"/>
                <w:b w:val="0"/>
                <w:i w:val="0"/>
                <w:color w:val="000000"/>
                <w:sz w:val="24"/>
              </w:rPr>
              <w:t>预处理消融（标准化与未标准化）</w:t>
            </w:r>
          </w:p>
        </w:tc>
      </w:tr>
      <w:tr>
        <w:tc>
          <w:tcPr>
            <w:tcW w:type="dxa" w:w="2880"/>
          </w:tcPr>
          <w:p>
            <w:pPr>
              <w:jc w:val="center"/>
            </w:pPr>
            <w:r>
              <w:rPr>
                <w:rFonts w:ascii="Times New Roman" w:hAnsi="Times New Roman" w:eastAsia="宋体" w:cs="Times New Roman"/>
                <w:b w:val="0"/>
                <w:i w:val="0"/>
                <w:color w:val="000000"/>
                <w:sz w:val="24"/>
              </w:rPr>
              <w:t>图11</w:t>
            </w:r>
          </w:p>
        </w:tc>
        <w:tc>
          <w:tcPr>
            <w:tcW w:type="dxa" w:w="2880"/>
          </w:tcPr>
          <w:p>
            <w:pPr>
              <w:jc w:val="center"/>
            </w:pPr>
            <w:r>
              <w:rPr>
                <w:rFonts w:ascii="Times New Roman" w:hAnsi="Times New Roman" w:eastAsia="宋体" w:cs="Times New Roman"/>
                <w:b w:val="0"/>
                <w:i w:val="0"/>
                <w:color w:val="000000"/>
                <w:sz w:val="24"/>
              </w:rPr>
              <w:t>output/02_decision_boundaries.svg</w:t>
            </w:r>
          </w:p>
        </w:tc>
        <w:tc>
          <w:tcPr>
            <w:tcW w:type="dxa" w:w="2880"/>
          </w:tcPr>
          <w:p>
            <w:pPr>
              <w:jc w:val="center"/>
            </w:pPr>
            <w:r>
              <w:rPr>
                <w:rFonts w:ascii="Times New Roman" w:hAnsi="Times New Roman" w:eastAsia="宋体" w:cs="Times New Roman"/>
                <w:b w:val="0"/>
                <w:i w:val="0"/>
                <w:color w:val="000000"/>
                <w:sz w:val="24"/>
              </w:rPr>
              <w:t>八模型决策边界对比</w:t>
            </w:r>
          </w:p>
        </w:tc>
      </w:tr>
      <w:tr>
        <w:tc>
          <w:tcPr>
            <w:tcW w:type="dxa" w:w="2880"/>
          </w:tcPr>
          <w:p>
            <w:pPr>
              <w:jc w:val="center"/>
            </w:pPr>
            <w:r>
              <w:rPr>
                <w:rFonts w:ascii="Times New Roman" w:hAnsi="Times New Roman" w:eastAsia="宋体" w:cs="Times New Roman"/>
                <w:b w:val="0"/>
                <w:i w:val="0"/>
                <w:color w:val="000000"/>
                <w:sz w:val="24"/>
              </w:rPr>
              <w:t>图12</w:t>
            </w:r>
          </w:p>
        </w:tc>
        <w:tc>
          <w:tcPr>
            <w:tcW w:type="dxa" w:w="2880"/>
          </w:tcPr>
          <w:p>
            <w:pPr>
              <w:jc w:val="center"/>
            </w:pPr>
            <w:r>
              <w:rPr>
                <w:rFonts w:ascii="Times New Roman" w:hAnsi="Times New Roman" w:eastAsia="宋体" w:cs="Times New Roman"/>
                <w:b w:val="0"/>
                <w:i w:val="0"/>
                <w:color w:val="000000"/>
                <w:sz w:val="24"/>
              </w:rPr>
              <w:t>output/04_logistic_regression.svg</w:t>
            </w:r>
          </w:p>
        </w:tc>
        <w:tc>
          <w:tcPr>
            <w:tcW w:type="dxa" w:w="2880"/>
          </w:tcPr>
          <w:p>
            <w:pPr>
              <w:jc w:val="center"/>
            </w:pPr>
            <w:r>
              <w:rPr>
                <w:rFonts w:ascii="Times New Roman" w:hAnsi="Times New Roman" w:eastAsia="宋体" w:cs="Times New Roman"/>
                <w:b w:val="0"/>
                <w:i w:val="0"/>
                <w:color w:val="000000"/>
                <w:sz w:val="24"/>
              </w:rPr>
              <w:t>逻辑回归分析</w:t>
            </w:r>
          </w:p>
        </w:tc>
      </w:tr>
      <w:tr>
        <w:tc>
          <w:tcPr>
            <w:tcW w:type="dxa" w:w="2880"/>
          </w:tcPr>
          <w:p>
            <w:pPr>
              <w:jc w:val="center"/>
            </w:pPr>
            <w:r>
              <w:rPr>
                <w:rFonts w:ascii="Times New Roman" w:hAnsi="Times New Roman" w:eastAsia="宋体" w:cs="Times New Roman"/>
                <w:b w:val="0"/>
                <w:i w:val="0"/>
                <w:color w:val="000000"/>
                <w:sz w:val="24"/>
              </w:rPr>
              <w:t>图13</w:t>
            </w:r>
          </w:p>
        </w:tc>
        <w:tc>
          <w:tcPr>
            <w:tcW w:type="dxa" w:w="2880"/>
          </w:tcPr>
          <w:p>
            <w:pPr>
              <w:jc w:val="center"/>
            </w:pPr>
            <w:r>
              <w:rPr>
                <w:rFonts w:ascii="Times New Roman" w:hAnsi="Times New Roman" w:eastAsia="宋体" w:cs="Times New Roman"/>
                <w:b w:val="0"/>
                <w:i w:val="0"/>
                <w:color w:val="000000"/>
                <w:sz w:val="24"/>
              </w:rPr>
              <w:t>output/07_gradient_boosting.svg</w:t>
            </w:r>
          </w:p>
        </w:tc>
        <w:tc>
          <w:tcPr>
            <w:tcW w:type="dxa" w:w="2880"/>
          </w:tcPr>
          <w:p>
            <w:pPr>
              <w:jc w:val="center"/>
            </w:pPr>
            <w:r>
              <w:rPr>
                <w:rFonts w:ascii="Times New Roman" w:hAnsi="Times New Roman" w:eastAsia="宋体" w:cs="Times New Roman"/>
                <w:b w:val="0"/>
                <w:i w:val="0"/>
                <w:color w:val="000000"/>
                <w:sz w:val="24"/>
              </w:rPr>
              <w:t>梯度提升树分析</w:t>
            </w:r>
          </w:p>
        </w:tc>
      </w:tr>
      <w:tr>
        <w:tc>
          <w:tcPr>
            <w:tcW w:type="dxa" w:w="2880"/>
          </w:tcPr>
          <w:p>
            <w:pPr>
              <w:jc w:val="center"/>
            </w:pPr>
            <w:r>
              <w:rPr>
                <w:rFonts w:ascii="Times New Roman" w:hAnsi="Times New Roman" w:eastAsia="宋体" w:cs="Times New Roman"/>
                <w:b w:val="0"/>
                <w:i w:val="0"/>
                <w:color w:val="000000"/>
                <w:sz w:val="24"/>
              </w:rPr>
              <w:t>图14</w:t>
            </w:r>
          </w:p>
        </w:tc>
        <w:tc>
          <w:tcPr>
            <w:tcW w:type="dxa" w:w="2880"/>
          </w:tcPr>
          <w:p>
            <w:pPr>
              <w:jc w:val="center"/>
            </w:pPr>
            <w:r>
              <w:rPr>
                <w:rFonts w:ascii="Times New Roman" w:hAnsi="Times New Roman" w:eastAsia="宋体" w:cs="Times New Roman"/>
                <w:b w:val="0"/>
                <w:i w:val="0"/>
                <w:color w:val="000000"/>
                <w:sz w:val="24"/>
              </w:rPr>
              <w:t>output/08_decision_tree.svg</w:t>
            </w:r>
          </w:p>
        </w:tc>
        <w:tc>
          <w:tcPr>
            <w:tcW w:type="dxa" w:w="2880"/>
          </w:tcPr>
          <w:p>
            <w:pPr>
              <w:jc w:val="center"/>
            </w:pPr>
            <w:r>
              <w:rPr>
                <w:rFonts w:ascii="Times New Roman" w:hAnsi="Times New Roman" w:eastAsia="宋体" w:cs="Times New Roman"/>
                <w:b w:val="0"/>
                <w:i w:val="0"/>
                <w:color w:val="000000"/>
                <w:sz w:val="24"/>
              </w:rPr>
              <w:t>决策树分析</w:t>
            </w:r>
          </w:p>
        </w:tc>
      </w:tr>
      <w:tr>
        <w:tc>
          <w:tcPr>
            <w:tcW w:type="dxa" w:w="2880"/>
          </w:tcPr>
          <w:p>
            <w:pPr>
              <w:jc w:val="center"/>
            </w:pPr>
            <w:r>
              <w:rPr>
                <w:rFonts w:ascii="Times New Roman" w:hAnsi="Times New Roman" w:eastAsia="宋体" w:cs="Times New Roman"/>
                <w:b w:val="0"/>
                <w:i w:val="0"/>
                <w:color w:val="000000"/>
                <w:sz w:val="24"/>
              </w:rPr>
              <w:t>图15</w:t>
            </w:r>
          </w:p>
        </w:tc>
        <w:tc>
          <w:tcPr>
            <w:tcW w:type="dxa" w:w="2880"/>
          </w:tcPr>
          <w:p>
            <w:pPr>
              <w:jc w:val="center"/>
            </w:pPr>
            <w:r>
              <w:rPr>
                <w:rFonts w:ascii="Times New Roman" w:hAnsi="Times New Roman" w:eastAsia="宋体" w:cs="Times New Roman"/>
                <w:b w:val="0"/>
                <w:i w:val="0"/>
                <w:color w:val="000000"/>
                <w:sz w:val="24"/>
              </w:rPr>
              <w:t>output/09_naive_bayes.svg</w:t>
            </w:r>
          </w:p>
        </w:tc>
        <w:tc>
          <w:tcPr>
            <w:tcW w:type="dxa" w:w="2880"/>
          </w:tcPr>
          <w:p>
            <w:pPr>
              <w:jc w:val="center"/>
            </w:pPr>
            <w:r>
              <w:rPr>
                <w:rFonts w:ascii="Times New Roman" w:hAnsi="Times New Roman" w:eastAsia="宋体" w:cs="Times New Roman"/>
                <w:b w:val="0"/>
                <w:i w:val="0"/>
                <w:color w:val="000000"/>
                <w:sz w:val="24"/>
              </w:rPr>
              <w:t>朴素贝叶斯分析</w:t>
            </w:r>
          </w:p>
        </w:tc>
      </w:tr>
      <w:tr>
        <w:tc>
          <w:tcPr>
            <w:tcW w:type="dxa" w:w="2880"/>
          </w:tcPr>
          <w:p>
            <w:pPr>
              <w:jc w:val="center"/>
            </w:pPr>
            <w:r>
              <w:rPr>
                <w:rFonts w:ascii="Times New Roman" w:hAnsi="Times New Roman" w:eastAsia="宋体" w:cs="Times New Roman"/>
                <w:b w:val="0"/>
                <w:i w:val="0"/>
                <w:color w:val="000000"/>
                <w:sz w:val="24"/>
              </w:rPr>
              <w:t>图16</w:t>
            </w:r>
          </w:p>
        </w:tc>
        <w:tc>
          <w:tcPr>
            <w:tcW w:type="dxa" w:w="2880"/>
          </w:tcPr>
          <w:p>
            <w:pPr>
              <w:jc w:val="center"/>
            </w:pPr>
            <w:r>
              <w:rPr>
                <w:rFonts w:ascii="Times New Roman" w:hAnsi="Times New Roman" w:eastAsia="宋体" w:cs="Times New Roman"/>
                <w:b w:val="0"/>
                <w:i w:val="0"/>
                <w:color w:val="000000"/>
                <w:sz w:val="24"/>
              </w:rPr>
              <w:t>output/10_knn.svg</w:t>
            </w:r>
          </w:p>
        </w:tc>
        <w:tc>
          <w:tcPr>
            <w:tcW w:type="dxa" w:w="2880"/>
          </w:tcPr>
          <w:p>
            <w:pPr>
              <w:jc w:val="center"/>
            </w:pPr>
            <w:r>
              <w:rPr>
                <w:rFonts w:ascii="Times New Roman" w:hAnsi="Times New Roman" w:eastAsia="宋体" w:cs="Times New Roman"/>
                <w:b w:val="0"/>
                <w:i w:val="0"/>
                <w:color w:val="000000"/>
                <w:sz w:val="24"/>
              </w:rPr>
              <w:t>KNN分析</w:t>
            </w:r>
          </w:p>
        </w:tc>
      </w:tr>
      <w:tr>
        <w:tc>
          <w:tcPr>
            <w:tcW w:type="dxa" w:w="2880"/>
          </w:tcPr>
          <w:p>
            <w:pPr>
              <w:jc w:val="center"/>
            </w:pPr>
            <w:r>
              <w:rPr>
                <w:rFonts w:ascii="Times New Roman" w:hAnsi="Times New Roman" w:eastAsia="宋体" w:cs="Times New Roman"/>
                <w:b w:val="0"/>
                <w:i w:val="0"/>
                <w:color w:val="000000"/>
                <w:sz w:val="24"/>
              </w:rPr>
              <w:t>图17</w:t>
            </w:r>
          </w:p>
        </w:tc>
        <w:tc>
          <w:tcPr>
            <w:tcW w:type="dxa" w:w="2880"/>
          </w:tcPr>
          <w:p>
            <w:pPr>
              <w:jc w:val="center"/>
            </w:pPr>
            <w:r>
              <w:rPr>
                <w:rFonts w:ascii="Times New Roman" w:hAnsi="Times New Roman" w:eastAsia="宋体" w:cs="Times New Roman"/>
                <w:b w:val="0"/>
                <w:i w:val="0"/>
                <w:color w:val="000000"/>
                <w:sz w:val="24"/>
              </w:rPr>
              <w:t>output/01_data_exploration.svg</w:t>
            </w:r>
          </w:p>
        </w:tc>
        <w:tc>
          <w:tcPr>
            <w:tcW w:type="dxa" w:w="2880"/>
          </w:tcPr>
          <w:p>
            <w:pPr>
              <w:jc w:val="center"/>
            </w:pPr>
            <w:r>
              <w:rPr>
                <w:rFonts w:ascii="Times New Roman" w:hAnsi="Times New Roman" w:eastAsia="宋体" w:cs="Times New Roman"/>
                <w:b w:val="0"/>
                <w:i w:val="0"/>
                <w:color w:val="000000"/>
                <w:sz w:val="24"/>
              </w:rPr>
              <w:t>数据探索</w:t>
            </w:r>
          </w:p>
        </w:tc>
      </w:tr>
      <w:tr>
        <w:tc>
          <w:tcPr>
            <w:tcW w:type="dxa" w:w="2880"/>
          </w:tcPr>
          <w:p>
            <w:pPr>
              <w:jc w:val="center"/>
            </w:pPr>
            <w:r>
              <w:rPr>
                <w:rFonts w:ascii="Times New Roman" w:hAnsi="Times New Roman" w:eastAsia="宋体" w:cs="Times New Roman"/>
                <w:b w:val="0"/>
                <w:i w:val="0"/>
                <w:color w:val="000000"/>
                <w:sz w:val="24"/>
              </w:rPr>
              <w:t>图18</w:t>
            </w:r>
          </w:p>
        </w:tc>
        <w:tc>
          <w:tcPr>
            <w:tcW w:type="dxa" w:w="2880"/>
          </w:tcPr>
          <w:p>
            <w:pPr>
              <w:jc w:val="center"/>
            </w:pPr>
            <w:r>
              <w:rPr>
                <w:rFonts w:ascii="Times New Roman" w:hAnsi="Times New Roman" w:eastAsia="宋体" w:cs="Times New Roman"/>
                <w:b w:val="0"/>
                <w:i w:val="0"/>
                <w:color w:val="000000"/>
                <w:sz w:val="24"/>
              </w:rPr>
              <w:t>output/11_mlp_training_curves.svg</w:t>
            </w:r>
          </w:p>
        </w:tc>
        <w:tc>
          <w:tcPr>
            <w:tcW w:type="dxa" w:w="2880"/>
          </w:tcPr>
          <w:p>
            <w:pPr>
              <w:jc w:val="center"/>
            </w:pPr>
            <w:r>
              <w:rPr>
                <w:rFonts w:ascii="Times New Roman" w:hAnsi="Times New Roman" w:eastAsia="宋体" w:cs="Times New Roman"/>
                <w:b w:val="0"/>
                <w:i w:val="0"/>
                <w:color w:val="000000"/>
                <w:sz w:val="24"/>
              </w:rPr>
              <w:t>MLP训练损失曲线</w:t>
            </w:r>
          </w:p>
        </w:tc>
      </w:tr>
    </w:tbl>
    <w:p/>
    <w:p>
      <w:pPr>
        <w:spacing w:before="240" w:after="120" w:lineRule="auto" w:line="300"/>
        <w:jc w:val="left"/>
      </w:pPr>
      <w:r>
        <w:rPr>
          <w:rFonts w:ascii="Times New Roman" w:hAnsi="Times New Roman" w:eastAsia="宋体" w:cs="Times New Roman"/>
          <w:b/>
          <w:i w:val="0"/>
          <w:color w:val="000000"/>
          <w:sz w:val="32"/>
        </w:rPr>
        <w:t>参考文献</w:t>
      </w:r>
    </w:p>
    <w:p>
      <w:pPr>
        <w:spacing w:line="360" w:lineRule="auto" w:after="120" w:before="0"/>
        <w:ind w:firstLine="482"/>
      </w:pPr>
      <w:r>
        <w:rPr>
          <w:rFonts w:ascii="Times New Roman" w:hAnsi="Times New Roman" w:eastAsia="宋体" w:cs="Times New Roman"/>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Times New Roman" w:eastAsia="宋体" w:cs="Times New Roman"/>
          <w:b w:val="0"/>
          <w:i w:val="0"/>
          <w:color w:val="000000"/>
          <w:sz w:val="24"/>
        </w:rPr>
        <w:t>[2]周志华. 机器学习[M]. 北京: 清华大学出版社, 2016.</w:t>
      </w:r>
    </w:p>
    <w:p>
      <w:pPr>
        <w:spacing w:line="360" w:lineRule="auto" w:after="120" w:before="0"/>
        <w:ind w:firstLine="482"/>
      </w:pPr>
      <w:r>
        <w:rPr>
          <w:rFonts w:ascii="Times New Roman" w:hAnsi="Times New Roman" w:eastAsia="宋体" w:cs="Times New Roman"/>
          <w:b w:val="0"/>
          <w:i w:val="0"/>
          <w:color w:val="000000"/>
          <w:sz w:val="24"/>
        </w:rPr>
        <w:t>[3]李航. 统计学习方法（第2版）[M]. 北京: 清华大学出版社, 2019.</w:t>
      </w:r>
    </w:p>
    <w:p>
      <w:pPr>
        <w:spacing w:line="360" w:lineRule="auto" w:after="120" w:before="0"/>
        <w:ind w:firstLine="482"/>
      </w:pPr>
      <w:r>
        <w:rPr>
          <w:rFonts w:ascii="Times New Roman" w:hAnsi="Times New Roman" w:eastAsia="宋体" w:cs="Times New Roman"/>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Times New Roman" w:eastAsia="宋体" w:cs="Times New Roman"/>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