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E6838D">
      <w:pPr>
        <w:spacing w:before="360" w:after="120" w:line="300" w:lineRule="auto"/>
        <w:jc w:val="center"/>
      </w:pPr>
      <w:r>
        <w:rPr>
          <w:rFonts w:ascii="Times New Roman" w:hAnsi="Times New Roman" w:eastAsia="宋体"/>
          <w:b/>
          <w:i w:val="0"/>
          <w:color w:val="000000"/>
          <w:sz w:val="44"/>
        </w:rPr>
        <w:t>鸢尾花分类问题的人工智能方法对比研究</w:t>
      </w:r>
    </w:p>
    <w:p w14:paraId="2E7F483D">
      <w:pPr>
        <w:spacing w:after="120" w:line="360" w:lineRule="auto"/>
        <w:ind w:left="567" w:firstLine="482"/>
      </w:pPr>
      <w:r>
        <w:rPr>
          <w:rFonts w:ascii="Times New Roman" w:hAnsi="Times New Roman" w:eastAsia="宋体"/>
          <w:b w:val="0"/>
          <w:i/>
          <w:color w:val="000000"/>
          <w:sz w:val="21"/>
        </w:rPr>
        <w:br w:type="textWrapping"/>
      </w:r>
      <w:r>
        <w:rPr>
          <w:rFonts w:ascii="Times New Roman" w:hAnsi="Times New Roman" w:eastAsia="宋体"/>
          <w:b w:val="0"/>
          <w:i/>
          <w:color w:val="000000"/>
          <w:sz w:val="21"/>
        </w:rPr>
        <w:t>人工智能课程大作业</w:t>
      </w:r>
      <w:r>
        <w:rPr>
          <w:rFonts w:ascii="Times New Roman" w:hAnsi="Times New Roman" w:eastAsia="宋体"/>
          <w:b w:val="0"/>
          <w:i/>
          <w:color w:val="000000"/>
          <w:sz w:val="21"/>
        </w:rPr>
        <w:br w:type="textWrapping"/>
      </w:r>
    </w:p>
    <w:p w14:paraId="07F2D5C5">
      <w:pPr>
        <w:spacing w:before="240" w:after="12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摘要</w:t>
      </w:r>
    </w:p>
    <w:p w14:paraId="6773E322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本实验在Iris鸢尾花数据集上对比了8类12个分类方法的性能表现与行为特征。实验数据揭示了几个反直觉的现象：决策树在测试集上取得最高准确率（97.78%），但其对数据量极度敏感，在仅10% 训练样本时暴跌至62.2%；随机森林的5折交叉验证表现（95.24%）显著优于其测试集表现（88.89%），呈现出"训练稳定、测试崩塌"的异常模式；MLP的网格搜索在交叉验证中选出的最优参数（alpha=0.0001, ReLU），在独立测试集上反而不如更激进的配置（alpha=1, Tanh）。消融实验进一步表明，花瓣尺寸是品种分类的唯一决定性特征，移除花萼特征后多数模型准确率不降反升；而未标准化时距离模型的"准确率提升"实为量纲差异导致的花萼特征权重放大效应。这些发现提示，在小数据集上，交叉验证可能产生误导性的参数选择，而测试集表现与模型稳定性之间并不存在简单的正相关关系。</w:t>
      </w:r>
    </w:p>
    <w:p w14:paraId="27C0847D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关键词：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鸢尾花分类；机器学习；模型稳定性；超参数调优；消融实验</w:t>
      </w:r>
    </w:p>
    <w:p w14:paraId="5169BBB3">
      <w:pPr>
        <w:spacing w:before="120" w:after="120"/>
        <w:jc w:val="center"/>
      </w:pPr>
    </w:p>
    <w:p w14:paraId="074F4D46">
      <w:pPr>
        <w:spacing w:before="240" w:after="12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1. 引言</w:t>
      </w:r>
    </w:p>
    <w:p w14:paraId="15720BFB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鸢尾花数据集由Ronald Fisher于1936年提出，包含3个品种各50条样本，每条样本记录花萼长、花萼宽、花瓣长、花瓣宽4个数值特征。该数据集因其类别边界相对清晰，常被用作分类算法的入门验证。然而，入门并不意味着简单——当多种方法在相近的准确率区间内收敛时，真正的价值在于理解"为什么这些方法表现得相似或不同"。</w:t>
      </w:r>
    </w:p>
    <w:p w14:paraId="35B58FF0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本实验的设计动机源于一个观察：在多数教材和教程中，不同模型在Iris上的准确率排名被当作"既定事实"呈现，但很少追问这些数据背后的行为差异。例如，决策树和随机森林通常被描述为"树模型家族"，但它们在Iris上的表现却截然相反；MLP的网格搜索参数与独立测试集上的最优参数之间存在系统性偏差；移除某些特征后模型不降反升。这些现象无法从方法原理中直接推导，必须从实验数据中挖掘。</w:t>
      </w:r>
    </w:p>
    <w:p w14:paraId="3909F88A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本实验的核心目标不是寻找"最佳模型"，而是通过系统性的对比和消融，揭示不同方法在小型数据集上的真实行为模式，特别是那些与理论预期相悖的异常现象。</w:t>
      </w:r>
    </w:p>
    <w:p w14:paraId="618D1BED">
      <w:pPr>
        <w:spacing w:before="120" w:after="12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————————————————————</w:t>
      </w:r>
    </w:p>
    <w:p w14:paraId="18F03D1B">
      <w:pPr>
        <w:spacing w:before="240" w:after="12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2. 实验设置</w:t>
      </w:r>
    </w:p>
    <w:p w14:paraId="3B268969">
      <w:pPr>
        <w:spacing w:before="240" w:after="12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2.1数据集与预处理</w:t>
      </w:r>
    </w:p>
    <w:p w14:paraId="4AEC939C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数据集共150条样本，3个类别完全平衡。按70% / 30% 划分为训练集（105条）和测试集（45条）。采用StandardScaler对训练集和测试集分别标准化。</w:t>
      </w:r>
    </w:p>
    <w:p w14:paraId="08D6A0D7">
      <w:pPr>
        <w:spacing w:before="240" w:after="12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2.2方法概览</w:t>
      </w:r>
    </w:p>
    <w:p w14:paraId="31A085CD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实验涵盖8类12个模型，覆盖不同归纳偏置：逻辑回归（线性）、SVM/RBF（核方法）、决策树（轴平行划分）、随机森林（Bagging集成）、梯度提升树（Boosting集成）、KNN（距离投票）、MLP多架构变体（神经网络）、朴素贝叶斯（概率假设）。各方法的关键超参数均进行扫描，详见附录图表索引。</w:t>
      </w:r>
    </w:p>
    <w:p w14:paraId="7596B0FE">
      <w:pPr>
        <w:spacing w:before="120" w:after="12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————————————————————</w:t>
      </w:r>
    </w:p>
    <w:p w14:paraId="51209D6A">
      <w:pPr>
        <w:spacing w:before="240" w:after="12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3. 实验结果与发现</w:t>
      </w:r>
    </w:p>
    <w:p w14:paraId="09C826F2">
      <w:pPr>
        <w:spacing w:before="240" w:after="12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3.1测试集上的意外分层</w:t>
      </w:r>
    </w:p>
    <w:p w14:paraId="5EAE5AB6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各模型在测试集上的准确率呈现出明显的分层特征，但分层方式与常识预期并不一致。</w:t>
      </w:r>
    </w:p>
    <w:p w14:paraId="133BBD0E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决策树以97.78% 位居首位，这本身并不意外——Iris数据的类别边界近似轴平行。真正值得注意的不是决策树的高分，而是随机森林以88.89% 垫底，甚至低于其基学习器决策树近9个百分点。在集成学习的常规认知中，随机森林通过Bootstrap采样和特征子集随机化降低方差，应当优于单棵树。但数据给出了相反的结果。一个可能的解释是：Iris仅有4个特征，随机森林在每棵树分裂时默认只随机考虑 $\sqrt{4}=2$ 个特征，这意味着关键特征（如花瓣宽）有50% 的概率被排除在当前分裂之外，迫使树基于信息量较低的花萼特征做次优分裂。在特征空间较大的数据集上，这种随机性通过多棵树的投票被平均掉；但在仅有4个特征且信息高度集中于花瓣的Iris上，次优分裂的系统累积导致集成投票反而平滑掉了"恰好正确的"极端分裂。5折交叉验证显示随机森林的CV均值为95.24%，这说明随机森林能够拟合训练分布，但在独立测试集上的泛化能力显著下降，呈现出训练稳定、测试崩塌的过拟合模式。</w:t>
      </w:r>
    </w:p>
    <w:p w14:paraId="7BE599F5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第二梯队由SVM（93.33%）和MLP (64,32)（93.33%）组成。剩余模型——逻辑回归、KNN、梯度提升树、朴素贝叶斯以及3个较窄的MLP变体——全部收敛于91.11%。这种收敛本身是一个值得注意的现象：在简单数据集上，不同方法之间的性能差距被压缩，多数成熟算法都能达到相近的准确率。但"相近"不等于"等价"，后续的分析将揭示它们在稳定性、参数敏感性和数据依赖性上的显著差异。</w:t>
      </w:r>
    </w:p>
    <w:p w14:paraId="73083637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[图：综合对比总结]</w:t>
      </w:r>
    </w:p>
    <w:p w14:paraId="3C8ADE3A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图1综合对比总结（准确率排名、F1对比、ROC曲线、混淆矩阵汇总）</w:t>
      </w:r>
    </w:p>
    <w:p w14:paraId="5AB295A9">
      <w:pPr>
        <w:spacing w:before="240" w:after="12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3.2交叉验证与测试集的分歧</w:t>
      </w:r>
    </w:p>
    <w:p w14:paraId="682E5283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5折交叉验证的结果与测试集排名存在显著分歧，这或许是本实验最重要的发现之一。</w:t>
      </w:r>
    </w:p>
    <w:p w14:paraId="1EB850B1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逻辑回归、朴素贝叶斯和GridSearch调优后的MLP在交叉验证中表现最为稳定，均值均为98.10%，标准差仅0.0233。SVM以97.14% 紧随其后。然而，这些模型在测试集上的排名却远低于CV排名——逻辑回归和朴素贝叶斯均为91.11%，在测试集上处于第三梯队；MLP (GridSearch) 同样为91.11%，而其CV分数却与逻辑回归并列最高。</w:t>
      </w:r>
    </w:p>
    <w:p w14:paraId="63A35655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相反，决策树在测试集上排名第一，但未参与CV对比；从数据量消融实验可知，决策树在10% 训练样本时暴跌至62.2%，说明其单棵树的统计稳定性极差。这种"测试集高分、稳定性低分"的反差提示：在小数据集上，测试集准确率与模型稳定性之间不存在简单的正相关。一个模型可能在某次划分中表现优异，但这种优异并不代表可靠的泛化能力。</w:t>
      </w:r>
    </w:p>
    <w:p w14:paraId="437D76E1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KNN的CV标准差达到0.0426，是逻辑回归的近两倍，这与距离模型对训练样本分布的高敏感性一致。但更深层的问题是：为什么CV均值95.24% 的KNN在测试集上也是91.11%？这种"CV高估测试"的模式在多个模型中重复出现，暗示70/30的单次划分可能不够稳健。</w:t>
      </w:r>
    </w:p>
    <w:p w14:paraId="4053EF17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[图：交叉验证对比]</w:t>
      </w:r>
    </w:p>
    <w:p w14:paraId="49D26120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图2交叉验证对比（各模型5折CV箱线图）</w:t>
      </w:r>
    </w:p>
    <w:p w14:paraId="1EF31E5A">
      <w:pPr>
        <w:spacing w:before="240" w:after="12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3.3决策边界的形态差异</w:t>
      </w:r>
    </w:p>
    <w:p w14:paraId="6F1374A9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为直观理解各模型的分类策略，选取花瓣长和花瓣宽两个最具判别力的特征绘制决策边界。逻辑回归和朴素贝叶斯的边界为线性，与山鸢尾的线性可分离特性吻合，但在变色鸢尾与维吉尼亚鸢尾的重叠区域受限。SVM和MLP呈现平滑的非线性边界，能够更好地拟合过渡区域。三种树模型的边界呈轴平行的矩形网格状。KNN的边界呈不规则的Voronoi图样。</w:t>
      </w:r>
    </w:p>
    <w:p w14:paraId="336254C3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这些形态差异与准确率排名之间没有直接的对应关系。例如，决策树的轴平行边界在测试集上表现最好，但随机森林同样采用轴平行边界却表现最差；SVM的平滑边界优于线性边界，但优势幅度有限（93.33% vs 91.11%）。这说明在Iris这种简单数据上，边界形态的表达能力差异被数据的固有易解性所掩盖。</w:t>
      </w:r>
    </w:p>
    <w:p w14:paraId="2D9F1F8C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[图：决策边界]</w:t>
      </w:r>
    </w:p>
    <w:p w14:paraId="0844C6C8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图3八模型决策边界对比（基于花瓣长与花瓣宽二维特征）</w:t>
      </w:r>
    </w:p>
    <w:p w14:paraId="4FD71A33">
      <w:pPr>
        <w:spacing w:before="240" w:after="12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3.4 MLP参数扫描中的"交叉验证欺骗"</w:t>
      </w:r>
    </w:p>
    <w:p w14:paraId="14D3495F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MLP的参数扫描揭示了小数据集上一个容易被忽视的问题：交叉验证可能产生误导性的参数选择。</w:t>
      </w:r>
    </w:p>
    <w:p w14:paraId="69399480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GridSearchCV在5折交叉验证中选出的最优参数为隐藏层 (16,8)、alpha 0.0001、ReLU激活函数，CV分数98.10%。然而，在独立的测试集上，这个"最优"配置仅达到91.11%，而多个"非最优"配置却表现更好：(64,32) 达到93.33%，alpha=1达到93.33%，Tanh和Logistic激活函数均达到93.33%。</w:t>
      </w:r>
    </w:p>
    <w:p w14:paraId="7357D32F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这种偏差不是偶然。在小数据集上，交叉验证的每一折训练集仅约80条样本，验证集约20条。如此小的验证集对划分方式极为敏感，导致验证分数的方差很大。网格搜索倾向于选择在这种高方差验证中"运气较好"的参数，而这些参数在独立的测试集上未必最优。这一发现对实际应用具有警示意义：在小数据集上，不应盲目信任交叉验证选出的参数，独立的测试集评估和多次重复实验是必要的补充。</w:t>
      </w:r>
    </w:p>
    <w:p w14:paraId="4E40E540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[图：MLP分析]</w:t>
      </w:r>
    </w:p>
    <w:p w14:paraId="2939C95E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图4 MLP分析（架构对比、损失曲线、GridSearch结果、alpha与激活函数扫描）</w:t>
      </w:r>
    </w:p>
    <w:p w14:paraId="4ABDF4A6">
      <w:pPr>
        <w:spacing w:before="240" w:after="12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3.5随机森林：稳定性的假象</w:t>
      </w:r>
    </w:p>
    <w:p w14:paraId="751F2DA9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随机森林的数据呈现出一种矛盾模式。在交叉验证中，其均值为95.24%，标准差0.0301，表现中规中矩。但在测试集上，其准确率仅为88.89%，与CV相差超过6个百分点。这一差距在所有模型中最为显著。</w:t>
      </w:r>
    </w:p>
    <w:p w14:paraId="385A85FB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深度扫描提供了线索：随机森林在max_depth=3到5时性能最佳，过深则过拟合。但在仅有4个特征的数据集上，即使限制深度，特征子采样的随机性仍然导致每棵树的信息量不足。与单棵决策树相比，随机森林的集成投票反而平滑掉了那些"恰好正确的"极端分裂。在特征空间较大的数据集上，这种平滑是有益的；但在Iris这种特征极少的数据集上，它变成了有害的噪声放大器。</w:t>
      </w:r>
    </w:p>
    <w:p w14:paraId="278557A8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[图：随机森林分析]</w:t>
      </w:r>
    </w:p>
    <w:p w14:paraId="5A1C331C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图5随机森林分析（特征重要性、估计器数量、混淆矩阵、深度扫描）</w:t>
      </w:r>
    </w:p>
    <w:p w14:paraId="572AB6CC">
      <w:pPr>
        <w:spacing w:before="240" w:after="12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3.6其他方法的参数行为</w:t>
      </w:r>
    </w:p>
    <w:p w14:paraId="09CF80DD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逻辑回归的C值扫描显示，在 $10^{-2}$ 到 $10^2$ 范围内准确率几乎没有变化。这意味着Iris数据集对正则化不敏感——线性模型的瓶颈在于表达能力，而非过拟合风险。</w:t>
      </w:r>
    </w:p>
    <w:p w14:paraId="7EACA347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SVM的C和gamma扫描则呈现出典型的权衡曲线：C过小导致欠拟合，过大则过拟合；gamma在0.1左右达到峰值。支持向量数量约占训练集的15% 到25%，表明RBF核在保持表达能力的同时并未过度记忆训练样本。</w:t>
      </w:r>
    </w:p>
    <w:p w14:paraId="696DD936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梯度提升树的测试集准确率（91.11%）显著低于单棵决策树（97.78%），且其CV均值（95.24%）也低于决策树的隐含水平。这说明在简单数据集上，Boosting的串行修正机制带来了不必要的复杂度，单棵树的容量已经足够。</w:t>
      </w:r>
    </w:p>
    <w:p w14:paraId="75AFC5B2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KNN的k值扫描显示，k=5到7时达到峰值91.11%，k&gt;15后准确率下降。这与噪声较少的小数据集特性一致。</w:t>
      </w:r>
    </w:p>
    <w:p w14:paraId="7670CD83">
      <w:pPr>
        <w:spacing w:before="120" w:after="120"/>
        <w:jc w:val="center"/>
      </w:pPr>
      <w:bookmarkStart w:id="0" w:name="_GoBack"/>
      <w:r>
        <w:rPr>
          <w:rFonts w:ascii="Times New Roman" w:hAnsi="Times New Roman" w:eastAsia="宋体"/>
          <w:b w:val="0"/>
          <w:i w:val="0"/>
          <w:color w:val="000000"/>
          <w:sz w:val="24"/>
        </w:rPr>
        <w:t>———————————————————</w:t>
      </w:r>
      <w:bookmarkEnd w:id="0"/>
      <w:r>
        <w:rPr>
          <w:rFonts w:ascii="Times New Roman" w:hAnsi="Times New Roman" w:eastAsia="宋体"/>
          <w:b w:val="0"/>
          <w:i w:val="0"/>
          <w:color w:val="000000"/>
          <w:sz w:val="24"/>
        </w:rPr>
        <w:t>—</w:t>
      </w:r>
    </w:p>
    <w:p w14:paraId="3F7E825E">
      <w:pPr>
        <w:spacing w:before="240" w:after="12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4. 消融实验</w:t>
      </w:r>
    </w:p>
    <w:p w14:paraId="7B27E6BE">
      <w:pPr>
        <w:spacing w:before="240" w:after="12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4.1特征消融：花瓣的主导与花萼的干扰</w:t>
      </w:r>
    </w:p>
    <w:p w14:paraId="72A8CE0B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依次移除单个特征的结果揭示了一个清晰的层级结构。移除花萼长或花萼宽后，多数模型准确率几乎不变，部分模型甚至略有上升。例如，移除花萼宽后，SVM保持93.3%，KNN从91.1% 升至93.3%，MLP从91.1% 升至93.3%。移除花萼长后，梯度提升树从91.1% 升至93.3%。</w:t>
      </w:r>
    </w:p>
    <w:p w14:paraId="24C27E8B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这种"移除后提升"的现象强烈暗示，花萼特征并非弱特征，而是干扰特征——它们携带的噪声超过了信息量，移除后反而净化了输入空间。相比之下，移除花瓣长或花瓣宽导致多数模型性能下降，其中KNN移除花瓣宽后下降6.7%（从91.1% 到84.4%），朴素贝叶斯移除花瓣长后下降4.4%（从91.1% 到86.7%）。</w:t>
      </w:r>
    </w:p>
    <w:p w14:paraId="373C69F2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树模型展现出最强的特征鲁棒性。决策树在移除任何单特征后仍保持93.3% 以上，这是因为其内置的分裂机制会自动选择最优特征，单个特征的缺失不会严重破坏整体结构。</w:t>
      </w:r>
    </w:p>
    <w:p w14:paraId="02D297E7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[图：特征消融]</w:t>
      </w:r>
    </w:p>
    <w:p w14:paraId="66AF4A02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图6特征消融热力图</w:t>
      </w:r>
    </w:p>
    <w:p w14:paraId="2EA72DC1">
      <w:pPr>
        <w:spacing w:before="240" w:after="12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4.2数据量消融：脆弱性排序的逆转</w:t>
      </w:r>
    </w:p>
    <w:p w14:paraId="637280F4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逐步减少训练数据量的结果与测试集排名形成了有趣的对比。在90% 和70% 训练数据时，各模型表现稳定；降至50% 时，多数模型开始显著下滑；降至10% 时，分化急剧放大。</w:t>
      </w:r>
    </w:p>
    <w:p w14:paraId="79159F5C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决策树从90% 的93.3% 暴跌至10% 的62.2%，降幅达31.1%，是所有模型中最脆弱的。这与它在测试集上的最高分形成了强烈反差——测试集上的"冠军"在小样本场景下变成了"最差生"。这一反差的原因在于：决策树的分裂阈值依赖于训练数据的统计分布，当样本量极少时，阈值的估计极度不稳定。</w:t>
      </w:r>
    </w:p>
    <w:p w14:paraId="323EFF23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相反，SVM和随机森林在10% 数据时仍保持84.4%，展现出最强的小样本稳健性。SVM的间隔最大化原则使其对样本稀疏性不敏感；随机森林的集成机制虽然在4特征上表现不佳，但其Bootstrap采样在极端小样本下反而提供了一定的正则化效果。</w:t>
      </w:r>
    </w:p>
    <w:p w14:paraId="5C418F9F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[图：数据量消融]</w:t>
      </w:r>
    </w:p>
    <w:p w14:paraId="0CB2A3AB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图7数据量消融曲线</w:t>
      </w:r>
    </w:p>
    <w:p w14:paraId="7F9E4037">
      <w:pPr>
        <w:spacing w:before="240" w:after="12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4.3 MLP架构消融：测试集与交叉验证的再次背离</w:t>
      </w:r>
    </w:p>
    <w:p w14:paraId="09799A9B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宽度扫描显示，32个神经元和4个神经元均达到93.33%，而8个神经元仅为88.89%。这种非单调性说明，在小数据集上，网络容量的影响不是简单的"越大越好"或"越小越好"，而是存在由随机性主导的波动。</w:t>
      </w:r>
    </w:p>
    <w:p w14:paraId="08139478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深度扫描进一步支持了这一点：(32,) 单层和 (32,16,8,4) 四层均达到93.33%，而 (32,16,8) 三层却降至91.11%。三层的性能低谷无法用任何网络架构理论解释，只能归因于训练过程中的随机初始化或优化路径差异。</w:t>
      </w:r>
    </w:p>
    <w:p w14:paraId="516C5861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激活函数扫描中，Tanh和Logistic在测试集上均为93.33%，高于ReLU的91.11%。但GridSearch在交叉验证中选出的却是ReLU。这与3.4节中观察到的"交叉验证欺骗"现象一致——验证集的高方差导致参数选择偏向在验证中"运气更好"的配置，而非真正泛化能力更强的配置。</w:t>
      </w:r>
    </w:p>
    <w:p w14:paraId="1AD3FA9B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正则化扫描中最令人意外的结果是：alpha从0到0.1均为91.11%，而alpha=1跃升至93.33%。这意味着在Iris数据集上，强L2正则化不仅不过度抑制模型，反而通过限制权重幅度防止了过拟合。</w:t>
      </w:r>
    </w:p>
    <w:p w14:paraId="48FDE73F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[图：MLP架构消融]</w:t>
      </w:r>
    </w:p>
    <w:p w14:paraId="2E99B61E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图8 MLP架构消融（宽度、深度、正则化强度、激活函数）</w:t>
      </w:r>
    </w:p>
    <w:p w14:paraId="1A5FEED0">
      <w:pPr>
        <w:spacing w:before="240" w:after="12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4.4预处理消融：量纲差异如何伪造准确率</w:t>
      </w:r>
    </w:p>
    <w:p w14:paraId="57A79F9E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标准化与未标准化的对比揭示了一个重要的方法论陷阱。未标准化时，KNN和MLP的准确率从91.1% 骤升至97.8%，提升幅度达6.7%。这一"提升"如果未经深究，很容易被误解为"标准化有害"。</w:t>
      </w:r>
    </w:p>
    <w:p w14:paraId="05DF9D1B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但结合特征消融的数据，真相更加复杂。花萼特征的量纲（3到8厘米）远大于花瓣特征（0到2.5厘米）。未标准化时，花萼特征在欧氏距离中天然占据主导地位。特征消融显示，花萼特征单独来看几乎无用——移除它们后多数模型准确率不变甚至上升。那么，为什么花萼特征在距离计算中被放大后，反而提升了准确率？</w:t>
      </w:r>
    </w:p>
    <w:p w14:paraId="29D67175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答案在于特征间的相关性。花瓣长与花萼长、花瓣宽与花萼宽之间存在正相关。花萼特征虽然单独判别力弱，但它携带了花瓣特征的"代理信号"。当花萼特征在距离中被放大时，这种代理信号也被放大，从而"借用"了花瓣特征的判别能力。这是一种数据泄露式的伪提升——在实际应用中，测试集的分布可能与训练集不同，这种代理信号的可靠性无法保证。因此，标准化仍然是距离模型的必要步骤。</w:t>
      </w:r>
    </w:p>
    <w:p w14:paraId="4AC68691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[图：预处理消融]</w:t>
      </w:r>
    </w:p>
    <w:p w14:paraId="7BC1C683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图9预处理消融对比（标准化vs未标准化）</w:t>
      </w:r>
    </w:p>
    <w:p w14:paraId="4B89FAA6">
      <w:pPr>
        <w:spacing w:before="120" w:after="12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————————————————————</w:t>
      </w:r>
    </w:p>
    <w:p w14:paraId="17C70081">
      <w:pPr>
        <w:spacing w:before="240" w:after="12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5. 讨论</w:t>
      </w:r>
    </w:p>
    <w:p w14:paraId="34576B40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本实验的数据揭示了几个与理论预期相悖的模式。第一，测试集准确率与模型稳定性之间不存在正相关。决策树测试集最高但对数据量最敏感；随机森林CV稳定但测试崩塌；逻辑回归CV最稳但测试集平庸。这意味着在模型选择时，不能仅凭单一指标做决策。</w:t>
      </w:r>
    </w:p>
    <w:p w14:paraId="6765CD1A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第二，交叉验证在小数据集上可能产生误导性参数选择。MLP的网格搜索选出的参数在测试集上系统性地劣于更激进的配置。这并非GridSearchCV的缺陷，而是小验证集固有高方差的必然结果。对于Iris规模的数据，多次重复实验和留出验证比单次交叉验证更可靠。</w:t>
      </w:r>
    </w:p>
    <w:p w14:paraId="49EB049A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第三，特征重要性的评估方式会影响结论。从单特征移除的角度看，花萼特征近乎冗余；但从距离计算的角度看，花萼特征通过相关性"借用"了花瓣的判别力。这说明特征重要性不是静态属性，而是依赖于模型如何使用特征的动态属性。</w:t>
      </w:r>
    </w:p>
    <w:p w14:paraId="7893E124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最后，随机森林在Iris上的异常低分提示，集成学习的收益存在边界条件。当特征空间过小、基学习器的信息量被随机性过度压缩时，集成的边际收益可能为负。这一发现虽然源于特定数据集，但对特征工程scarce的场景具有普适的警示意义。</w:t>
      </w:r>
    </w:p>
    <w:p w14:paraId="63B28AB6">
      <w:pPr>
        <w:spacing w:before="120" w:after="12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————————————————————</w:t>
      </w:r>
    </w:p>
    <w:p w14:paraId="7EEAA089">
      <w:pPr>
        <w:spacing w:before="240" w:after="12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6. 结论</w:t>
      </w:r>
    </w:p>
    <w:p w14:paraId="48AF2A9B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本实验通过对Iris数据集的系统性对比和消融分析，得出了以下主要结论：</w:t>
      </w:r>
    </w:p>
    <w:p w14:paraId="139D3F3B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决策树在测试集上达到97.78% 的准确率，但其对数据量的极度敏感性（10% 样本时跌至62.2%）提示，测试集高分不等于可靠的泛化能力。随机森林呈现出"CV稳定、测试崩塌"的异常模式，其95.24% 的CV均值与88.89% 的测试准确率相差超过6个百分点，表明在仅有4个特征的小数据集上，随机子采样引入的方差无法被Bagging有效抵消。MLP的参数扫描揭示了交叉验证在小数据集上的欺骗性：网格搜索选出的配置在独立测试集上系统性地劣于更宽的网络、更强的正则化和非ReLU激活函数。</w:t>
      </w:r>
    </w:p>
    <w:p w14:paraId="43CEF77A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消融实验表明，花瓣尺寸是品种分类的决定性特征，花萼特征单独来看近乎冗余甚至具有干扰性。但预处理消融显示，未标准化时花萼特征通过量纲优势在距离计算中占据主导，借助与花瓣特征的相关性"伪造"了准确率的提升。这种伪提升警示我们，不能仅凭数值结果判断预处理的必要性，必须结合特征层面的机理分析。</w:t>
      </w:r>
    </w:p>
    <w:p w14:paraId="1766E358">
      <w:pPr>
        <w:spacing w:before="0" w:after="120" w:line="360" w:lineRule="auto"/>
        <w:ind w:firstLine="482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本实验的局限在于数据集规模较小（150条样本），单次70/30划分的统计波动较大。未来可在更大规模的分类数据集上验证各方法的扩展性，并引入多次重复实验以降低划分随机性的影响。</w:t>
      </w:r>
    </w:p>
    <w:p w14:paraId="164ED60A">
      <w:pPr>
        <w:spacing w:before="120" w:after="12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————————————————————</w:t>
      </w:r>
    </w:p>
    <w:p w14:paraId="265CBF69">
      <w:pPr>
        <w:spacing w:before="240" w:after="12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附录：图表索引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1"/>
        <w:gridCol w:w="4169"/>
        <w:gridCol w:w="2376"/>
      </w:tblGrid>
      <w:tr w14:paraId="64558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E6C8BB9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4"/>
              </w:rPr>
              <w:t>图号</w:t>
            </w:r>
          </w:p>
        </w:tc>
        <w:tc>
          <w:tcPr>
            <w:tcW w:w="2880" w:type="dxa"/>
          </w:tcPr>
          <w:p w14:paraId="47743708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4"/>
              </w:rPr>
              <w:t>文件名</w:t>
            </w:r>
          </w:p>
        </w:tc>
        <w:tc>
          <w:tcPr>
            <w:tcW w:w="2880" w:type="dxa"/>
          </w:tcPr>
          <w:p w14:paraId="0EBAC4FC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4"/>
              </w:rPr>
              <w:t>内容描述</w:t>
            </w:r>
          </w:p>
        </w:tc>
      </w:tr>
      <w:tr w14:paraId="75ADE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5BB088A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图1</w:t>
            </w:r>
          </w:p>
        </w:tc>
        <w:tc>
          <w:tcPr>
            <w:tcW w:w="2880" w:type="dxa"/>
          </w:tcPr>
          <w:p w14:paraId="1953F65A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output/12_summary.svg</w:t>
            </w:r>
          </w:p>
        </w:tc>
        <w:tc>
          <w:tcPr>
            <w:tcW w:w="2880" w:type="dxa"/>
          </w:tcPr>
          <w:p w14:paraId="6E9B62C4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综合对比总结</w:t>
            </w:r>
          </w:p>
        </w:tc>
      </w:tr>
      <w:tr w14:paraId="3BFF4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99BC8E8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图2</w:t>
            </w:r>
          </w:p>
        </w:tc>
        <w:tc>
          <w:tcPr>
            <w:tcW w:w="2880" w:type="dxa"/>
          </w:tcPr>
          <w:p w14:paraId="4BFFCBD6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output/13_cv_comparison.svg</w:t>
            </w:r>
          </w:p>
        </w:tc>
        <w:tc>
          <w:tcPr>
            <w:tcW w:w="2880" w:type="dxa"/>
          </w:tcPr>
          <w:p w14:paraId="1745E479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交叉验证对比</w:t>
            </w:r>
          </w:p>
        </w:tc>
      </w:tr>
      <w:tr w14:paraId="23668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DABD87F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图3</w:t>
            </w:r>
          </w:p>
        </w:tc>
        <w:tc>
          <w:tcPr>
            <w:tcW w:w="2880" w:type="dxa"/>
          </w:tcPr>
          <w:p w14:paraId="6B71C808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output/02_decision_boundaries.svg</w:t>
            </w:r>
          </w:p>
        </w:tc>
        <w:tc>
          <w:tcPr>
            <w:tcW w:w="2880" w:type="dxa"/>
          </w:tcPr>
          <w:p w14:paraId="394CAF5B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八模型决策边界</w:t>
            </w:r>
          </w:p>
        </w:tc>
      </w:tr>
      <w:tr w14:paraId="20B9D7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D6F6EB5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图4</w:t>
            </w:r>
          </w:p>
        </w:tc>
        <w:tc>
          <w:tcPr>
            <w:tcW w:w="2880" w:type="dxa"/>
          </w:tcPr>
          <w:p w14:paraId="08452BE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output/05_mlp_analysis.svg</w:t>
            </w:r>
          </w:p>
        </w:tc>
        <w:tc>
          <w:tcPr>
            <w:tcW w:w="2880" w:type="dxa"/>
          </w:tcPr>
          <w:p w14:paraId="27B7686A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MLP分析</w:t>
            </w:r>
          </w:p>
        </w:tc>
      </w:tr>
      <w:tr w14:paraId="744C96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E8AF516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图5</w:t>
            </w:r>
          </w:p>
        </w:tc>
        <w:tc>
          <w:tcPr>
            <w:tcW w:w="2880" w:type="dxa"/>
          </w:tcPr>
          <w:p w14:paraId="2232B7E1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output/06_random_forest.svg</w:t>
            </w:r>
          </w:p>
        </w:tc>
        <w:tc>
          <w:tcPr>
            <w:tcW w:w="2880" w:type="dxa"/>
          </w:tcPr>
          <w:p w14:paraId="0C4040C3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随机森林分析</w:t>
            </w:r>
          </w:p>
        </w:tc>
      </w:tr>
      <w:tr w14:paraId="5EAF4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18CC654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图6</w:t>
            </w:r>
          </w:p>
        </w:tc>
        <w:tc>
          <w:tcPr>
            <w:tcW w:w="2880" w:type="dxa"/>
          </w:tcPr>
          <w:p w14:paraId="71BA686B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output/ablation_01_feature.svg</w:t>
            </w:r>
          </w:p>
        </w:tc>
        <w:tc>
          <w:tcPr>
            <w:tcW w:w="2880" w:type="dxa"/>
          </w:tcPr>
          <w:p w14:paraId="22C56A8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特征消融</w:t>
            </w:r>
          </w:p>
        </w:tc>
      </w:tr>
      <w:tr w14:paraId="4EA03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837E121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图7</w:t>
            </w:r>
          </w:p>
        </w:tc>
        <w:tc>
          <w:tcPr>
            <w:tcW w:w="2880" w:type="dxa"/>
          </w:tcPr>
          <w:p w14:paraId="77B377ED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output/ablation_02_data.svg</w:t>
            </w:r>
          </w:p>
        </w:tc>
        <w:tc>
          <w:tcPr>
            <w:tcW w:w="2880" w:type="dxa"/>
          </w:tcPr>
          <w:p w14:paraId="08604897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数据量消融</w:t>
            </w:r>
          </w:p>
        </w:tc>
      </w:tr>
      <w:tr w14:paraId="6F87CB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AB39BE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图8</w:t>
            </w:r>
          </w:p>
        </w:tc>
        <w:tc>
          <w:tcPr>
            <w:tcW w:w="2880" w:type="dxa"/>
          </w:tcPr>
          <w:p w14:paraId="0021E1B9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output/ablation_03_mlp_architecture.svg</w:t>
            </w:r>
          </w:p>
        </w:tc>
        <w:tc>
          <w:tcPr>
            <w:tcW w:w="2880" w:type="dxa"/>
          </w:tcPr>
          <w:p w14:paraId="455D804C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MLP架构消融</w:t>
            </w:r>
          </w:p>
        </w:tc>
      </w:tr>
      <w:tr w14:paraId="699B8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5521BCD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图9</w:t>
            </w:r>
          </w:p>
        </w:tc>
        <w:tc>
          <w:tcPr>
            <w:tcW w:w="2880" w:type="dxa"/>
          </w:tcPr>
          <w:p w14:paraId="0C8E6F5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output/ablation_04_preprocessing.svg</w:t>
            </w:r>
          </w:p>
        </w:tc>
        <w:tc>
          <w:tcPr>
            <w:tcW w:w="2880" w:type="dxa"/>
          </w:tcPr>
          <w:p w14:paraId="133E07E7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预处理消融</w:t>
            </w:r>
          </w:p>
        </w:tc>
      </w:tr>
      <w:tr w14:paraId="146DA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10F302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图10</w:t>
            </w:r>
          </w:p>
        </w:tc>
        <w:tc>
          <w:tcPr>
            <w:tcW w:w="2880" w:type="dxa"/>
          </w:tcPr>
          <w:p w14:paraId="27ABD4A9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output/01_data_exploration.svg</w:t>
            </w:r>
          </w:p>
        </w:tc>
        <w:tc>
          <w:tcPr>
            <w:tcW w:w="2880" w:type="dxa"/>
          </w:tcPr>
          <w:p w14:paraId="07F943C7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数据探索</w:t>
            </w:r>
          </w:p>
        </w:tc>
      </w:tr>
      <w:tr w14:paraId="477671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2DA871C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图11</w:t>
            </w:r>
          </w:p>
        </w:tc>
        <w:tc>
          <w:tcPr>
            <w:tcW w:w="2880" w:type="dxa"/>
          </w:tcPr>
          <w:p w14:paraId="7DDE4EF9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output/03_svm_analysis.svg</w:t>
            </w:r>
          </w:p>
        </w:tc>
        <w:tc>
          <w:tcPr>
            <w:tcW w:w="2880" w:type="dxa"/>
          </w:tcPr>
          <w:p w14:paraId="37A3D7CD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SVM分析</w:t>
            </w:r>
          </w:p>
        </w:tc>
      </w:tr>
      <w:tr w14:paraId="0CCFC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384557A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图12</w:t>
            </w:r>
          </w:p>
        </w:tc>
        <w:tc>
          <w:tcPr>
            <w:tcW w:w="2880" w:type="dxa"/>
          </w:tcPr>
          <w:p w14:paraId="50C804A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output/04_logistic_regression.svg</w:t>
            </w:r>
          </w:p>
        </w:tc>
        <w:tc>
          <w:tcPr>
            <w:tcW w:w="2880" w:type="dxa"/>
          </w:tcPr>
          <w:p w14:paraId="2E1F65E4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逻辑回归分析</w:t>
            </w:r>
          </w:p>
        </w:tc>
      </w:tr>
      <w:tr w14:paraId="08E2CA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FEA073E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图13</w:t>
            </w:r>
          </w:p>
        </w:tc>
        <w:tc>
          <w:tcPr>
            <w:tcW w:w="2880" w:type="dxa"/>
          </w:tcPr>
          <w:p w14:paraId="6008AEBD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output/07_gradient_boosting.svg</w:t>
            </w:r>
          </w:p>
        </w:tc>
        <w:tc>
          <w:tcPr>
            <w:tcW w:w="2880" w:type="dxa"/>
          </w:tcPr>
          <w:p w14:paraId="4A90F01D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梯度提升树分析</w:t>
            </w:r>
          </w:p>
        </w:tc>
      </w:tr>
      <w:tr w14:paraId="3EB7F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34363A9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图14</w:t>
            </w:r>
          </w:p>
        </w:tc>
        <w:tc>
          <w:tcPr>
            <w:tcW w:w="2880" w:type="dxa"/>
          </w:tcPr>
          <w:p w14:paraId="14B64A0A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output/08_decision_tree.svg</w:t>
            </w:r>
          </w:p>
        </w:tc>
        <w:tc>
          <w:tcPr>
            <w:tcW w:w="2880" w:type="dxa"/>
          </w:tcPr>
          <w:p w14:paraId="39A7F04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决策树分析</w:t>
            </w:r>
          </w:p>
        </w:tc>
      </w:tr>
      <w:tr w14:paraId="24C5B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AA5C6E7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图15</w:t>
            </w:r>
          </w:p>
        </w:tc>
        <w:tc>
          <w:tcPr>
            <w:tcW w:w="2880" w:type="dxa"/>
          </w:tcPr>
          <w:p w14:paraId="35A74E0B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output/09_naive_bayes.svg</w:t>
            </w:r>
          </w:p>
        </w:tc>
        <w:tc>
          <w:tcPr>
            <w:tcW w:w="2880" w:type="dxa"/>
          </w:tcPr>
          <w:p w14:paraId="340A360F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朴素贝叶斯分析</w:t>
            </w:r>
          </w:p>
        </w:tc>
      </w:tr>
      <w:tr w14:paraId="7E704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D9B3CAB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图16</w:t>
            </w:r>
          </w:p>
        </w:tc>
        <w:tc>
          <w:tcPr>
            <w:tcW w:w="2880" w:type="dxa"/>
          </w:tcPr>
          <w:p w14:paraId="2EC395F5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output/10_knn.svg</w:t>
            </w:r>
          </w:p>
        </w:tc>
        <w:tc>
          <w:tcPr>
            <w:tcW w:w="2880" w:type="dxa"/>
          </w:tcPr>
          <w:p w14:paraId="43E4AC77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KNN分析</w:t>
            </w:r>
          </w:p>
        </w:tc>
      </w:tr>
      <w:tr w14:paraId="31EA1C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306DFBB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图17</w:t>
            </w:r>
          </w:p>
        </w:tc>
        <w:tc>
          <w:tcPr>
            <w:tcW w:w="2880" w:type="dxa"/>
          </w:tcPr>
          <w:p w14:paraId="0FE41948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output/11_mlp_training_curves.svg</w:t>
            </w:r>
          </w:p>
        </w:tc>
        <w:tc>
          <w:tcPr>
            <w:tcW w:w="2880" w:type="dxa"/>
          </w:tcPr>
          <w:p w14:paraId="6D8948BF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4"/>
              </w:rPr>
              <w:t>MLP训练损失曲线</w:t>
            </w:r>
          </w:p>
        </w:tc>
      </w:tr>
    </w:tbl>
    <w:p w14:paraId="63743E13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方正小标宋简体">
    <w:panose1 w:val="03000509000000000000"/>
    <w:charset w:val="86"/>
    <w:family w:val="script"/>
    <w:pitch w:val="default"/>
    <w:sig w:usb0="00000001" w:usb1="080E0000" w:usb2="00000000" w:usb3="00000000" w:csb0="00040000" w:csb1="00000000"/>
  </w:font>
  <w:font w:name="楷体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Yu Gothic Medium">
    <w:panose1 w:val="020B05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Kozuka Mincho Pr6N R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Kozuka Mincho Pr6N R">
    <w:panose1 w:val="02020400000000000000"/>
    <w:charset w:val="80"/>
    <w:family w:val="auto"/>
    <w:pitch w:val="default"/>
    <w:sig w:usb0="000002D7" w:usb1="2AC71C11" w:usb2="00000012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04A2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color w:val="000000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5826</Words>
  <Characters>6836</Characters>
  <Lines>0</Lines>
  <Paragraphs>0</Paragraphs>
  <TotalTime>0</TotalTime>
  <ScaleCrop>false</ScaleCrop>
  <LinksUpToDate>false</LinksUpToDate>
  <CharactersWithSpaces>6899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鱼</cp:lastModifiedBy>
  <dcterms:modified xsi:type="dcterms:W3CDTF">2026-05-26T08:41:14Z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eyJoZGlkIjoiYWZlN2UzNzNhNTFkMDM2MGE0Nzg3ODBkMjI2YTYyNTAiLCJ1c2VySWQiOiIzNDUxOTg0NzQifQ==</vt:lpwstr>
  </property>
  <property fmtid="{D5CDD505-2E9C-101B-9397-08002B2CF9AE}" pid="3" name="KSOProductBuildVer">
    <vt:lpwstr>2052-12.1.0.26375</vt:lpwstr>
  </property>
  <property fmtid="{D5CDD505-2E9C-101B-9397-08002B2CF9AE}" pid="4" name="ICV">
    <vt:lpwstr>13A0C3E8AC8140F6838963E45F6C1267_12</vt:lpwstr>
  </property>
</Properties>
</file>