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Rule="auto" w:line="300"/>
        <w:jc w:val="center"/>
      </w:pPr>
      <w:r>
        <w:rPr>
          <w:rFonts w:ascii="Times New Roman" w:hAnsi="宋体" w:eastAsia="宋体"/>
          <w:b/>
          <w:i w:val="0"/>
          <w:color w:val="000000"/>
          <w:sz w:val="44"/>
        </w:rPr>
        <w:t>鸢尾花分类问题的人工智能方法对比研究</w:t>
      </w:r>
    </w:p>
    <w:p>
      <w:pPr>
        <w:spacing w:line="360" w:lineRule="auto" w:after="120"/>
        <w:ind w:left="567" w:firstLine="482"/>
      </w:pPr>
      <w:r>
        <w:rPr>
          <w:rFonts w:ascii="Times New Roman" w:hAnsi="宋体" w:eastAsia="宋体"/>
          <w:b w:val="0"/>
          <w:i/>
          <w:color w:val="000000"/>
          <w:sz w:val="21"/>
        </w:rPr>
        <w:t>人工智能课程大作业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摘要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在Iris鸢尾花数据集上对比了8类12个分类方法的性能。考虑到单次70/30划分的方差较高，实验采用10次重复试验，并将各次试验的测试集预测汇总后统一计算F1、ROC和混淆矩阵。结果显示，MLP的GridSearch版本平均95.8%排第一，MLP(32,16,8)和梯度提升树93.6%垫底。MLP(16,8)的标准差最大（3.9%），逻辑回归最稳定（2.4%）。GridSearch选出的参数每次差异很大（10次中最常见配置仅出现2次），但整体平均仍优于所有手动配置的MLP架构——说明参数搜索在小数据上虽不稳定，但总体有益。消融实验进一步发现：决策树在训练数据减至10%时降至62.2%，SVM（84.4%）对数据缩减最不敏感；不做标准化时KNN和MLP的准确率反而更高——这表明在单次划分下，连预处理效果的结论都可能被随机性左右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关键词：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鸢尾花分类；机器学习；重复试验；GridSearch；消融实验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1. 引言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鸢尾花数据集由Fisher于1936年提出，包含3个品种各50条样本，每条有花萼长宽和花瓣长宽4个特征。因特征区分度高，常被用作机器学习入门实验。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次大作业的任务是在该数据集上对比多种分类方法。实际实验过程中发现，比出哪个模型最好并非重点——Iris数据过于简单，所有方法准确率在94%附近——更有价值的是一些反直觉的结果：MLP增加层数反而下降、GridSearch选出的参数极不稳定、未标准化的距离模型反而更准。本报告围绕这些现象展开分析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2. 实验设置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2.1数据集与预处理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数据集共150条样本，3个类别各50条，完全平衡。实验采用10次独立重复试验，每次随机按70%/30%划分训练集（105条）和测试集（45条），最终报告10次测试准确率的均值与标准差。每次试验中各模型的预测标签、概率和F1保存至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experiment_results.json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，训练好的模型、StandardScaler和训练/测试划分保存至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session.joblib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在评估方式上做了改进：不再仅依赖末次试验的45条测试样本，而是将10次试验的全部测试集预测拼接（共约450条）后统一计算F1、ROC和混淆矩阵。这一拼接策略同样应用于各单方法可视化图（图4–6、图12–16）的混淆矩阵，使每张混淆矩阵反映10次试验的综合表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交叉验证：10次试验各在训练集上做5折StratifiedKFold CV，共50个分数，跨试验取均值。参与CV的模型为6个（逻辑回归、SVM、随机森林、KNN、梯度提升树、朴素贝叶斯），不含MLP变体和决策树。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消融实验：基于末次试验的单次划分，末次划分固定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random_state=42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以保证可复现性。4类消融结果（特征、数据量、MLP架构、预处理）同样保存至session，供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--analyze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模式直接读取。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标准化：对所有模型统一使用StandardScaler——基于训练集均值与标准差拟合后应用于测试集。树模型和朴素贝叶斯理论上不受量纲影响，但为保持处理一致，同样走这一流程。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可复现性方面：首次执行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python classify.py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完成训练并保存session后，使用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python classify.py --analyze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即可从session加载全部数据重绘所有图表（含消融），无需重新训练。需注意每次完整运行会产生新的随机划分，因此具体数值会有小幅波动，但定性趋势保持稳定。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2.2方法概览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共8类12个模型：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类别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模型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关键参数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线性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LBFGS, C=1.0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核方法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 (RBF核)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C=1.0, gamma=scale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决策树(d=3)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max_depth=3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Bagging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100棵树, max_depth=5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Boosting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100棵, lr=0.1, max_depth=3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距离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 (k=5)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n_neighbors=5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神经网络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MLP(16,8), (32,16,8), (64,32), (32,8)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ReLU, alpha=0.001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神经网络+调参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MLP(GridSearch最佳)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4架构×4alpha×2激活=32组合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概率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高斯朴素贝叶斯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所有MLP统一使用Adam优化器、ReLU默认激活、L2正则系数alpha=0.001、最大迭代1000。GridSearch在每轮试验中扫描32个参数组合（hidden_layer_sizes × alpha × activation），以5折CV选出该轮最优参数，再在独立测试集上评估。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3. 实验结果与发现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3.1整体表现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10次试验的测试准确率均值与标准差如下（按均值降序）：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排名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模型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准确率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 (GridSearch最佳)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95.8%±3.4%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 (RBF核)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95.1%±2.6%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95.1%±2.8%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94.9%±2.4%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 (16,8)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94.7%±3.9%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高斯朴素贝叶斯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94.7%±2.8%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94.4%±3.2%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 (64,32)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94.4%±3.2%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 (k=5)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94.2%±2.8%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 (32,8)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93.8%±3.6%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 (32,16,8)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93.6%±3.2%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93.6%±2.7%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最高95.8%、最低93.6%，极差仅2.2个百分点。考虑到各模型标准差大多在2.4%–3.9%之间，所有模型的置信区间高度重叠，排名不具备严格的统计可区分性。逻辑回归标准差最小（2.4%），MLP(16,8)波动最大（3.9%），但波动差异也未大到可断言某一模型明显更不稳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F1-Score方面，所有模型对setosa类均为满分或接近满分，该类与另两类完全线性可分。差异主要体现在versicolor和virginica上，GridSearch的MLP在这两类上F1最高（0.938 / 0.942），梯度提升树最低（0.906 / 0.900）。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[图：综合对比总结]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图1综合对比总结（准确率排名、F1对比、ROC曲线）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[图：混淆矩阵汇总]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图2混淆矩阵汇总（8方法，10次试验拼接）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3.2交叉验证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交叉验证仅覆盖6个传统方法（不含MLP变体和决策树）。10次 ×5折共50个CV分数，跨试验均值后CV准确率与测试集均值处于同一水平（均位于93%–96%），但CV的标准差（约3.5%–5.5%）明显高于测试集（2.4%–3.9%），原因在于每折验证集仅约21条样本，折叠间波动较大。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CV排名与测试排名不完全对应，这在150条样本规模的数据集上属于正常现象——不同的评估方式引入的方差足以改变排序。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[图：交叉验证对比]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图3交叉验证对比（6模型，10次 ×5折）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3.3 MLP各配置对比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MLP 5个配置的表现分为三个层次：GridSearch最佳（95.8%）、浅层适中宽度（MLP(16,8) 94.7%、MLP(64,32) 94.4%）、深层或窄网络（MLP(32,16,8) 93.6%、MLP(32,8) 93.8%）。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MLP(16,8)较MLP(32,16,8)高出1.1个百分点——加深两层反而下降。原因在于Iris总共150条样本，三层隐藏层（32→16→8）的可训练参数超过600个，对训练集形成了过参数化，模型倾向于记忆噪声而非学习模式。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GridSearch平均准确率排名第一（95.8%），优于所有手动配置的MLP，说明参数搜索整体上有益。但选出的参数极不稳定：10次试验中，最常见配置仅出现2次（relu + alpha=0.0001 + (16,8)和tanh + alpha=0.0001 + (64,32)各2次），其余6次各不相同。这表明在小数据集上，CV每轮选出的“最优参数”高度依赖当次的数据划分，不应将其视为全局最优。但从平均效果来看，扫描参数空间这一动作确实能提升性能——只是不应过度信赖单次搜索结果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手动MLP(16,8)的alpha=0.001，而GridSearch更倾向选到alpha=0.0001。对Iris这种简单数据，适度降低正则化让模型更充分地拟合训练集，约为GridSearch版本带来了额外收益，但代价是增加了过拟合风险。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图4 MLP分析（架构对比、损失曲线、GridSearch结果、alpha与激活函数扫描）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3.4决策树与集成方法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以95.1%排第三，标准差2.8%居中。但随机森林仅94.4%——集成之后反而下降了0.7个百分点。这一结果与集成学习的普遍预期相反，原因是Iris只有4个特征，随机森林每棵树每次分裂仅随机选取2个特征（√4=2），有约50%的概率看不到花瓣宽等关键特征，只能依赖信息量较小的花萼特征做次优分裂。随机子空间在多特征场景下提供多样性收益，但在此处被特征匮乏抵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梯度提升树以93.6%垫底。Boosting每轮迭代试图纠正前一轮的残差，但训练集仅105个样本，每棵树拟合的残差中噪声占比较高，逐轮累积可能放大偏差而非改善性能。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[图：随机森林分析]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图5随机森林分析（特征重要性、估计器数量、混淆矩阵、深度扫描）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3.5其他方法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逻辑回归（94.9%±2.4%）标准差最小，最为稳定。C值从10⁻³扫到10²准确率基本不变，表明Iris对正则化不敏感——线性模型在该数据上的瓶颈在于表达能力本身，而非过拟合。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SVM（95.1%±2.6%）排名第二。C值在0.01–100区间呈现典型U型曲线：C过小则欠拟合、过大则过拟合。gamma取0.1时表现最佳。支持向量约占训练集的15%–25%，说明RBF核没有过度记忆训练样本。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KNN（94.2%±2.8%）排名靠后，k=5表现稳健，k&gt;15后准确率开始下降。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朴素贝叶斯（94.7%±2.8%）。花瓣长与花瓣宽存在明显相关性，违反了特征独立性假设，但Iris各品种的类间区分度足够高，使得这一假设违背对最终分类的影响有限。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[图：SVM分析]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图6 SVM分析（C值、gamma影响、混淆矩阵、支持向量）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4. 消融实验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消融实验基于末次试验的单次固定划分（random_state=42），所有模型以random_state=42初始化以确保可复现。4类消融结果已保存在session中，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--analyze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可直接读取并重绘。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4.1特征消融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逐一移除4个特征后8个基准模型（含MLP(32,16,8)）的测试准确率：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移除特征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SVM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KNN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MLP(32,16,8)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GBDT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决策树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朴素贝叶斯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(全特征)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花萼长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花萼宽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花瓣长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花瓣宽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移除花瓣宽的影响最大（KNN下降0.067, GBDT下降0.022）。移除花萼长或花萼宽的影响很小，部分模型甚至准确率微升（如GBDT从0.911升至0.933, MLP同样上升），说明在本次划分下花萼特征近乎噪声。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决策树在全特征下达到0.978（8个模型中最高），且移除任何单特征后仍保持在0.911–0.978，是特征鲁棒性最强的模型——树模型能够在剩余特征中重新选择最优分裂点。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[图：特征消融]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图7特征消融热力图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4.2数据量消融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训练比例从90%（94条）逐步减至10%（10条，每类约3–4条）：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在10%数据条件下，决策树从0.933降至0.622，降幅0.311，是所有模型中最脆弱者。分裂阈值在极少量样本下很难准确估计。SVM和随机森林仍保持0.844，表现最为稳健——SVM的间隔最大化对样本稀疏不敏感，随机森林的随机子采样在此处反而降低了过拟合。朴素贝叶斯在10%数据下仅0.778，每类3–4条样本无法可靠估计高斯分布的均值和方差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[图：数据量消融]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图8数据量消融曲线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4.3 MLP架构消融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在末次划分上以(16,8)、alpha=0.001、ReLU为基准，逐一扫描宽度、深度、正则化强度和激活函数：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/>
          <w:i w:val="0"/>
          <w:color w:val="000000"/>
          <w:sz w:val="24"/>
        </w:rPr>
        <w:t>宽度扫描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：4和32个神经元最高（93.33%），8个最低（88.89%）。准确率随宽度变化呈非单调趋势，说明小数据下网络容量被随机因素主导。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/>
          <w:i w:val="0"/>
          <w:color w:val="000000"/>
          <w:sz w:val="24"/>
        </w:rPr>
        <w:t>深度扫描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：1到4层均在91.11%–93.33%，无单调提升趋势。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/>
          <w:i w:val="0"/>
          <w:color w:val="000000"/>
          <w:sz w:val="24"/>
        </w:rPr>
        <w:t>正则化扫描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：alpha从0到0.1均为91.11%，alpha=1升至93.33%，强正则化在此次划分中反而有益。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/>
          <w:i w:val="0"/>
          <w:color w:val="000000"/>
          <w:sz w:val="24"/>
        </w:rPr>
        <w:t>激活函数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：ReLU（95.56%）优于Tanh和Sigmoid（93.33%）。然而GridSearch在10次试验中时有选到Tanh的情况——CV选出的最优激活函数与测试集最优不一致，再次说明CV选参在小数据上的不稳定性。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[图：MLP架构消融]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图9 MLP架构消融（宽度、深度、正则化强度、激活函数）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4.4预处理消融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标准化与未标准化在末次划分上的对比：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模型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标准化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未标准化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Δ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-0.022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-0.022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-0.067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 (32,16,8)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-0.067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-0.022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朴素贝叶斯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0.000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距离模型（KNN、MLP、SVM、逻辑回归）标准化后反而下降，其中KNN和MLP下降幅度最大（-0.067）。原因在于花萼特征数值偏大（花萼长4.3–7.9 cm, 花萼宽2.0–4.4 cm），未标准化时在欧氏距离中权重更高；花萼长与花瓣特征存在相关性，使得花萼特征通过量纲放大间接携带了判别信息。标准化消除了这一效应，导致本次划分下准确率下降。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这是本次特定划分的结果，不代表标准化在整体上“有害”。10次重复试验中标准化模型的总体均值更高（如SVM 95.1%），标准化在大部分划分下是有益的。本次消融揭示了一个重要局限：单次划分下对预处理策略的判断可能被数据划分的随机性所颠倒。树模型不受标准化影响，朴素贝叶斯的高斯参数估计对标准化的依赖较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[图：预处理消融]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图10预处理消融对比（标准化vs未标准化）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5. 讨论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从实验结果中可归纳以下几个值得关注的方面。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模型间差异映射的不是方法优劣，而是评估的稳定性。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最高与最低仅差2.2个百分点，所有模型的置信区间高度重叠。在Iris上，选择哪种方法对最终的准确率影响有限——所有合理配置的模型均可达到94%以上。真正值得关注的不是排名本身，而是那些与预期方向相反的结果（集成退化、深度网络变差、标准化反降），这些现象揭示了小数据集下方法行为的特殊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GridSearch的整体收益与参数不稳定并存。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10次试验平均GridSearch确实最优（95.8%），但每次选出的最优参数高度不一致——10次中仅2次相同。这一现象是CV在小验证集（约21条/折）上分数方差大的直接后果。从中可得出两点：参数搜索本身有利——探索多种架构和超参数组合能提高性能分布的上限；但不宜将某一次CV选出的参数视为固定最优——小数据集的CV搜索结果不具备参数级可复现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集成方法在特征匮乏的数据上失效。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随机森林未能超越单棵决策树，梯度提升树更直接垫底。4个特征中随机子空间每次仅选2个，关键特征有约50%概率在本轮不可见，多样性收益被次优分裂抵消。Boosting在此规模下逐轮拟合残差更接近“追噪声”而非改善。这一结果提醒，集成方法的正面效果以充分的特征多元化为前提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单次划分下的预处理结论不可靠。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标准化在本次消融中降低了距离模型的准确率，看似“标准化有害”，但10次重复的整体结果支持标准化的必要性。这说明对Iris这种小数据集，任何单次划分的结论都不具备足够的稳定性——预处理、模型选择、参数调优的评估都必须建立在多次重复之上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6. 结论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本实验通过对Iris数据集的系统对比，得出以下主要结论：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12个模型的准确率极差仅2.2个百分点，且标准差重叠严重，严格排名意义有限。定性趋势上，浅层MLP（含GridSearch）和SVM处于第一梯队，深层MLP和GBDT靠后，线性模型和朴素贝叶斯居中。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GridSearch虽然在平均意义上表现最优（95.8%），但参数选择极不稳定（最常见配置仅出现2/10次）。参数搜索整体有益，但不应将单次CV结果视为“最优参数”。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集成方法（随机森林、梯度提升树）在4特征空间中均未超越单棵决策树，甚至更差。特征匮乏使集成的多样性收益不足以弥补次优分裂的代价。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花瓣宽和花瓣长是最关键的分类特征，花萼特征的单独贡献极小，但在未标准化条件下可通过量纲放大间接影响距离模型。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在小数据集上，单次70/30划分的结论可能被随机性完全颠覆。多次重复、拼接评估和消融分析是获得可靠结论的三个必要环节。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附录：图表索引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图号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文件名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内容描述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output/12_summary.svg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综合对比总结（准确率排名/F1/ROC）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output/13_confusion_matrices.svg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8方法混淆矩阵汇总（10次拼接）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output/14_cv_comparison.svg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6模型交叉验证对比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output/05_mlp_analysis.svg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MLP分析（架构/GridSearch/alpha/激活）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output/06_random_forest.svg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随机森林分析（重要性/估计器数/CM/深度）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output/03_svm_analysis.svg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SVM分析（C值/gamma/CM/支持向量）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output/ablation_01_feature.svg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特征消融热力图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output/ablation_02_data.svg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数据量消融曲线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output/ablation_03_mlp_architecture.svg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MLP架构消融（宽/深/正则/激活）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output/ablation_04_preprocessing.svg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预处理消融（标准化vs未标准化）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output/02_decision_boundaries.svg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八模型决策边界对比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output/04_logistic_regression.svg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output/07_gradient_boosting.svg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output/08_decision_tree.svg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output/09_naive_bayes.svg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朴素贝叶斯分析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output/10_knn.svg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output/01_data_exploration.svg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数据探索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output/11_mlp_training_curves.svg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MLP训练损失曲线</w:t>
            </w:r>
          </w:p>
        </w:tc>
      </w:tr>
    </w:tbl>
    <w:p/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参考文献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[1] Fisher R A. The use of multiple measurements in taxonomic problems[J]. Annals of Eugenics, 1936, 7(2): 179-188.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[2]周志华. 机器学习[M]. 北京: 清华大学出版社, 2016.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[3]李航. 统计学习方法（第2版）[M]. 北京: 清华大学出版社, 2019.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[4] Pedregosa F, Varoquaux G, Gramfort A, et al. Scikit-learn: Machine learning in Python[J]. Journal of Machine Learning Research, 2011, 12: 2825-2830.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[5] Hastie T, Tibshirani R, Friedman J. The Elements of Statistical Learning: Data Mining, Inference, and Prediction[M]. 2nd ed. New York: Springer, 2009.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