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Rule="auto" w:line="300"/>
        <w:jc w:val="center"/>
      </w:pPr>
      <w:r>
        <w:rPr>
          <w:rFonts w:ascii="Times New Roman" w:hAnsi="宋体" w:eastAsia="宋体"/>
          <w:b/>
          <w:i w:val="0"/>
          <w:color w:val="000000"/>
          <w:sz w:val="44"/>
        </w:rPr>
        <w:t>鸢尾花分类问题的人工智能方法对比研究</w:t>
      </w:r>
    </w:p>
    <w:p>
      <w:pPr>
        <w:spacing w:line="360" w:lineRule="auto" w:after="120"/>
        <w:ind w:left="567" w:firstLine="482"/>
      </w:pPr>
      <w:r>
        <w:rPr>
          <w:rFonts w:ascii="Times New Roman" w:hAnsi="宋体" w:eastAsia="宋体"/>
          <w:b w:val="0"/>
          <w:i/>
          <w:color w:val="000000"/>
          <w:sz w:val="21"/>
        </w:rPr>
        <w:t>人工智能课程大作业</w:t>
      </w:r>
    </w:p>
    <w:p>
      <w:pPr>
        <w:spacing w:before="240" w:after="120" w:lineRule="auto" w:line="300"/>
        <w:jc w:val="left"/>
      </w:pPr>
      <w:r>
        <w:rPr>
          <w:rFonts w:ascii="Times New Roman" w:hAnsi="宋体" w:eastAsia="宋体"/>
          <w:b/>
          <w:i w:val="0"/>
          <w:color w:val="000000"/>
          <w:sz w:val="32"/>
        </w:rPr>
        <w:t>摘要</w:t>
      </w:r>
    </w:p>
    <w:p>
      <w:pPr>
        <w:spacing w:line="360" w:lineRule="auto" w:after="120" w:before="0"/>
        <w:ind w:firstLine="482"/>
      </w:pPr>
      <w:r>
        <w:rPr>
          <w:rFonts w:ascii="Times New Roman" w:hAnsi="宋体" w:eastAsia="宋体"/>
          <w:b w:val="0"/>
          <w:i w:val="0"/>
          <w:color w:val="000000"/>
          <w:sz w:val="24"/>
        </w:rPr>
        <w:t>本实验在Iris鸢尾花数据集上对比了8类12个分类方法的性能。为克服单次70/30划分的高方差问题，实验采用10次重复试验，同时将多trial的测试集预测拼接进行F1、ROC和混淆矩阵评估。结果显示所有方法准确率集中在93.6%–95.3%，SVM以95.3%居首，MLP(32,16,8)以93.6%垫底，但标准差重叠使得排名统计上不显著。决策树在单次划分中可达97.8%，但其3.3%的标准差为所有方法中最高，10次平均后仅95.1%。数据量消融显示，决策树在10%训练数据时暴跌至62.2%，而SVM仍保持84.4%。预处理消融发现标准化对距离模型在此次划分中反而有害——KNN和MLP未标准化时准确率更高，说明标准化并非适用于所有数据划分。MLP的GridSearch选出的参数（alpha=0.0001, ReLU）在测试集上不如手动配置（密度扫描中alpha=1或Tanh更优）。这些结果共同说明，单次划分的排名不可靠，多次重复试验和消融分析才能揭示模型的真实行为。</w:t>
      </w:r>
    </w:p>
    <w:p>
      <w:pPr>
        <w:spacing w:line="360" w:lineRule="auto" w:after="120" w:before="0"/>
        <w:ind w:firstLine="482"/>
      </w:pPr>
      <w:r>
        <w:rPr>
          <w:rFonts w:ascii="Times New Roman" w:hAnsi="宋体" w:eastAsia="宋体"/>
          <w:b/>
          <w:i w:val="0"/>
          <w:color w:val="000000"/>
          <w:sz w:val="24"/>
        </w:rPr>
        <w:t>关键词：</w:t>
      </w:r>
      <w:r>
        <w:rPr>
          <w:rFonts w:ascii="Times New Roman" w:hAnsi="宋体" w:eastAsia="宋体"/>
          <w:b w:val="0"/>
          <w:i w:val="0"/>
          <w:color w:val="000000"/>
          <w:sz w:val="24"/>
        </w:rPr>
        <w:t>鸢尾花分类；机器学习；重复试验；超参数调优；消融实验</w:t>
      </w:r>
    </w:p>
    <w:p>
      <w:pPr>
        <w:spacing w:before="240" w:after="120" w:lineRule="auto" w:line="300"/>
        <w:jc w:val="left"/>
      </w:pPr>
      <w:r>
        <w:rPr>
          <w:rFonts w:ascii="Times New Roman" w:hAnsi="宋体" w:eastAsia="宋体"/>
          <w:b/>
          <w:i w:val="0"/>
          <w:color w:val="000000"/>
          <w:sz w:val="32"/>
        </w:rPr>
        <w:t>1. 引言</w:t>
      </w:r>
    </w:p>
    <w:p>
      <w:pPr>
        <w:spacing w:line="360" w:lineRule="auto" w:after="120" w:before="0"/>
        <w:ind w:firstLine="482"/>
      </w:pPr>
      <w:r>
        <w:rPr>
          <w:rFonts w:ascii="Times New Roman" w:hAnsi="宋体" w:eastAsia="宋体"/>
          <w:b w:val="0"/>
          <w:i w:val="0"/>
          <w:color w:val="000000"/>
          <w:sz w:val="24"/>
        </w:rPr>
        <w:t>鸢尾花数据集是1936年Fisher提出的，3个品种各50条样本，每条有花萼长宽和花瓣长宽4个特征。因为类别分得比较开，常被拿来做分类算法的入门练习。</w:t>
      </w:r>
    </w:p>
    <w:p>
      <w:pPr>
        <w:spacing w:line="360" w:lineRule="auto" w:after="120" w:before="0"/>
        <w:ind w:firstLine="482"/>
      </w:pPr>
      <w:r>
        <w:rPr>
          <w:rFonts w:ascii="Times New Roman" w:hAnsi="宋体" w:eastAsia="宋体"/>
          <w:b w:val="0"/>
          <w:i w:val="0"/>
          <w:color w:val="000000"/>
          <w:sz w:val="24"/>
        </w:rPr>
        <w:t>这次大作业要求用多种机器学习方法对Iris做分类并对比分析。实际做下来发现，比出哪个模型最好不是重点——Iris太简单了，所有方法都在94%左右——而是那些反直觉的现象：为什么MLP加深一层反而变差？GridSearch挑的参数为什么在测试集上不如手动配置？为什么有些模型不做标准化反而更准？这篇报告就是围绕这些现象展开的。</w:t>
      </w:r>
    </w:p>
    <w:p>
      <w:pPr>
        <w:spacing w:before="240" w:after="120" w:lineRule="auto" w:line="300"/>
        <w:jc w:val="left"/>
      </w:pPr>
      <w:r>
        <w:rPr>
          <w:rFonts w:ascii="Times New Roman" w:hAnsi="宋体" w:eastAsia="宋体"/>
          <w:b/>
          <w:i w:val="0"/>
          <w:color w:val="000000"/>
          <w:sz w:val="32"/>
        </w:rPr>
        <w:t>2. 实验设置</w:t>
      </w:r>
    </w:p>
    <w:p>
      <w:pPr>
        <w:spacing w:before="240" w:after="120" w:lineRule="auto" w:line="300"/>
        <w:jc w:val="left"/>
      </w:pPr>
      <w:r>
        <w:rPr>
          <w:rFonts w:ascii="Times New Roman" w:hAnsi="宋体" w:eastAsia="宋体"/>
          <w:b/>
          <w:i w:val="0"/>
          <w:color w:val="000000"/>
          <w:sz w:val="28"/>
        </w:rPr>
        <w:t>2.1数据集与预处理</w:t>
      </w:r>
    </w:p>
    <w:p>
      <w:pPr>
        <w:spacing w:line="360" w:lineRule="auto" w:after="120" w:before="0"/>
        <w:ind w:firstLine="482"/>
      </w:pPr>
      <w:r>
        <w:rPr>
          <w:rFonts w:ascii="Times New Roman" w:hAnsi="宋体" w:eastAsia="宋体"/>
          <w:b w:val="0"/>
          <w:i w:val="0"/>
          <w:color w:val="000000"/>
          <w:sz w:val="24"/>
        </w:rPr>
        <w:t>数据集共150条样本，3个类别完全平衡。实验采用10次独立重复试验，每次随机按70%/30%划分训练集（105条）和测试集（45条），最终报告10次测试准确率的均值与标准差。所有模型在各次试验中的预测标签和概率被保存至</w:t>
      </w:r>
      <w:r>
        <w:rPr>
          <w:rFonts w:ascii="Courier New" w:hAnsi="Courier New" w:eastAsia="Courier New"/>
          <w:b w:val="0"/>
          <w:i w:val="0"/>
          <w:color w:val="000000"/>
          <w:sz w:val="24"/>
        </w:rPr>
        <w:t>experiment_results.json</w:t>
      </w:r>
      <w:r>
        <w:rPr>
          <w:rFonts w:ascii="Times New Roman" w:hAnsi="宋体" w:eastAsia="宋体"/>
          <w:b w:val="0"/>
          <w:i w:val="0"/>
          <w:color w:val="000000"/>
          <w:sz w:val="24"/>
        </w:rPr>
        <w:t>，训练好的模型和Scaler保存至</w:t>
      </w:r>
      <w:r>
        <w:rPr>
          <w:rFonts w:ascii="Courier New" w:hAnsi="Courier New" w:eastAsia="Courier New"/>
          <w:b w:val="0"/>
          <w:i w:val="0"/>
          <w:color w:val="000000"/>
          <w:sz w:val="24"/>
        </w:rPr>
        <w:t>session.joblib</w:t>
      </w:r>
      <w:r>
        <w:rPr>
          <w:rFonts w:ascii="Times New Roman" w:hAnsi="宋体" w:eastAsia="宋体"/>
          <w:b w:val="0"/>
          <w:i w:val="0"/>
          <w:color w:val="000000"/>
          <w:sz w:val="24"/>
        </w:rPr>
        <w:t>。</w:t>
      </w:r>
    </w:p>
    <w:p>
      <w:pPr>
        <w:spacing w:line="360" w:lineRule="auto" w:after="120" w:before="0"/>
        <w:ind w:firstLine="482"/>
      </w:pPr>
      <w:r>
        <w:rPr>
          <w:rFonts w:ascii="Times New Roman" w:hAnsi="宋体" w:eastAsia="宋体"/>
          <w:b w:val="0"/>
          <w:i w:val="0"/>
          <w:color w:val="000000"/>
          <w:sz w:val="24"/>
        </w:rPr>
        <w:t>混淆矩阵、F1-Score和ROC曲线的评估方式做了改进：不再只依赖末次试验的45条测试样本，而是将10次试验的全部测试集预测拼接（共约450条样本）后统一计算。这一策略同样应用于各单方法可视化图（图4–6、图11–18）的混淆矩阵，使每张CM都反映10次试验的综合结果而非单次运气。交叉验证为10次试验各自进行5折CV后跨试验取均值。消融实验基于末次试验的单次划分。采用StandardScaler基于训练集统计量进行标准化。</w:t>
      </w:r>
    </w:p>
    <w:p>
      <w:pPr>
        <w:spacing w:line="360" w:lineRule="auto" w:after="120" w:before="0"/>
        <w:ind w:firstLine="482"/>
      </w:pPr>
      <w:r>
        <w:rPr>
          <w:rFonts w:ascii="Times New Roman" w:hAnsi="宋体" w:eastAsia="宋体"/>
          <w:b w:val="0"/>
          <w:i w:val="0"/>
          <w:color w:val="000000"/>
          <w:sz w:val="24"/>
        </w:rPr>
        <w:t>完整实验可通过</w:t>
      </w:r>
      <w:r>
        <w:rPr>
          <w:rFonts w:ascii="Courier New" w:hAnsi="Courier New" w:eastAsia="Courier New"/>
          <w:b w:val="0"/>
          <w:i w:val="0"/>
          <w:color w:val="000000"/>
          <w:sz w:val="24"/>
        </w:rPr>
        <w:t>python classify.py --analyze</w:t>
      </w:r>
      <w:r>
        <w:rPr>
          <w:rFonts w:ascii="Times New Roman" w:hAnsi="宋体" w:eastAsia="宋体"/>
          <w:b w:val="0"/>
          <w:i w:val="0"/>
          <w:color w:val="000000"/>
          <w:sz w:val="24"/>
        </w:rPr>
        <w:t>从已保存的session完全复现全部图表，无需重新训练。需注意：由于每次完整运行（</w:t>
      </w:r>
      <w:r>
        <w:rPr>
          <w:rFonts w:ascii="Courier New" w:hAnsi="Courier New" w:eastAsia="Courier New"/>
          <w:b w:val="0"/>
          <w:i w:val="0"/>
          <w:color w:val="000000"/>
          <w:sz w:val="24"/>
        </w:rPr>
        <w:t>python classify.py</w:t>
      </w:r>
      <w:r>
        <w:rPr>
          <w:rFonts w:ascii="Times New Roman" w:hAnsi="宋体" w:eastAsia="宋体"/>
          <w:b w:val="0"/>
          <w:i w:val="0"/>
          <w:color w:val="000000"/>
          <w:sz w:val="24"/>
        </w:rPr>
        <w:t>）会重新生成随机划分，不同运行之间的具体数值会有小幅波动，但定性趋势一致。</w:t>
      </w:r>
    </w:p>
    <w:p>
      <w:pPr>
        <w:spacing w:before="240" w:after="120" w:lineRule="auto" w:line="300"/>
        <w:jc w:val="left"/>
      </w:pPr>
      <w:r>
        <w:rPr>
          <w:rFonts w:ascii="Times New Roman" w:hAnsi="宋体" w:eastAsia="宋体"/>
          <w:b/>
          <w:i w:val="0"/>
          <w:color w:val="000000"/>
          <w:sz w:val="28"/>
        </w:rPr>
        <w:t>2.2方法概览</w:t>
      </w:r>
    </w:p>
    <w:p>
      <w:pPr>
        <w:spacing w:line="360" w:lineRule="auto" w:after="120" w:before="0"/>
        <w:ind w:firstLine="482"/>
      </w:pPr>
      <w:r>
        <w:rPr>
          <w:rFonts w:ascii="Times New Roman" w:hAnsi="宋体" w:eastAsia="宋体"/>
          <w:b w:val="0"/>
          <w:i w:val="0"/>
          <w:color w:val="000000"/>
          <w:sz w:val="24"/>
        </w:rPr>
        <w:t>一共跑了8类12个模型：逻辑回归、SVM/RBF、决策树、随机森林、梯度提升树、KNN、MLP的5个架构（含GridSearch调优）、高斯朴素贝叶斯。每个方法进行了参数扫描分析。</w:t>
      </w:r>
    </w:p>
    <w:p>
      <w:pPr>
        <w:spacing w:before="240" w:after="120" w:lineRule="auto" w:line="300"/>
        <w:jc w:val="left"/>
      </w:pPr>
      <w:r>
        <w:rPr>
          <w:rFonts w:ascii="Times New Roman" w:hAnsi="宋体" w:eastAsia="宋体"/>
          <w:b/>
          <w:i w:val="0"/>
          <w:color w:val="000000"/>
          <w:sz w:val="32"/>
        </w:rPr>
        <w:t>3. 实验结果与发现</w:t>
      </w:r>
    </w:p>
    <w:p>
      <w:pPr>
        <w:spacing w:before="240" w:after="120" w:lineRule="auto" w:line="300"/>
        <w:jc w:val="left"/>
      </w:pPr>
      <w:r>
        <w:rPr>
          <w:rFonts w:ascii="Times New Roman" w:hAnsi="宋体" w:eastAsia="宋体"/>
          <w:b/>
          <w:i w:val="0"/>
          <w:color w:val="000000"/>
          <w:sz w:val="28"/>
        </w:rPr>
        <w:t>3.1测试集上的整体表现</w:t>
      </w:r>
    </w:p>
    <w:p>
      <w:pPr>
        <w:spacing w:line="360" w:lineRule="auto" w:after="120" w:before="0"/>
        <w:ind w:firstLine="482"/>
      </w:pPr>
      <w:r>
        <w:rPr>
          <w:rFonts w:ascii="Times New Roman" w:hAnsi="宋体" w:eastAsia="宋体"/>
          <w:b w:val="0"/>
          <w:i w:val="0"/>
          <w:color w:val="000000"/>
          <w:sz w:val="24"/>
        </w:rPr>
        <w:t>各模型在10次重复试验中的测试准确率均值集中在93.6%–95.3%，整体区间较窄。</w:t>
      </w:r>
    </w:p>
    <w:p>
      <w:pPr>
        <w:spacing w:line="360" w:lineRule="auto" w:after="120" w:before="0"/>
        <w:ind w:firstLine="482"/>
      </w:pPr>
      <w:r>
        <w:rPr>
          <w:rFonts w:ascii="Times New Roman" w:hAnsi="宋体" w:eastAsia="宋体"/>
          <w:b w:val="0"/>
          <w:i w:val="0"/>
          <w:color w:val="000000"/>
          <w:sz w:val="24"/>
        </w:rPr>
        <w:t>SVM以95.3%居首，标准差2.5%。决策树95.1%排名第二，但其3.3%的标准差为所有方法中最高，说明单次划分的结果波动极大——实际上最初random_state=42那次决策树确实最高（97.8%），但那只是随机波动。MLP(16,8)和朴素贝叶斯均为94.9%，逻辑回归94.7%。随机森林、KNN、梯度提升树和MLP(GridSearch)都在94.2%附近。MLP(32,16,8)以93.6%垫底。</w:t>
      </w:r>
    </w:p>
    <w:p>
      <w:pPr>
        <w:spacing w:line="360" w:lineRule="auto" w:after="120" w:before="0"/>
        <w:ind w:firstLine="482"/>
      </w:pPr>
      <w:r>
        <w:rPr>
          <w:rFonts w:ascii="Times New Roman" w:hAnsi="宋体" w:eastAsia="宋体"/>
          <w:b w:val="0"/>
          <w:i w:val="0"/>
          <w:color w:val="000000"/>
          <w:sz w:val="24"/>
        </w:rPr>
        <w:t>KNN的标准差最小（1.8%），是最稳定的模型之一。MLP(32,16,8)也仅1.8%，但均值最低——加深一层带来的不是提升，而是下降。详见3.4节。</w:t>
      </w:r>
    </w:p>
    <w:p>
      <w:pPr>
        <w:spacing w:line="360" w:lineRule="auto" w:after="120" w:before="0"/>
        <w:ind w:firstLine="482"/>
      </w:pPr>
      <w:r>
        <w:rPr>
          <w:rFonts w:ascii="Times New Roman" w:hAnsi="宋体" w:eastAsia="宋体"/>
          <w:b w:val="0"/>
          <w:i w:val="0"/>
          <w:color w:val="000000"/>
          <w:sz w:val="24"/>
        </w:rPr>
        <w:t>多数模型收敛于94%–95%区间，说明Iris上不同方法的性能差距比单次划分看起来的要小得多。</w:t>
      </w:r>
    </w:p>
    <w:p>
      <w:pPr>
        <w:spacing w:line="360" w:lineRule="auto" w:after="120" w:before="0"/>
        <w:ind w:firstLine="482"/>
      </w:pPr>
      <w:r>
        <w:rPr>
          <w:rFonts w:ascii="Times New Roman" w:hAnsi="宋体" w:eastAsia="宋体"/>
          <w:b w:val="0"/>
          <w:i w:val="0"/>
          <w:color w:val="000000"/>
          <w:sz w:val="24"/>
        </w:rPr>
        <w:t>[图：综合对比总结]</w:t>
      </w:r>
    </w:p>
    <w:p>
      <w:pPr>
        <w:spacing w:line="360" w:lineRule="auto" w:after="120" w:before="0"/>
        <w:ind w:firstLine="482"/>
      </w:pPr>
      <w:r>
        <w:rPr>
          <w:rFonts w:ascii="Times New Roman" w:hAnsi="宋体" w:eastAsia="宋体"/>
          <w:b w:val="0"/>
          <w:i w:val="0"/>
          <w:color w:val="000000"/>
          <w:sz w:val="24"/>
        </w:rPr>
        <w:t>图1综合对比总结（准确率排名、F1对比、ROC曲线）</w:t>
      </w:r>
    </w:p>
    <w:p>
      <w:pPr>
        <w:spacing w:line="360" w:lineRule="auto" w:after="120" w:before="0"/>
        <w:ind w:firstLine="482"/>
      </w:pPr>
      <w:r>
        <w:rPr>
          <w:rFonts w:ascii="Times New Roman" w:hAnsi="宋体" w:eastAsia="宋体"/>
          <w:b w:val="0"/>
          <w:i w:val="0"/>
          <w:color w:val="000000"/>
          <w:sz w:val="24"/>
        </w:rPr>
        <w:t>各方法在10次试验中拼接的混淆矩阵汇总于图2。</w:t>
      </w:r>
    </w:p>
    <w:p>
      <w:pPr>
        <w:spacing w:line="360" w:lineRule="auto" w:after="120" w:before="0"/>
        <w:ind w:firstLine="482"/>
      </w:pPr>
      <w:r>
        <w:rPr>
          <w:rFonts w:ascii="Times New Roman" w:hAnsi="宋体" w:eastAsia="宋体"/>
          <w:b w:val="0"/>
          <w:i w:val="0"/>
          <w:color w:val="000000"/>
          <w:sz w:val="24"/>
        </w:rPr>
        <w:t>[图：混淆矩阵汇总]</w:t>
      </w:r>
    </w:p>
    <w:p>
      <w:pPr>
        <w:spacing w:line="360" w:lineRule="auto" w:after="120" w:before="0"/>
        <w:ind w:firstLine="482"/>
      </w:pPr>
      <w:r>
        <w:rPr>
          <w:rFonts w:ascii="Times New Roman" w:hAnsi="宋体" w:eastAsia="宋体"/>
          <w:b w:val="0"/>
          <w:i w:val="0"/>
          <w:color w:val="000000"/>
          <w:sz w:val="24"/>
        </w:rPr>
        <w:t>图2混淆矩阵汇总（8方法，10次试验拼接）</w:t>
      </w:r>
    </w:p>
    <w:p>
      <w:pPr>
        <w:spacing w:before="240" w:after="120" w:lineRule="auto" w:line="300"/>
        <w:jc w:val="left"/>
      </w:pPr>
      <w:r>
        <w:rPr>
          <w:rFonts w:ascii="Times New Roman" w:hAnsi="宋体" w:eastAsia="宋体"/>
          <w:b/>
          <w:i w:val="0"/>
          <w:color w:val="000000"/>
          <w:sz w:val="28"/>
        </w:rPr>
        <w:t>3.2交叉验证</w:t>
      </w:r>
    </w:p>
    <w:p>
      <w:pPr>
        <w:spacing w:line="360" w:lineRule="auto" w:after="120" w:before="0"/>
        <w:ind w:firstLine="482"/>
      </w:pPr>
      <w:r>
        <w:rPr>
          <w:rFonts w:ascii="Times New Roman" w:hAnsi="宋体" w:eastAsia="宋体"/>
          <w:b w:val="0"/>
          <w:i w:val="0"/>
          <w:color w:val="000000"/>
          <w:sz w:val="24"/>
        </w:rPr>
        <w:t>5折交叉验证数据来自10次 ×5折共50个CV分数。CV均值在93.9%–95.4%之间，与测试集均值基本持平。CV排名和测试排名不完全一致：决策树测试第2（95.1%），CV可能靠后（单棵树的5折间波动大）。所有模型的CV标准差在3.4%–5.2%之间，远高于测试集的标准差（1.8%–3.3%），说明5折CV在150条数据上的折叠间波动本身就很大。</w:t>
      </w:r>
    </w:p>
    <w:p>
      <w:pPr>
        <w:spacing w:line="360" w:lineRule="auto" w:after="120" w:before="0"/>
        <w:ind w:firstLine="482"/>
      </w:pPr>
      <w:r>
        <w:rPr>
          <w:rFonts w:ascii="Times New Roman" w:hAnsi="宋体" w:eastAsia="宋体"/>
          <w:b w:val="0"/>
          <w:i w:val="0"/>
          <w:color w:val="000000"/>
          <w:sz w:val="24"/>
        </w:rPr>
        <w:t>[图：交叉验证对比]</w:t>
      </w:r>
    </w:p>
    <w:p>
      <w:pPr>
        <w:spacing w:line="360" w:lineRule="auto" w:after="120" w:before="0"/>
        <w:ind w:firstLine="482"/>
      </w:pPr>
      <w:r>
        <w:rPr>
          <w:rFonts w:ascii="Times New Roman" w:hAnsi="宋体" w:eastAsia="宋体"/>
          <w:b w:val="0"/>
          <w:i w:val="0"/>
          <w:color w:val="000000"/>
          <w:sz w:val="24"/>
        </w:rPr>
        <w:t>图3交叉验证对比（各模型5折CV）</w:t>
      </w:r>
    </w:p>
    <w:p>
      <w:pPr>
        <w:spacing w:before="240" w:after="120" w:lineRule="auto" w:line="300"/>
        <w:jc w:val="left"/>
      </w:pPr>
      <w:r>
        <w:rPr>
          <w:rFonts w:ascii="Times New Roman" w:hAnsi="宋体" w:eastAsia="宋体"/>
          <w:b/>
          <w:i w:val="0"/>
          <w:color w:val="000000"/>
          <w:sz w:val="28"/>
        </w:rPr>
        <w:t>3.3 MLP的深度困境</w:t>
      </w:r>
    </w:p>
    <w:p>
      <w:pPr>
        <w:spacing w:line="360" w:lineRule="auto" w:after="120" w:before="0"/>
        <w:ind w:firstLine="482"/>
      </w:pPr>
      <w:r>
        <w:rPr>
          <w:rFonts w:ascii="Times New Roman" w:hAnsi="宋体" w:eastAsia="宋体"/>
          <w:b w:val="0"/>
          <w:i w:val="0"/>
          <w:color w:val="000000"/>
          <w:sz w:val="24"/>
        </w:rPr>
        <w:t>MLP(16,8)准确率94.9%，而MLP(32,16,8)只有93.6%（垫底）。加深两层不仅没带来提升，反而下降了1.3个百分点。原因在于Iris只有150条数据，两层隐藏层（32→16→8）的参数量对这个小数据集来说已经过多了。更深的网络需要更多数据来约束参数，否则会过度适应训练集中的噪声。</w:t>
      </w:r>
    </w:p>
    <w:p>
      <w:pPr>
        <w:spacing w:line="360" w:lineRule="auto" w:after="120" w:before="0"/>
        <w:ind w:firstLine="482"/>
      </w:pPr>
      <w:r>
        <w:rPr>
          <w:rFonts w:ascii="Times New Roman" w:hAnsi="宋体" w:eastAsia="宋体"/>
          <w:b w:val="0"/>
          <w:i w:val="0"/>
          <w:color w:val="000000"/>
          <w:sz w:val="24"/>
        </w:rPr>
        <w:t>MLP(64,32)两层宽网络93.8%，也不如MLP(16,8)。这说明在Iris上，浅层小网络（16→8）已经足够拟合决策边界，增加宽度或深度都帮不上忙。</w:t>
      </w:r>
    </w:p>
    <w:p>
      <w:pPr>
        <w:spacing w:line="360" w:lineRule="auto" w:after="120" w:before="0"/>
        <w:ind w:firstLine="482"/>
      </w:pPr>
      <w:r>
        <w:rPr>
          <w:rFonts w:ascii="Times New Roman" w:hAnsi="宋体" w:eastAsia="宋体"/>
          <w:b w:val="0"/>
          <w:i w:val="0"/>
          <w:color w:val="000000"/>
          <w:sz w:val="24"/>
        </w:rPr>
        <w:t>GridSearch最常见的选出参数为(16,8), alpha=0.0001, ReLU，与手动配置的MLP(16,8)完全一致但alpha不同（手动alpha=0.001，GridSearch alpha=0.0001），但手动配置的MLP(16,8)反而略高（94.9% vs 94.2%）。这种差距在10次平均后被压缩了但仍存在，原因见3.4节的交叉验证骗局。</w:t>
      </w:r>
    </w:p>
    <w:p>
      <w:pPr>
        <w:spacing w:line="360" w:lineRule="auto" w:after="120" w:before="0"/>
        <w:ind w:firstLine="482"/>
      </w:pPr>
      <w:r>
        <w:rPr>
          <w:rFonts w:ascii="Times New Roman" w:hAnsi="宋体" w:eastAsia="宋体"/>
          <w:b w:val="0"/>
          <w:i w:val="0"/>
          <w:color w:val="000000"/>
          <w:sz w:val="24"/>
        </w:rPr>
        <w:t>[图：MLP分析]</w:t>
      </w:r>
    </w:p>
    <w:p>
      <w:pPr>
        <w:spacing w:line="360" w:lineRule="auto" w:after="120" w:before="0"/>
        <w:ind w:firstLine="482"/>
      </w:pPr>
      <w:r>
        <w:rPr>
          <w:rFonts w:ascii="Times New Roman" w:hAnsi="宋体" w:eastAsia="宋体"/>
          <w:b w:val="0"/>
          <w:i w:val="0"/>
          <w:color w:val="000000"/>
          <w:sz w:val="24"/>
        </w:rPr>
        <w:t>图4 MLP分析（架构对比、损失曲线、GridSearch结果、alpha与激活函数扫描）</w:t>
      </w:r>
    </w:p>
    <w:p>
      <w:pPr>
        <w:spacing w:before="240" w:after="120" w:lineRule="auto" w:line="300"/>
        <w:jc w:val="left"/>
      </w:pPr>
      <w:r>
        <w:rPr>
          <w:rFonts w:ascii="Times New Roman" w:hAnsi="宋体" w:eastAsia="宋体"/>
          <w:b/>
          <w:i w:val="0"/>
          <w:color w:val="000000"/>
          <w:sz w:val="28"/>
        </w:rPr>
        <w:t>3.4交叉验证选参的陷阱</w:t>
      </w:r>
    </w:p>
    <w:p>
      <w:pPr>
        <w:spacing w:line="360" w:lineRule="auto" w:after="120" w:before="0"/>
        <w:ind w:firstLine="482"/>
      </w:pPr>
      <w:r>
        <w:rPr>
          <w:rFonts w:ascii="Times New Roman" w:hAnsi="宋体" w:eastAsia="宋体"/>
          <w:b w:val="0"/>
          <w:i w:val="0"/>
          <w:color w:val="000000"/>
          <w:sz w:val="24"/>
        </w:rPr>
        <w:t>MLP的GridSearch在5折交叉验证中选出的最常见参数是隐藏层(16,8)、alpha=0.0001、ReLU，平均准确率94.2%。但手动配置的MLP(16,8)（alpha=0.001）是94.9%，且MLP架构消融中alpha=1和Tanh激活函数在测试集上表现更好（均达93.33%的本次划分单次准确率）。GridSearch选出的参数在独立测试集上不是最优的。</w:t>
      </w:r>
    </w:p>
    <w:p>
      <w:pPr>
        <w:spacing w:line="360" w:lineRule="auto" w:after="120" w:before="0"/>
        <w:ind w:firstLine="482"/>
      </w:pPr>
      <w:r>
        <w:rPr>
          <w:rFonts w:ascii="Times New Roman" w:hAnsi="宋体" w:eastAsia="宋体"/>
          <w:b w:val="0"/>
          <w:i w:val="0"/>
          <w:color w:val="000000"/>
          <w:sz w:val="24"/>
        </w:rPr>
        <w:t>原因和数据量有关。交叉验证每折验证集只有约20条样本，分数方差极大。网格搜索实质上是在挑“在这几次验证中运气好”的参数，而不是真正泛化最好的。在小数据集上，交叉验证选参的可靠性需要留出测试集和多次重复来验证。</w:t>
      </w:r>
    </w:p>
    <w:p>
      <w:pPr>
        <w:spacing w:before="240" w:after="120" w:lineRule="auto" w:line="300"/>
        <w:jc w:val="left"/>
      </w:pPr>
      <w:r>
        <w:rPr>
          <w:rFonts w:ascii="Times New Roman" w:hAnsi="宋体" w:eastAsia="宋体"/>
          <w:b/>
          <w:i w:val="0"/>
          <w:color w:val="000000"/>
          <w:sz w:val="28"/>
        </w:rPr>
        <w:t>3.5决策树的波动性与集成</w:t>
      </w:r>
    </w:p>
    <w:p>
      <w:pPr>
        <w:spacing w:line="360" w:lineRule="auto" w:after="120" w:before="0"/>
        <w:ind w:firstLine="482"/>
      </w:pPr>
      <w:r>
        <w:rPr>
          <w:rFonts w:ascii="Times New Roman" w:hAnsi="宋体" w:eastAsia="宋体"/>
          <w:b w:val="0"/>
          <w:i w:val="0"/>
          <w:color w:val="000000"/>
          <w:sz w:val="24"/>
        </w:rPr>
        <w:t>决策树在10次平均中排名第二（95.1%），但标准差最大（3.3%），是最不稳定的模型。单次划分下它可能冲到97.8%、也可能掉到90%以下。这种波动性来自决策树的分裂策略：每次分裂只选一个阈值，对数据划分极其敏感。</w:t>
      </w:r>
    </w:p>
    <w:p>
      <w:pPr>
        <w:spacing w:line="360" w:lineRule="auto" w:after="120" w:before="0"/>
        <w:ind w:firstLine="482"/>
      </w:pPr>
      <w:r>
        <w:rPr>
          <w:rFonts w:ascii="Times New Roman" w:hAnsi="宋体" w:eastAsia="宋体"/>
          <w:b w:val="0"/>
          <w:i w:val="0"/>
          <w:color w:val="000000"/>
          <w:sz w:val="24"/>
        </w:rPr>
        <w:t>随机森林作为Bagging集成，平均94.2%，标准差2.7%，比单棵决策树的3.3%有所降低，但均值反而比单棵树低了0.9个百分点。说明在本次运行中，集成降低了方差但牺牲了一部分偏差。特征太少（仅4个）使得随机森林的随机子空间策略（每次只看2个特征）容易错过关键特征。</w:t>
      </w:r>
    </w:p>
    <w:p>
      <w:pPr>
        <w:spacing w:line="360" w:lineRule="auto" w:after="120" w:before="0"/>
        <w:ind w:firstLine="482"/>
      </w:pPr>
      <w:r>
        <w:rPr>
          <w:rFonts w:ascii="Times New Roman" w:hAnsi="宋体" w:eastAsia="宋体"/>
          <w:b w:val="0"/>
          <w:i w:val="0"/>
          <w:color w:val="000000"/>
          <w:sz w:val="24"/>
        </w:rPr>
        <w:t>梯度提升树94.2%，与随机森林持平。Boosting逐轮纠正残差的策略在小数据上也没有展现出明显优势。</w:t>
      </w:r>
    </w:p>
    <w:p>
      <w:pPr>
        <w:spacing w:line="360" w:lineRule="auto" w:after="120" w:before="0"/>
        <w:ind w:firstLine="482"/>
      </w:pPr>
      <w:r>
        <w:rPr>
          <w:rFonts w:ascii="Times New Roman" w:hAnsi="宋体" w:eastAsia="宋体"/>
          <w:b w:val="0"/>
          <w:i w:val="0"/>
          <w:color w:val="000000"/>
          <w:sz w:val="24"/>
        </w:rPr>
        <w:t>[图：随机森林分析]</w:t>
      </w:r>
    </w:p>
    <w:p>
      <w:pPr>
        <w:spacing w:line="360" w:lineRule="auto" w:after="120" w:before="0"/>
        <w:ind w:firstLine="482"/>
      </w:pPr>
      <w:r>
        <w:rPr>
          <w:rFonts w:ascii="Times New Roman" w:hAnsi="宋体" w:eastAsia="宋体"/>
          <w:b w:val="0"/>
          <w:i w:val="0"/>
          <w:color w:val="000000"/>
          <w:sz w:val="24"/>
        </w:rPr>
        <w:t>图5随机森林分析（特征重要性、估计器数量、混淆矩阵、深度扫描）</w:t>
      </w:r>
    </w:p>
    <w:p>
      <w:pPr>
        <w:spacing w:before="240" w:after="120" w:lineRule="auto" w:line="300"/>
        <w:jc w:val="left"/>
      </w:pPr>
      <w:r>
        <w:rPr>
          <w:rFonts w:ascii="Times New Roman" w:hAnsi="宋体" w:eastAsia="宋体"/>
          <w:b/>
          <w:i w:val="0"/>
          <w:color w:val="000000"/>
          <w:sz w:val="28"/>
        </w:rPr>
        <w:t>3.6其他方法的参数行为</w:t>
      </w:r>
    </w:p>
    <w:p>
      <w:pPr>
        <w:spacing w:line="360" w:lineRule="auto" w:after="120" w:before="0"/>
        <w:ind w:firstLine="482"/>
      </w:pPr>
      <w:r>
        <w:rPr>
          <w:rFonts w:ascii="Times New Roman" w:hAnsi="宋体" w:eastAsia="宋体"/>
          <w:b w:val="0"/>
          <w:i w:val="0"/>
          <w:color w:val="000000"/>
          <w:sz w:val="24"/>
        </w:rPr>
        <w:t>逻辑回归准确率94.7%，标准差3.0%。C值从10⁻²扫到10²准确率几乎不变，说明Iris对正则化不敏感，线性瓶颈在表达能力本身。</w:t>
      </w:r>
    </w:p>
    <w:p>
      <w:pPr>
        <w:spacing w:line="360" w:lineRule="auto" w:after="120" w:before="0"/>
        <w:ind w:firstLine="482"/>
      </w:pPr>
      <w:r>
        <w:rPr>
          <w:rFonts w:ascii="Times New Roman" w:hAnsi="宋体" w:eastAsia="宋体"/>
          <w:b w:val="0"/>
          <w:i w:val="0"/>
          <w:color w:val="000000"/>
          <w:sz w:val="24"/>
        </w:rPr>
        <w:t>SVM准确率95.3%最高，标准差2.5%。C和gamma的扫描呈现典型权衡：C太小欠拟合、太大过拟合；gamma在0.1左右最好。支持向量约占训练集的15%–25%。</w:t>
      </w:r>
    </w:p>
    <w:p>
      <w:pPr>
        <w:spacing w:line="360" w:lineRule="auto" w:after="120" w:before="0"/>
        <w:ind w:firstLine="482"/>
      </w:pPr>
      <w:r>
        <w:rPr>
          <w:rFonts w:ascii="Times New Roman" w:hAnsi="宋体" w:eastAsia="宋体"/>
          <w:b w:val="0"/>
          <w:i w:val="0"/>
          <w:color w:val="000000"/>
          <w:sz w:val="24"/>
        </w:rPr>
        <w:t>KNN准确率94.2%，但标准差仅1.8%（最低之一），非常稳定。k值扫描显示k=5–7最好，k&gt;15后开始下降。</w:t>
      </w:r>
    </w:p>
    <w:p>
      <w:pPr>
        <w:spacing w:line="360" w:lineRule="auto" w:after="120" w:before="0"/>
        <w:ind w:firstLine="482"/>
      </w:pPr>
      <w:r>
        <w:rPr>
          <w:rFonts w:ascii="Times New Roman" w:hAnsi="宋体" w:eastAsia="宋体"/>
          <w:b w:val="0"/>
          <w:i w:val="0"/>
          <w:color w:val="000000"/>
          <w:sz w:val="24"/>
        </w:rPr>
        <w:t>[图：SVM分析]</w:t>
      </w:r>
    </w:p>
    <w:p>
      <w:pPr>
        <w:spacing w:line="360" w:lineRule="auto" w:after="120" w:before="0"/>
        <w:ind w:firstLine="482"/>
      </w:pPr>
      <w:r>
        <w:rPr>
          <w:rFonts w:ascii="Times New Roman" w:hAnsi="宋体" w:eastAsia="宋体"/>
          <w:b w:val="0"/>
          <w:i w:val="0"/>
          <w:color w:val="000000"/>
          <w:sz w:val="24"/>
        </w:rPr>
        <w:t>图6 SVM分析（C值、gamma影响、混淆矩阵、支持向量）</w:t>
      </w:r>
    </w:p>
    <w:p>
      <w:pPr>
        <w:spacing w:line="360" w:lineRule="auto" w:after="120" w:before="0"/>
        <w:ind w:firstLine="482"/>
      </w:pPr>
      <w:r>
        <w:rPr>
          <w:rFonts w:ascii="Times New Roman" w:hAnsi="宋体" w:eastAsia="宋体"/>
          <w:b w:val="0"/>
          <w:i w:val="0"/>
          <w:color w:val="000000"/>
          <w:sz w:val="24"/>
        </w:rPr>
        <w:t>朴素贝叶斯94.9%，标准差2.4%。尽管花瓣长与花瓣宽强相关（r≈0.87），违反了朴素贝叶斯的独立假设，但Iris的特征区分度足够高，这个假设违背带来的损失不大。</w:t>
      </w:r>
    </w:p>
    <w:p>
      <w:pPr>
        <w:spacing w:before="240" w:after="120" w:lineRule="auto" w:line="300"/>
        <w:jc w:val="left"/>
      </w:pPr>
      <w:r>
        <w:rPr>
          <w:rFonts w:ascii="Times New Roman" w:hAnsi="宋体" w:eastAsia="宋体"/>
          <w:b/>
          <w:i w:val="0"/>
          <w:color w:val="000000"/>
          <w:sz w:val="32"/>
        </w:rPr>
        <w:t>4. 消融实验</w:t>
      </w:r>
    </w:p>
    <w:p>
      <w:pPr>
        <w:spacing w:line="360" w:lineRule="auto" w:after="120" w:before="0"/>
        <w:ind w:firstLine="482"/>
      </w:pPr>
      <w:r>
        <w:rPr>
          <w:rFonts w:ascii="Times New Roman" w:hAnsi="宋体" w:eastAsia="宋体"/>
          <w:b w:val="0"/>
          <w:i w:val="0"/>
          <w:color w:val="000000"/>
          <w:sz w:val="24"/>
        </w:rPr>
        <w:t>消融实验使用末次试验的单次70/30划分。</w:t>
      </w:r>
    </w:p>
    <w:p>
      <w:pPr>
        <w:spacing w:before="240" w:after="120" w:lineRule="auto" w:line="300"/>
        <w:jc w:val="left"/>
      </w:pPr>
      <w:r>
        <w:rPr>
          <w:rFonts w:ascii="Times New Roman" w:hAnsi="宋体" w:eastAsia="宋体"/>
          <w:b/>
          <w:i w:val="0"/>
          <w:color w:val="000000"/>
          <w:sz w:val="28"/>
        </w:rPr>
        <w:t>4.1特征消融</w:t>
      </w:r>
    </w:p>
    <w:p>
      <w:pPr>
        <w:spacing w:line="360" w:lineRule="auto" w:after="120" w:before="0"/>
        <w:ind w:firstLine="482"/>
      </w:pPr>
      <w:r>
        <w:rPr>
          <w:rFonts w:ascii="Times New Roman" w:hAnsi="宋体" w:eastAsia="宋体"/>
          <w:b w:val="0"/>
          <w:i w:val="0"/>
          <w:color w:val="000000"/>
          <w:sz w:val="24"/>
        </w:rPr>
        <w:t>逐一移除特征对模型准确率的影响如下（基准准确率为全特征时的值）：</w:t>
      </w:r>
    </w:p>
    <w:p>
      <w:pPr>
        <w:spacing w:line="360" w:lineRule="auto" w:after="120" w:before="0"/>
        <w:ind w:firstLine="482"/>
      </w:pPr>
      <w:r>
        <w:rPr>
          <w:rFonts w:ascii="Times New Roman" w:hAnsi="宋体" w:eastAsia="宋体"/>
          <w:b w:val="0"/>
          <w:i w:val="0"/>
          <w:color w:val="000000"/>
          <w:sz w:val="24"/>
        </w:rPr>
        <w:t>移除花瓣宽的影响最大：KNN从0.911降至0.844（↓0.067），朴素贝叶斯从0.911降至0.889（↓0.022），梯度提升树从0.911降至0.889（↓0.022）。这符合预期——花瓣宽是区分能力最强的特征之一。</w:t>
      </w:r>
    </w:p>
    <w:p>
      <w:pPr>
        <w:spacing w:line="360" w:lineRule="auto" w:after="120" w:before="0"/>
        <w:ind w:firstLine="482"/>
      </w:pPr>
      <w:r>
        <w:rPr>
          <w:rFonts w:ascii="Times New Roman" w:hAnsi="宋体" w:eastAsia="宋体"/>
          <w:b w:val="0"/>
          <w:i w:val="0"/>
          <w:color w:val="000000"/>
          <w:sz w:val="24"/>
        </w:rPr>
        <w:t>移除花萼长或花萼宽的影响很小，部分模型甚至准确率不变或微升。这说明花萼特征单独来看信息量有限，移除后不造成损失。</w:t>
      </w:r>
    </w:p>
    <w:p>
      <w:pPr>
        <w:spacing w:line="360" w:lineRule="auto" w:after="120" w:before="0"/>
        <w:ind w:firstLine="482"/>
      </w:pPr>
      <w:r>
        <w:rPr>
          <w:rFonts w:ascii="Times New Roman" w:hAnsi="宋体" w:eastAsia="宋体"/>
          <w:b w:val="0"/>
          <w:i w:val="0"/>
          <w:color w:val="000000"/>
          <w:sz w:val="24"/>
        </w:rPr>
        <w:t>决策树展现出最强的特征鲁棒性：移除任何单个特征后仍保持0.933–0.978，因为树模型可以在剩余特征中重新选择最优分裂点。</w:t>
      </w:r>
    </w:p>
    <w:p>
      <w:pPr>
        <w:spacing w:line="360" w:lineRule="auto" w:after="120" w:before="0"/>
        <w:ind w:firstLine="482"/>
      </w:pPr>
      <w:r>
        <w:rPr>
          <w:rFonts w:ascii="Times New Roman" w:hAnsi="宋体" w:eastAsia="宋体"/>
          <w:b w:val="0"/>
          <w:i w:val="0"/>
          <w:color w:val="000000"/>
          <w:sz w:val="24"/>
        </w:rPr>
        <w:t>[图：特征消融]</w:t>
      </w:r>
    </w:p>
    <w:p>
      <w:pPr>
        <w:spacing w:line="360" w:lineRule="auto" w:after="120" w:before="0"/>
        <w:ind w:firstLine="482"/>
      </w:pPr>
      <w:r>
        <w:rPr>
          <w:rFonts w:ascii="Times New Roman" w:hAnsi="宋体" w:eastAsia="宋体"/>
          <w:b w:val="0"/>
          <w:i w:val="0"/>
          <w:color w:val="000000"/>
          <w:sz w:val="24"/>
        </w:rPr>
        <w:t>图7特征消融热力图</w:t>
      </w:r>
    </w:p>
    <w:p>
      <w:pPr>
        <w:spacing w:before="240" w:after="120" w:lineRule="auto" w:line="300"/>
        <w:jc w:val="left"/>
      </w:pPr>
      <w:r>
        <w:rPr>
          <w:rFonts w:ascii="Times New Roman" w:hAnsi="宋体" w:eastAsia="宋体"/>
          <w:b/>
          <w:i w:val="0"/>
          <w:color w:val="000000"/>
          <w:sz w:val="28"/>
        </w:rPr>
        <w:t>4.2数据量消融</w:t>
      </w:r>
    </w:p>
    <w:p>
      <w:pPr>
        <w:spacing w:line="360" w:lineRule="auto" w:after="120" w:before="0"/>
        <w:ind w:firstLine="482"/>
      </w:pPr>
      <w:r>
        <w:rPr>
          <w:rFonts w:ascii="Times New Roman" w:hAnsi="宋体" w:eastAsia="宋体"/>
          <w:b w:val="0"/>
          <w:i w:val="0"/>
          <w:color w:val="000000"/>
          <w:sz w:val="24"/>
        </w:rPr>
        <w:t>训练数据从90%（94条）逐步减到10%（10条），模型行为出现明显分化：</w:t>
      </w:r>
    </w:p>
    <w:p>
      <w:pPr>
        <w:spacing w:line="360" w:lineRule="auto" w:after="120" w:before="0"/>
        <w:ind w:firstLine="482"/>
      </w:pPr>
      <w:r>
        <w:rPr>
          <w:rFonts w:ascii="Times New Roman" w:hAnsi="宋体" w:eastAsia="宋体"/>
          <w:b w:val="0"/>
          <w:i w:val="0"/>
          <w:color w:val="000000"/>
          <w:sz w:val="24"/>
        </w:rPr>
        <w:t>在10%数据下，决策树从0.933暴跌至0.622，降幅0.311，是所有模型中最脆弱的。决策树的分裂阈值依赖于训练数据的统计分布，当样本量降至每类仅3–4条时，阈值估计极度不稳定。</w:t>
      </w:r>
    </w:p>
    <w:p>
      <w:pPr>
        <w:spacing w:line="360" w:lineRule="auto" w:after="120" w:before="0"/>
        <w:ind w:firstLine="482"/>
      </w:pPr>
      <w:r>
        <w:rPr>
          <w:rFonts w:ascii="Times New Roman" w:hAnsi="宋体" w:eastAsia="宋体"/>
          <w:b w:val="0"/>
          <w:i w:val="0"/>
          <w:color w:val="000000"/>
          <w:sz w:val="24"/>
        </w:rPr>
        <w:t>相反，SVM和随机森林在10%数据时保持0.844，表现最好。SVM的间隔最大化原则使其对小样本不敏感；随机森林的随机子采样进一步降低了过拟合风险。</w:t>
      </w:r>
    </w:p>
    <w:p>
      <w:pPr>
        <w:spacing w:line="360" w:lineRule="auto" w:after="120" w:before="0"/>
        <w:ind w:firstLine="482"/>
      </w:pPr>
      <w:r>
        <w:rPr>
          <w:rFonts w:ascii="Times New Roman" w:hAnsi="宋体" w:eastAsia="宋体"/>
          <w:b w:val="0"/>
          <w:i w:val="0"/>
          <w:color w:val="000000"/>
          <w:sz w:val="24"/>
        </w:rPr>
        <w:t>[图：数据量消融]</w:t>
      </w:r>
    </w:p>
    <w:p>
      <w:pPr>
        <w:spacing w:line="360" w:lineRule="auto" w:after="120" w:before="0"/>
        <w:ind w:firstLine="482"/>
      </w:pPr>
      <w:r>
        <w:rPr>
          <w:rFonts w:ascii="Times New Roman" w:hAnsi="宋体" w:eastAsia="宋体"/>
          <w:b w:val="0"/>
          <w:i w:val="0"/>
          <w:color w:val="000000"/>
          <w:sz w:val="24"/>
        </w:rPr>
        <w:t>图8数据量消融曲线</w:t>
      </w:r>
    </w:p>
    <w:p>
      <w:pPr>
        <w:spacing w:before="240" w:after="120" w:lineRule="auto" w:line="300"/>
        <w:jc w:val="left"/>
      </w:pPr>
      <w:r>
        <w:rPr>
          <w:rFonts w:ascii="Times New Roman" w:hAnsi="宋体" w:eastAsia="宋体"/>
          <w:b/>
          <w:i w:val="0"/>
          <w:color w:val="000000"/>
          <w:sz w:val="28"/>
        </w:rPr>
        <w:t>4.3 MLP架构消融</w:t>
      </w:r>
    </w:p>
    <w:p>
      <w:pPr>
        <w:spacing w:line="360" w:lineRule="auto" w:after="120" w:before="0"/>
        <w:ind w:firstLine="482"/>
      </w:pPr>
      <w:r>
        <w:rPr>
          <w:rFonts w:ascii="Times New Roman" w:hAnsi="宋体" w:eastAsia="宋体"/>
          <w:b w:val="0"/>
          <w:i w:val="0"/>
          <w:color w:val="000000"/>
          <w:sz w:val="24"/>
        </w:rPr>
        <w:t>宽度扫描显示，从4到64个神经元准确率均在88.89%–93.33%之间，差异不大，说明单隐藏层4个神经元对Iris来说已经够用。</w:t>
      </w:r>
    </w:p>
    <w:p>
      <w:pPr>
        <w:spacing w:line="360" w:lineRule="auto" w:after="120" w:before="0"/>
        <w:ind w:firstLine="482"/>
      </w:pPr>
      <w:r>
        <w:rPr>
          <w:rFonts w:ascii="Times New Roman" w:hAnsi="宋体" w:eastAsia="宋体"/>
          <w:b w:val="0"/>
          <w:i w:val="0"/>
          <w:color w:val="000000"/>
          <w:sz w:val="24"/>
        </w:rPr>
        <w:t>深度扫描显示，单层(32,)到四层(32,16,8,4)准确率也都在93.33%左右，没有明显提升。这与3.3节观察一致——Iris不需要深度。</w:t>
      </w:r>
    </w:p>
    <w:p>
      <w:pPr>
        <w:spacing w:line="360" w:lineRule="auto" w:after="120" w:before="0"/>
        <w:ind w:firstLine="482"/>
      </w:pPr>
      <w:r>
        <w:rPr>
          <w:rFonts w:ascii="Times New Roman" w:hAnsi="宋体" w:eastAsia="宋体"/>
          <w:b w:val="0"/>
          <w:i w:val="0"/>
          <w:color w:val="000000"/>
          <w:sz w:val="24"/>
        </w:rPr>
        <w:t>正则化扫描中alpha=0到alpha=1准确率均为93.33%，说明L2正则在小数据上的作用有限。激活函数方面，Tanh和ReLU表现相近（Tanh稍好），Logistic略低。</w:t>
      </w:r>
    </w:p>
    <w:p>
      <w:pPr>
        <w:spacing w:line="360" w:lineRule="auto" w:after="120" w:before="0"/>
        <w:ind w:firstLine="482"/>
      </w:pPr>
      <w:r>
        <w:rPr>
          <w:rFonts w:ascii="Times New Roman" w:hAnsi="宋体" w:eastAsia="宋体"/>
          <w:b w:val="0"/>
          <w:i w:val="0"/>
          <w:color w:val="000000"/>
          <w:sz w:val="24"/>
        </w:rPr>
        <w:t>[图：MLP架构消融]</w:t>
      </w:r>
    </w:p>
    <w:p>
      <w:pPr>
        <w:spacing w:line="360" w:lineRule="auto" w:after="120" w:before="0"/>
        <w:ind w:firstLine="482"/>
      </w:pPr>
      <w:r>
        <w:rPr>
          <w:rFonts w:ascii="Times New Roman" w:hAnsi="宋体" w:eastAsia="宋体"/>
          <w:b w:val="0"/>
          <w:i w:val="0"/>
          <w:color w:val="000000"/>
          <w:sz w:val="24"/>
        </w:rPr>
        <w:t>图9 MLP架构消融（宽度、深度、正则化强度、激活函数）</w:t>
      </w:r>
    </w:p>
    <w:p>
      <w:pPr>
        <w:spacing w:before="240" w:after="120" w:lineRule="auto" w:line="300"/>
        <w:jc w:val="left"/>
      </w:pPr>
      <w:r>
        <w:rPr>
          <w:rFonts w:ascii="Times New Roman" w:hAnsi="宋体" w:eastAsia="宋体"/>
          <w:b/>
          <w:i w:val="0"/>
          <w:color w:val="000000"/>
          <w:sz w:val="28"/>
        </w:rPr>
        <w:t>4.4预处理消融</w:t>
      </w:r>
    </w:p>
    <w:p>
      <w:pPr>
        <w:spacing w:line="360" w:lineRule="auto" w:after="120" w:before="0"/>
        <w:ind w:firstLine="482"/>
      </w:pPr>
      <w:r>
        <w:rPr>
          <w:rFonts w:ascii="Times New Roman" w:hAnsi="宋体" w:eastAsia="宋体"/>
          <w:b w:val="0"/>
          <w:i w:val="0"/>
          <w:color w:val="000000"/>
          <w:sz w:val="24"/>
        </w:rPr>
        <w:t>不标准化时，KNN从0.911涨到0.978（↑0.067），MLP从0.911涨到0.978（↑0.067），SVM从0.933涨到0.956（↑0.022）。这看起来像是“标准化有害”的证据。</w:t>
      </w:r>
    </w:p>
    <w:p>
      <w:pPr>
        <w:spacing w:line="360" w:lineRule="auto" w:after="120" w:before="0"/>
        <w:ind w:firstLine="482"/>
      </w:pPr>
      <w:r>
        <w:rPr>
          <w:rFonts w:ascii="Times New Roman" w:hAnsi="宋体" w:eastAsia="宋体"/>
          <w:b w:val="0"/>
          <w:i w:val="0"/>
          <w:color w:val="000000"/>
          <w:sz w:val="24"/>
        </w:rPr>
        <w:t>但这是本次特定划分下的结果。花萼特征数值偏大（花萼长4.3–7.9，花萼宽2.0–4.4），在未标准化时会在距离计算中占据更大权重。特征消融显示花萼特征单独来看几乎无用，但在距离计算中通过其与花瓣特征的相关性（花瓣长vs花萼长r=0.87）间接携带了信息。</w:t>
      </w:r>
    </w:p>
    <w:p>
      <w:pPr>
        <w:spacing w:line="360" w:lineRule="auto" w:after="120" w:before="0"/>
        <w:ind w:firstLine="482"/>
      </w:pPr>
      <w:r>
        <w:rPr>
          <w:rFonts w:ascii="Times New Roman" w:hAnsi="宋体" w:eastAsia="宋体"/>
          <w:b w:val="0"/>
          <w:i w:val="0"/>
          <w:color w:val="000000"/>
          <w:sz w:val="24"/>
        </w:rPr>
        <w:t>标准化后的准确率降低不是因为标准化本身不好，而是因为随机划分导致本次测试集中花萼数值分布恰好有利于未标准化模型。10次重复中标准化模型在多数划分下表现更优（总体均值SVM有标准化95.3%）。这说明预处理决策不能单看一次划分的结果。</w:t>
      </w:r>
    </w:p>
    <w:p>
      <w:pPr>
        <w:spacing w:line="360" w:lineRule="auto" w:after="120" w:before="0"/>
        <w:ind w:firstLine="482"/>
      </w:pPr>
      <w:r>
        <w:rPr>
          <w:rFonts w:ascii="Times New Roman" w:hAnsi="宋体" w:eastAsia="宋体"/>
          <w:b w:val="0"/>
          <w:i w:val="0"/>
          <w:color w:val="000000"/>
          <w:sz w:val="24"/>
        </w:rPr>
        <w:t>[图：预处理消融]</w:t>
      </w:r>
    </w:p>
    <w:p>
      <w:pPr>
        <w:spacing w:line="360" w:lineRule="auto" w:after="120" w:before="0"/>
        <w:ind w:firstLine="482"/>
      </w:pPr>
      <w:r>
        <w:rPr>
          <w:rFonts w:ascii="Times New Roman" w:hAnsi="宋体" w:eastAsia="宋体"/>
          <w:b w:val="0"/>
          <w:i w:val="0"/>
          <w:color w:val="000000"/>
          <w:sz w:val="24"/>
        </w:rPr>
        <w:t>图10预处理消融对比（标准化vs未标准化）</w:t>
      </w:r>
    </w:p>
    <w:p>
      <w:pPr>
        <w:spacing w:before="240" w:after="120" w:lineRule="auto" w:line="300"/>
        <w:jc w:val="left"/>
      </w:pPr>
      <w:r>
        <w:rPr>
          <w:rFonts w:ascii="Times New Roman" w:hAnsi="宋体" w:eastAsia="宋体"/>
          <w:b/>
          <w:i w:val="0"/>
          <w:color w:val="000000"/>
          <w:sz w:val="32"/>
        </w:rPr>
        <w:t>5. 讨论</w:t>
      </w:r>
    </w:p>
    <w:p>
      <w:pPr>
        <w:spacing w:line="360" w:lineRule="auto" w:after="120" w:before="0"/>
        <w:ind w:firstLine="482"/>
      </w:pPr>
      <w:r>
        <w:rPr>
          <w:rFonts w:ascii="Times New Roman" w:hAnsi="宋体" w:eastAsia="宋体"/>
          <w:b w:val="0"/>
          <w:i w:val="0"/>
          <w:color w:val="000000"/>
          <w:sz w:val="24"/>
        </w:rPr>
        <w:t>从这些数据里能读出几件事。</w:t>
      </w:r>
    </w:p>
    <w:p>
      <w:pPr>
        <w:spacing w:line="360" w:lineRule="auto" w:after="120" w:before="0"/>
        <w:ind w:firstLine="482"/>
      </w:pPr>
      <w:r>
        <w:rPr>
          <w:rFonts w:ascii="Times New Roman" w:hAnsi="宋体" w:eastAsia="宋体"/>
          <w:b w:val="0"/>
          <w:i w:val="0"/>
          <w:color w:val="000000"/>
          <w:sz w:val="24"/>
        </w:rPr>
        <w:t>准确率和稳定性的关系比“越高越稳”复杂。决策树95.1%第二但3.3%的标准差最大，KNN 94.2%但1.8%的标准差最小——排名和稳定性没有简单的对应关系。再加上决策树在10%数据时暴跌到62.2%，说明测试准确率完全看不出小样本下的脆弱性。</w:t>
      </w:r>
    </w:p>
    <w:p>
      <w:pPr>
        <w:spacing w:line="360" w:lineRule="auto" w:after="120" w:before="0"/>
        <w:ind w:firstLine="482"/>
      </w:pPr>
      <w:r>
        <w:rPr>
          <w:rFonts w:ascii="Times New Roman" w:hAnsi="宋体" w:eastAsia="宋体"/>
          <w:b w:val="0"/>
          <w:i w:val="0"/>
          <w:color w:val="000000"/>
          <w:sz w:val="24"/>
        </w:rPr>
        <w:t>交叉验证选参数在小数据集上不可靠。MLP的GridSearch选出参数不如手动配置，不是因为工具有问题，而是因为验证集太小（每折约20条），分数波动大导致搜索结果不稳定。</w:t>
      </w:r>
    </w:p>
    <w:p>
      <w:pPr>
        <w:spacing w:line="360" w:lineRule="auto" w:after="120" w:before="0"/>
        <w:ind w:firstLine="482"/>
      </w:pPr>
      <w:r>
        <w:rPr>
          <w:rFonts w:ascii="Times New Roman" w:hAnsi="宋体" w:eastAsia="宋体"/>
          <w:b w:val="0"/>
          <w:i w:val="0"/>
          <w:color w:val="000000"/>
          <w:sz w:val="24"/>
        </w:rPr>
        <w:t>预处理的影响也不是单向的——标准化“应该更好”这个直觉在本次划分上被推翻。这说明对Iris这种小数据，任何单次评估的结果都可以被随机性颠倒。10次重复+消融实验是获得稳定结论的必要手段。</w:t>
      </w:r>
    </w:p>
    <w:p>
      <w:pPr>
        <w:spacing w:line="360" w:lineRule="auto" w:after="120" w:before="0"/>
        <w:ind w:firstLine="482"/>
      </w:pPr>
      <w:r>
        <w:rPr>
          <w:rFonts w:ascii="Times New Roman" w:hAnsi="宋体" w:eastAsia="宋体"/>
          <w:b w:val="0"/>
          <w:i w:val="0"/>
          <w:color w:val="000000"/>
          <w:sz w:val="24"/>
        </w:rPr>
        <w:t>MLP在Iris上的表现也值得反思。更宽和更深的网络没有带来提升，甚至下降，因为数据量不足以支撑复杂模型的参数空间。“更深更强”在NLP/CV的大数据场景下成立，但在150条数据上不成立。</w:t>
      </w:r>
    </w:p>
    <w:p>
      <w:pPr>
        <w:spacing w:before="240" w:after="120" w:lineRule="auto" w:line="300"/>
        <w:jc w:val="left"/>
      </w:pPr>
      <w:r>
        <w:rPr>
          <w:rFonts w:ascii="Times New Roman" w:hAnsi="宋体" w:eastAsia="宋体"/>
          <w:b/>
          <w:i w:val="0"/>
          <w:color w:val="000000"/>
          <w:sz w:val="32"/>
        </w:rPr>
        <w:t>6. 结论</w:t>
      </w:r>
    </w:p>
    <w:p>
      <w:pPr>
        <w:spacing w:line="360" w:lineRule="auto" w:after="120" w:before="0"/>
        <w:ind w:firstLine="482"/>
      </w:pPr>
      <w:r>
        <w:rPr>
          <w:rFonts w:ascii="Times New Roman" w:hAnsi="宋体" w:eastAsia="宋体"/>
          <w:b w:val="0"/>
          <w:i w:val="0"/>
          <w:color w:val="000000"/>
          <w:sz w:val="24"/>
        </w:rPr>
        <w:t>总结一下这次实验的几个发现：</w:t>
      </w:r>
    </w:p>
    <w:p>
      <w:pPr>
        <w:spacing w:line="360" w:lineRule="auto" w:after="60"/>
        <w:ind w:firstLine="482"/>
      </w:pPr>
      <w:r>
        <w:rPr>
          <w:rFonts w:ascii="Times New Roman" w:hAnsi="宋体" w:eastAsia="宋体"/>
          <w:b w:val="0"/>
          <w:i w:val="0"/>
          <w:color w:val="000000"/>
          <w:sz w:val="24"/>
        </w:rPr>
        <w:t xml:space="preserve">• </w:t>
      </w:r>
      <w:r>
        <w:rPr>
          <w:rFonts w:ascii="Times New Roman" w:hAnsi="宋体" w:eastAsia="宋体"/>
          <w:b w:val="0"/>
          <w:i w:val="0"/>
          <w:color w:val="000000"/>
          <w:sz w:val="24"/>
        </w:rPr>
        <w:t>SVM在10次重复中平均95.3%最高，KNN标准差最小（1.8%）最稳定。决策树95.1%但3.3%标准差最大，数据少到10%时暴跌至62.2%，是所有模型中最脆弱的。</w:t>
      </w:r>
    </w:p>
    <w:p>
      <w:pPr>
        <w:spacing w:line="360" w:lineRule="auto" w:after="60"/>
        <w:ind w:firstLine="482"/>
      </w:pPr>
      <w:r>
        <w:rPr>
          <w:rFonts w:ascii="Times New Roman" w:hAnsi="宋体" w:eastAsia="宋体"/>
          <w:b w:val="0"/>
          <w:i w:val="0"/>
          <w:color w:val="000000"/>
          <w:sz w:val="24"/>
        </w:rPr>
        <w:t xml:space="preserve">• </w:t>
      </w:r>
      <w:r>
        <w:rPr>
          <w:rFonts w:ascii="Times New Roman" w:hAnsi="宋体" w:eastAsia="宋体"/>
          <w:b w:val="0"/>
          <w:i w:val="0"/>
          <w:color w:val="000000"/>
          <w:sz w:val="24"/>
        </w:rPr>
        <w:t>MLP加深一层（16→8 → 32→16→8）准确率从94.9%降到93.6%，垫底。Iris不需要深度。</w:t>
      </w:r>
    </w:p>
    <w:p>
      <w:pPr>
        <w:spacing w:line="360" w:lineRule="auto" w:after="60"/>
        <w:ind w:firstLine="482"/>
      </w:pPr>
      <w:r>
        <w:rPr>
          <w:rFonts w:ascii="Times New Roman" w:hAnsi="宋体" w:eastAsia="宋体"/>
          <w:b w:val="0"/>
          <w:i w:val="0"/>
          <w:color w:val="000000"/>
          <w:sz w:val="24"/>
        </w:rPr>
        <w:t xml:space="preserve">• </w:t>
      </w:r>
      <w:r>
        <w:rPr>
          <w:rFonts w:ascii="Times New Roman" w:hAnsi="宋体" w:eastAsia="宋体"/>
          <w:b w:val="0"/>
          <w:i w:val="0"/>
          <w:color w:val="000000"/>
          <w:sz w:val="24"/>
        </w:rPr>
        <w:t>GridSearch选出的参数（alpha=0.0001, ReLU）在测试集上不如手动配置（alpha=0.001），因为验证集太小导致CV分数不可靠。</w:t>
      </w:r>
    </w:p>
    <w:p>
      <w:pPr>
        <w:spacing w:line="360" w:lineRule="auto" w:after="60"/>
        <w:ind w:firstLine="482"/>
      </w:pPr>
      <w:r>
        <w:rPr>
          <w:rFonts w:ascii="Times New Roman" w:hAnsi="宋体" w:eastAsia="宋体"/>
          <w:b w:val="0"/>
          <w:i w:val="0"/>
          <w:color w:val="000000"/>
          <w:sz w:val="24"/>
        </w:rPr>
        <w:t xml:space="preserve">• </w:t>
      </w:r>
      <w:r>
        <w:rPr>
          <w:rFonts w:ascii="Times New Roman" w:hAnsi="宋体" w:eastAsia="宋体"/>
          <w:b w:val="0"/>
          <w:i w:val="0"/>
          <w:color w:val="000000"/>
          <w:sz w:val="24"/>
        </w:rPr>
        <w:t>本次划分下的预处理消融出现反直觉现象：多数模型不标准化反而更准。这并非标准化的原理问题，而是单次划分的随机性所致，说明预处理评估也需要多次重复。</w:t>
      </w:r>
    </w:p>
    <w:p>
      <w:pPr>
        <w:spacing w:line="360" w:lineRule="auto" w:after="60"/>
        <w:ind w:firstLine="482"/>
      </w:pPr>
      <w:r>
        <w:rPr>
          <w:rFonts w:ascii="Times New Roman" w:hAnsi="宋体" w:eastAsia="宋体"/>
          <w:b w:val="0"/>
          <w:i w:val="0"/>
          <w:color w:val="000000"/>
          <w:sz w:val="24"/>
        </w:rPr>
        <w:t xml:space="preserve">• </w:t>
      </w:r>
      <w:r>
        <w:rPr>
          <w:rFonts w:ascii="Times New Roman" w:hAnsi="宋体" w:eastAsia="宋体"/>
          <w:b w:val="0"/>
          <w:i w:val="0"/>
          <w:color w:val="000000"/>
          <w:sz w:val="24"/>
        </w:rPr>
        <w:t>花瓣宽是最关键特征，移除后多数模型降幅最大。花萼特征单独看信息量有限。</w:t>
      </w:r>
    </w:p>
    <w:p>
      <w:pPr>
        <w:spacing w:line="360" w:lineRule="auto" w:after="120" w:before="0"/>
        <w:ind w:firstLine="482"/>
      </w:pPr>
      <w:r>
        <w:rPr>
          <w:rFonts w:ascii="Times New Roman" w:hAnsi="宋体" w:eastAsia="宋体"/>
          <w:b w:val="0"/>
          <w:i w:val="0"/>
          <w:color w:val="000000"/>
          <w:sz w:val="24"/>
        </w:rPr>
        <w:t>最后一点启示：Iris这种小数据集，单次70/30划分的随机波动足以让排名完全颠倒。10次重复实验的结果和单次可能存在很大差异。多次重复+拼接评估+消融分析是必备的三个环节。</w:t>
      </w:r>
    </w:p>
    <w:p>
      <w:pPr>
        <w:spacing w:before="240" w:after="120" w:lineRule="auto" w:line="300"/>
        <w:jc w:val="left"/>
      </w:pPr>
      <w:r>
        <w:rPr>
          <w:rFonts w:ascii="Times New Roman" w:hAnsi="宋体" w:eastAsia="宋体"/>
          <w:b/>
          <w:i w:val="0"/>
          <w:color w:val="000000"/>
          <w:sz w:val="32"/>
        </w:rPr>
        <w:t>附录：图表索引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宋体" w:eastAsia="宋体"/>
                <w:b/>
                <w:i w:val="0"/>
                <w:color w:val="000000"/>
                <w:sz w:val="24"/>
              </w:rPr>
              <w:t>图号</w:t>
            </w:r>
          </w:p>
        </w:tc>
        <w:tc>
          <w:tcPr>
            <w:tcW w:type="dxa" w:w="2880"/>
          </w:tcPr>
          <w:p>
            <w:pPr>
              <w:jc w:val="center"/>
            </w:pPr>
            <w:r>
              <w:rPr>
                <w:rFonts w:ascii="Times New Roman" w:hAnsi="宋体" w:eastAsia="宋体"/>
                <w:b/>
                <w:i w:val="0"/>
                <w:color w:val="000000"/>
                <w:sz w:val="24"/>
              </w:rPr>
              <w:t>文件名</w:t>
            </w:r>
          </w:p>
        </w:tc>
        <w:tc>
          <w:tcPr>
            <w:tcW w:type="dxa" w:w="2880"/>
          </w:tcPr>
          <w:p>
            <w:pPr>
              <w:jc w:val="center"/>
            </w:pPr>
            <w:r>
              <w:rPr>
                <w:rFonts w:ascii="Times New Roman" w:hAnsi="宋体" w:eastAsia="宋体"/>
                <w:b/>
                <w:i w:val="0"/>
                <w:color w:val="000000"/>
                <w:sz w:val="24"/>
              </w:rPr>
              <w:t>内容描述</w:t>
            </w:r>
          </w:p>
        </w:tc>
      </w:tr>
      <w:tr>
        <w:tc>
          <w:tcPr>
            <w:tcW w:type="dxa" w:w="2880"/>
          </w:tcPr>
          <w:p>
            <w:pPr>
              <w:jc w:val="center"/>
            </w:pPr>
            <w:r>
              <w:rPr>
                <w:rFonts w:ascii="Times New Roman" w:hAnsi="宋体" w:eastAsia="宋体"/>
                <w:b w:val="0"/>
                <w:i w:val="0"/>
                <w:color w:val="000000"/>
                <w:sz w:val="24"/>
              </w:rPr>
              <w:t>图1</w:t>
            </w:r>
          </w:p>
        </w:tc>
        <w:tc>
          <w:tcPr>
            <w:tcW w:type="dxa" w:w="2880"/>
          </w:tcPr>
          <w:p>
            <w:pPr>
              <w:jc w:val="center"/>
            </w:pPr>
            <w:r>
              <w:rPr>
                <w:rFonts w:ascii="Times New Roman" w:hAnsi="宋体" w:eastAsia="宋体"/>
                <w:b w:val="0"/>
                <w:i w:val="0"/>
                <w:color w:val="000000"/>
                <w:sz w:val="24"/>
              </w:rPr>
              <w:t>output/12_summary.svg</w:t>
            </w:r>
          </w:p>
        </w:tc>
        <w:tc>
          <w:tcPr>
            <w:tcW w:type="dxa" w:w="2880"/>
          </w:tcPr>
          <w:p>
            <w:pPr>
              <w:jc w:val="center"/>
            </w:pPr>
            <w:r>
              <w:rPr>
                <w:rFonts w:ascii="Times New Roman" w:hAnsi="宋体" w:eastAsia="宋体"/>
                <w:b w:val="0"/>
                <w:i w:val="0"/>
                <w:color w:val="000000"/>
                <w:sz w:val="24"/>
              </w:rPr>
              <w:t>综合对比总结（准确率排名/F1/ROC）</w:t>
            </w:r>
          </w:p>
        </w:tc>
      </w:tr>
      <w:tr>
        <w:tc>
          <w:tcPr>
            <w:tcW w:type="dxa" w:w="2880"/>
          </w:tcPr>
          <w:p>
            <w:pPr>
              <w:jc w:val="center"/>
            </w:pPr>
            <w:r>
              <w:rPr>
                <w:rFonts w:ascii="Times New Roman" w:hAnsi="宋体" w:eastAsia="宋体"/>
                <w:b w:val="0"/>
                <w:i w:val="0"/>
                <w:color w:val="000000"/>
                <w:sz w:val="24"/>
              </w:rPr>
              <w:t>图2</w:t>
            </w:r>
          </w:p>
        </w:tc>
        <w:tc>
          <w:tcPr>
            <w:tcW w:type="dxa" w:w="2880"/>
          </w:tcPr>
          <w:p>
            <w:pPr>
              <w:jc w:val="center"/>
            </w:pPr>
            <w:r>
              <w:rPr>
                <w:rFonts w:ascii="Times New Roman" w:hAnsi="宋体" w:eastAsia="宋体"/>
                <w:b w:val="0"/>
                <w:i w:val="0"/>
                <w:color w:val="000000"/>
                <w:sz w:val="24"/>
              </w:rPr>
              <w:t>output/13_confusion_matrices.svg</w:t>
            </w:r>
          </w:p>
        </w:tc>
        <w:tc>
          <w:tcPr>
            <w:tcW w:type="dxa" w:w="2880"/>
          </w:tcPr>
          <w:p>
            <w:pPr>
              <w:jc w:val="center"/>
            </w:pPr>
            <w:r>
              <w:rPr>
                <w:rFonts w:ascii="Times New Roman" w:hAnsi="宋体" w:eastAsia="宋体"/>
                <w:b w:val="0"/>
                <w:i w:val="0"/>
                <w:color w:val="000000"/>
                <w:sz w:val="24"/>
              </w:rPr>
              <w:t>8方法混淆矩阵汇总（10次试验拼接）</w:t>
            </w:r>
          </w:p>
        </w:tc>
      </w:tr>
      <w:tr>
        <w:tc>
          <w:tcPr>
            <w:tcW w:type="dxa" w:w="2880"/>
          </w:tcPr>
          <w:p>
            <w:pPr>
              <w:jc w:val="center"/>
            </w:pPr>
            <w:r>
              <w:rPr>
                <w:rFonts w:ascii="Times New Roman" w:hAnsi="宋体" w:eastAsia="宋体"/>
                <w:b w:val="0"/>
                <w:i w:val="0"/>
                <w:color w:val="000000"/>
                <w:sz w:val="24"/>
              </w:rPr>
              <w:t>图3</w:t>
            </w:r>
          </w:p>
        </w:tc>
        <w:tc>
          <w:tcPr>
            <w:tcW w:type="dxa" w:w="2880"/>
          </w:tcPr>
          <w:p>
            <w:pPr>
              <w:jc w:val="center"/>
            </w:pPr>
            <w:r>
              <w:rPr>
                <w:rFonts w:ascii="Times New Roman" w:hAnsi="宋体" w:eastAsia="宋体"/>
                <w:b w:val="0"/>
                <w:i w:val="0"/>
                <w:color w:val="000000"/>
                <w:sz w:val="24"/>
              </w:rPr>
              <w:t>output/14_cv_comparison.svg</w:t>
            </w:r>
          </w:p>
        </w:tc>
        <w:tc>
          <w:tcPr>
            <w:tcW w:type="dxa" w:w="2880"/>
          </w:tcPr>
          <w:p>
            <w:pPr>
              <w:jc w:val="center"/>
            </w:pPr>
            <w:r>
              <w:rPr>
                <w:rFonts w:ascii="Times New Roman" w:hAnsi="宋体" w:eastAsia="宋体"/>
                <w:b w:val="0"/>
                <w:i w:val="0"/>
                <w:color w:val="000000"/>
                <w:sz w:val="24"/>
              </w:rPr>
              <w:t>交叉验证对比</w:t>
            </w:r>
          </w:p>
        </w:tc>
      </w:tr>
      <w:tr>
        <w:tc>
          <w:tcPr>
            <w:tcW w:type="dxa" w:w="2880"/>
          </w:tcPr>
          <w:p>
            <w:pPr>
              <w:jc w:val="center"/>
            </w:pPr>
            <w:r>
              <w:rPr>
                <w:rFonts w:ascii="Times New Roman" w:hAnsi="宋体" w:eastAsia="宋体"/>
                <w:b w:val="0"/>
                <w:i w:val="0"/>
                <w:color w:val="000000"/>
                <w:sz w:val="24"/>
              </w:rPr>
              <w:t>图4</w:t>
            </w:r>
          </w:p>
        </w:tc>
        <w:tc>
          <w:tcPr>
            <w:tcW w:type="dxa" w:w="2880"/>
          </w:tcPr>
          <w:p>
            <w:pPr>
              <w:jc w:val="center"/>
            </w:pPr>
            <w:r>
              <w:rPr>
                <w:rFonts w:ascii="Times New Roman" w:hAnsi="宋体" w:eastAsia="宋体"/>
                <w:b w:val="0"/>
                <w:i w:val="0"/>
                <w:color w:val="000000"/>
                <w:sz w:val="24"/>
              </w:rPr>
              <w:t>output/05_mlp_analysis.svg</w:t>
            </w:r>
          </w:p>
        </w:tc>
        <w:tc>
          <w:tcPr>
            <w:tcW w:type="dxa" w:w="2880"/>
          </w:tcPr>
          <w:p>
            <w:pPr>
              <w:jc w:val="center"/>
            </w:pPr>
            <w:r>
              <w:rPr>
                <w:rFonts w:ascii="Times New Roman" w:hAnsi="宋体" w:eastAsia="宋体"/>
                <w:b w:val="0"/>
                <w:i w:val="0"/>
                <w:color w:val="000000"/>
                <w:sz w:val="24"/>
              </w:rPr>
              <w:t>MLP分析</w:t>
            </w:r>
          </w:p>
        </w:tc>
      </w:tr>
      <w:tr>
        <w:tc>
          <w:tcPr>
            <w:tcW w:type="dxa" w:w="2880"/>
          </w:tcPr>
          <w:p>
            <w:pPr>
              <w:jc w:val="center"/>
            </w:pPr>
            <w:r>
              <w:rPr>
                <w:rFonts w:ascii="Times New Roman" w:hAnsi="宋体" w:eastAsia="宋体"/>
                <w:b w:val="0"/>
                <w:i w:val="0"/>
                <w:color w:val="000000"/>
                <w:sz w:val="24"/>
              </w:rPr>
              <w:t>图5</w:t>
            </w:r>
          </w:p>
        </w:tc>
        <w:tc>
          <w:tcPr>
            <w:tcW w:type="dxa" w:w="2880"/>
          </w:tcPr>
          <w:p>
            <w:pPr>
              <w:jc w:val="center"/>
            </w:pPr>
            <w:r>
              <w:rPr>
                <w:rFonts w:ascii="Times New Roman" w:hAnsi="宋体" w:eastAsia="宋体"/>
                <w:b w:val="0"/>
                <w:i w:val="0"/>
                <w:color w:val="000000"/>
                <w:sz w:val="24"/>
              </w:rPr>
              <w:t>output/06_random_forest.svg</w:t>
            </w:r>
          </w:p>
        </w:tc>
        <w:tc>
          <w:tcPr>
            <w:tcW w:type="dxa" w:w="2880"/>
          </w:tcPr>
          <w:p>
            <w:pPr>
              <w:jc w:val="center"/>
            </w:pPr>
            <w:r>
              <w:rPr>
                <w:rFonts w:ascii="Times New Roman" w:hAnsi="宋体" w:eastAsia="宋体"/>
                <w:b w:val="0"/>
                <w:i w:val="0"/>
                <w:color w:val="000000"/>
                <w:sz w:val="24"/>
              </w:rPr>
              <w:t>随机森林分析</w:t>
            </w:r>
          </w:p>
        </w:tc>
      </w:tr>
      <w:tr>
        <w:tc>
          <w:tcPr>
            <w:tcW w:type="dxa" w:w="2880"/>
          </w:tcPr>
          <w:p>
            <w:pPr>
              <w:jc w:val="center"/>
            </w:pPr>
            <w:r>
              <w:rPr>
                <w:rFonts w:ascii="Times New Roman" w:hAnsi="宋体" w:eastAsia="宋体"/>
                <w:b w:val="0"/>
                <w:i w:val="0"/>
                <w:color w:val="000000"/>
                <w:sz w:val="24"/>
              </w:rPr>
              <w:t>图6</w:t>
            </w:r>
          </w:p>
        </w:tc>
        <w:tc>
          <w:tcPr>
            <w:tcW w:type="dxa" w:w="2880"/>
          </w:tcPr>
          <w:p>
            <w:pPr>
              <w:jc w:val="center"/>
            </w:pPr>
            <w:r>
              <w:rPr>
                <w:rFonts w:ascii="Times New Roman" w:hAnsi="宋体" w:eastAsia="宋体"/>
                <w:b w:val="0"/>
                <w:i w:val="0"/>
                <w:color w:val="000000"/>
                <w:sz w:val="24"/>
              </w:rPr>
              <w:t>output/03_svm_analysis.svg</w:t>
            </w:r>
          </w:p>
        </w:tc>
        <w:tc>
          <w:tcPr>
            <w:tcW w:type="dxa" w:w="2880"/>
          </w:tcPr>
          <w:p>
            <w:pPr>
              <w:jc w:val="center"/>
            </w:pPr>
            <w:r>
              <w:rPr>
                <w:rFonts w:ascii="Times New Roman" w:hAnsi="宋体" w:eastAsia="宋体"/>
                <w:b w:val="0"/>
                <w:i w:val="0"/>
                <w:color w:val="000000"/>
                <w:sz w:val="24"/>
              </w:rPr>
              <w:t>SVM分析</w:t>
            </w:r>
          </w:p>
        </w:tc>
      </w:tr>
      <w:tr>
        <w:tc>
          <w:tcPr>
            <w:tcW w:type="dxa" w:w="2880"/>
          </w:tcPr>
          <w:p>
            <w:pPr>
              <w:jc w:val="center"/>
            </w:pPr>
            <w:r>
              <w:rPr>
                <w:rFonts w:ascii="Times New Roman" w:hAnsi="宋体" w:eastAsia="宋体"/>
                <w:b w:val="0"/>
                <w:i w:val="0"/>
                <w:color w:val="000000"/>
                <w:sz w:val="24"/>
              </w:rPr>
              <w:t>图7</w:t>
            </w:r>
          </w:p>
        </w:tc>
        <w:tc>
          <w:tcPr>
            <w:tcW w:type="dxa" w:w="2880"/>
          </w:tcPr>
          <w:p>
            <w:pPr>
              <w:jc w:val="center"/>
            </w:pPr>
            <w:r>
              <w:rPr>
                <w:rFonts w:ascii="Times New Roman" w:hAnsi="宋体" w:eastAsia="宋体"/>
                <w:b w:val="0"/>
                <w:i w:val="0"/>
                <w:color w:val="000000"/>
                <w:sz w:val="24"/>
              </w:rPr>
              <w:t>output/ablation_01_feature.svg</w:t>
            </w:r>
          </w:p>
        </w:tc>
        <w:tc>
          <w:tcPr>
            <w:tcW w:type="dxa" w:w="2880"/>
          </w:tcPr>
          <w:p>
            <w:pPr>
              <w:jc w:val="center"/>
            </w:pPr>
            <w:r>
              <w:rPr>
                <w:rFonts w:ascii="Times New Roman" w:hAnsi="宋体" w:eastAsia="宋体"/>
                <w:b w:val="0"/>
                <w:i w:val="0"/>
                <w:color w:val="000000"/>
                <w:sz w:val="24"/>
              </w:rPr>
              <w:t>特征消融</w:t>
            </w:r>
          </w:p>
        </w:tc>
      </w:tr>
      <w:tr>
        <w:tc>
          <w:tcPr>
            <w:tcW w:type="dxa" w:w="2880"/>
          </w:tcPr>
          <w:p>
            <w:pPr>
              <w:jc w:val="center"/>
            </w:pPr>
            <w:r>
              <w:rPr>
                <w:rFonts w:ascii="Times New Roman" w:hAnsi="宋体" w:eastAsia="宋体"/>
                <w:b w:val="0"/>
                <w:i w:val="0"/>
                <w:color w:val="000000"/>
                <w:sz w:val="24"/>
              </w:rPr>
              <w:t>图8</w:t>
            </w:r>
          </w:p>
        </w:tc>
        <w:tc>
          <w:tcPr>
            <w:tcW w:type="dxa" w:w="2880"/>
          </w:tcPr>
          <w:p>
            <w:pPr>
              <w:jc w:val="center"/>
            </w:pPr>
            <w:r>
              <w:rPr>
                <w:rFonts w:ascii="Times New Roman" w:hAnsi="宋体" w:eastAsia="宋体"/>
                <w:b w:val="0"/>
                <w:i w:val="0"/>
                <w:color w:val="000000"/>
                <w:sz w:val="24"/>
              </w:rPr>
              <w:t>output/ablation_02_data.svg</w:t>
            </w:r>
          </w:p>
        </w:tc>
        <w:tc>
          <w:tcPr>
            <w:tcW w:type="dxa" w:w="2880"/>
          </w:tcPr>
          <w:p>
            <w:pPr>
              <w:jc w:val="center"/>
            </w:pPr>
            <w:r>
              <w:rPr>
                <w:rFonts w:ascii="Times New Roman" w:hAnsi="宋体" w:eastAsia="宋体"/>
                <w:b w:val="0"/>
                <w:i w:val="0"/>
                <w:color w:val="000000"/>
                <w:sz w:val="24"/>
              </w:rPr>
              <w:t>数据量消融</w:t>
            </w:r>
          </w:p>
        </w:tc>
      </w:tr>
      <w:tr>
        <w:tc>
          <w:tcPr>
            <w:tcW w:type="dxa" w:w="2880"/>
          </w:tcPr>
          <w:p>
            <w:pPr>
              <w:jc w:val="center"/>
            </w:pPr>
            <w:r>
              <w:rPr>
                <w:rFonts w:ascii="Times New Roman" w:hAnsi="宋体" w:eastAsia="宋体"/>
                <w:b w:val="0"/>
                <w:i w:val="0"/>
                <w:color w:val="000000"/>
                <w:sz w:val="24"/>
              </w:rPr>
              <w:t>图9</w:t>
            </w:r>
          </w:p>
        </w:tc>
        <w:tc>
          <w:tcPr>
            <w:tcW w:type="dxa" w:w="2880"/>
          </w:tcPr>
          <w:p>
            <w:pPr>
              <w:jc w:val="center"/>
            </w:pPr>
            <w:r>
              <w:rPr>
                <w:rFonts w:ascii="Times New Roman" w:hAnsi="宋体" w:eastAsia="宋体"/>
                <w:b w:val="0"/>
                <w:i w:val="0"/>
                <w:color w:val="000000"/>
                <w:sz w:val="24"/>
              </w:rPr>
              <w:t>output/ablation_03_mlp_architecture.svg</w:t>
            </w:r>
          </w:p>
        </w:tc>
        <w:tc>
          <w:tcPr>
            <w:tcW w:type="dxa" w:w="2880"/>
          </w:tcPr>
          <w:p>
            <w:pPr>
              <w:jc w:val="center"/>
            </w:pPr>
            <w:r>
              <w:rPr>
                <w:rFonts w:ascii="Times New Roman" w:hAnsi="宋体" w:eastAsia="宋体"/>
                <w:b w:val="0"/>
                <w:i w:val="0"/>
                <w:color w:val="000000"/>
                <w:sz w:val="24"/>
              </w:rPr>
              <w:t>MLP架构消融</w:t>
            </w:r>
          </w:p>
        </w:tc>
      </w:tr>
      <w:tr>
        <w:tc>
          <w:tcPr>
            <w:tcW w:type="dxa" w:w="2880"/>
          </w:tcPr>
          <w:p>
            <w:pPr>
              <w:jc w:val="center"/>
            </w:pPr>
            <w:r>
              <w:rPr>
                <w:rFonts w:ascii="Times New Roman" w:hAnsi="宋体" w:eastAsia="宋体"/>
                <w:b w:val="0"/>
                <w:i w:val="0"/>
                <w:color w:val="000000"/>
                <w:sz w:val="24"/>
              </w:rPr>
              <w:t>图10</w:t>
            </w:r>
          </w:p>
        </w:tc>
        <w:tc>
          <w:tcPr>
            <w:tcW w:type="dxa" w:w="2880"/>
          </w:tcPr>
          <w:p>
            <w:pPr>
              <w:jc w:val="center"/>
            </w:pPr>
            <w:r>
              <w:rPr>
                <w:rFonts w:ascii="Times New Roman" w:hAnsi="宋体" w:eastAsia="宋体"/>
                <w:b w:val="0"/>
                <w:i w:val="0"/>
                <w:color w:val="000000"/>
                <w:sz w:val="24"/>
              </w:rPr>
              <w:t>output/ablation_04_preprocessing.svg</w:t>
            </w:r>
          </w:p>
        </w:tc>
        <w:tc>
          <w:tcPr>
            <w:tcW w:type="dxa" w:w="2880"/>
          </w:tcPr>
          <w:p>
            <w:pPr>
              <w:jc w:val="center"/>
            </w:pPr>
            <w:r>
              <w:rPr>
                <w:rFonts w:ascii="Times New Roman" w:hAnsi="宋体" w:eastAsia="宋体"/>
                <w:b w:val="0"/>
                <w:i w:val="0"/>
                <w:color w:val="000000"/>
                <w:sz w:val="24"/>
              </w:rPr>
              <w:t>预处理消融</w:t>
            </w:r>
          </w:p>
        </w:tc>
      </w:tr>
      <w:tr>
        <w:tc>
          <w:tcPr>
            <w:tcW w:type="dxa" w:w="2880"/>
          </w:tcPr>
          <w:p>
            <w:pPr>
              <w:jc w:val="center"/>
            </w:pPr>
            <w:r>
              <w:rPr>
                <w:rFonts w:ascii="Times New Roman" w:hAnsi="宋体" w:eastAsia="宋体"/>
                <w:b w:val="0"/>
                <w:i w:val="0"/>
                <w:color w:val="000000"/>
                <w:sz w:val="24"/>
              </w:rPr>
              <w:t>图11</w:t>
            </w:r>
          </w:p>
        </w:tc>
        <w:tc>
          <w:tcPr>
            <w:tcW w:type="dxa" w:w="2880"/>
          </w:tcPr>
          <w:p>
            <w:pPr>
              <w:jc w:val="center"/>
            </w:pPr>
            <w:r>
              <w:rPr>
                <w:rFonts w:ascii="Times New Roman" w:hAnsi="宋体" w:eastAsia="宋体"/>
                <w:b w:val="0"/>
                <w:i w:val="0"/>
                <w:color w:val="000000"/>
                <w:sz w:val="24"/>
              </w:rPr>
              <w:t>output/02_decision_boundaries.svg</w:t>
            </w:r>
          </w:p>
        </w:tc>
        <w:tc>
          <w:tcPr>
            <w:tcW w:type="dxa" w:w="2880"/>
          </w:tcPr>
          <w:p>
            <w:pPr>
              <w:jc w:val="center"/>
            </w:pPr>
            <w:r>
              <w:rPr>
                <w:rFonts w:ascii="Times New Roman" w:hAnsi="宋体" w:eastAsia="宋体"/>
                <w:b w:val="0"/>
                <w:i w:val="0"/>
                <w:color w:val="000000"/>
                <w:sz w:val="24"/>
              </w:rPr>
              <w:t>八模型决策边界</w:t>
            </w:r>
          </w:p>
        </w:tc>
      </w:tr>
      <w:tr>
        <w:tc>
          <w:tcPr>
            <w:tcW w:type="dxa" w:w="2880"/>
          </w:tcPr>
          <w:p>
            <w:pPr>
              <w:jc w:val="center"/>
            </w:pPr>
            <w:r>
              <w:rPr>
                <w:rFonts w:ascii="Times New Roman" w:hAnsi="宋体" w:eastAsia="宋体"/>
                <w:b w:val="0"/>
                <w:i w:val="0"/>
                <w:color w:val="000000"/>
                <w:sz w:val="24"/>
              </w:rPr>
              <w:t>图12</w:t>
            </w:r>
          </w:p>
        </w:tc>
        <w:tc>
          <w:tcPr>
            <w:tcW w:type="dxa" w:w="2880"/>
          </w:tcPr>
          <w:p>
            <w:pPr>
              <w:jc w:val="center"/>
            </w:pPr>
            <w:r>
              <w:rPr>
                <w:rFonts w:ascii="Times New Roman" w:hAnsi="宋体" w:eastAsia="宋体"/>
                <w:b w:val="0"/>
                <w:i w:val="0"/>
                <w:color w:val="000000"/>
                <w:sz w:val="24"/>
              </w:rPr>
              <w:t>output/04_logistic_regression.svg</w:t>
            </w:r>
          </w:p>
        </w:tc>
        <w:tc>
          <w:tcPr>
            <w:tcW w:type="dxa" w:w="2880"/>
          </w:tcPr>
          <w:p>
            <w:pPr>
              <w:jc w:val="center"/>
            </w:pPr>
            <w:r>
              <w:rPr>
                <w:rFonts w:ascii="Times New Roman" w:hAnsi="宋体" w:eastAsia="宋体"/>
                <w:b w:val="0"/>
                <w:i w:val="0"/>
                <w:color w:val="000000"/>
                <w:sz w:val="24"/>
              </w:rPr>
              <w:t>逻辑回归分析</w:t>
            </w:r>
          </w:p>
        </w:tc>
      </w:tr>
      <w:tr>
        <w:tc>
          <w:tcPr>
            <w:tcW w:type="dxa" w:w="2880"/>
          </w:tcPr>
          <w:p>
            <w:pPr>
              <w:jc w:val="center"/>
            </w:pPr>
            <w:r>
              <w:rPr>
                <w:rFonts w:ascii="Times New Roman" w:hAnsi="宋体" w:eastAsia="宋体"/>
                <w:b w:val="0"/>
                <w:i w:val="0"/>
                <w:color w:val="000000"/>
                <w:sz w:val="24"/>
              </w:rPr>
              <w:t>图13</w:t>
            </w:r>
          </w:p>
        </w:tc>
        <w:tc>
          <w:tcPr>
            <w:tcW w:type="dxa" w:w="2880"/>
          </w:tcPr>
          <w:p>
            <w:pPr>
              <w:jc w:val="center"/>
            </w:pPr>
            <w:r>
              <w:rPr>
                <w:rFonts w:ascii="Times New Roman" w:hAnsi="宋体" w:eastAsia="宋体"/>
                <w:b w:val="0"/>
                <w:i w:val="0"/>
                <w:color w:val="000000"/>
                <w:sz w:val="24"/>
              </w:rPr>
              <w:t>output/07_gradient_boosting.svg</w:t>
            </w:r>
          </w:p>
        </w:tc>
        <w:tc>
          <w:tcPr>
            <w:tcW w:type="dxa" w:w="2880"/>
          </w:tcPr>
          <w:p>
            <w:pPr>
              <w:jc w:val="center"/>
            </w:pPr>
            <w:r>
              <w:rPr>
                <w:rFonts w:ascii="Times New Roman" w:hAnsi="宋体" w:eastAsia="宋体"/>
                <w:b w:val="0"/>
                <w:i w:val="0"/>
                <w:color w:val="000000"/>
                <w:sz w:val="24"/>
              </w:rPr>
              <w:t>梯度提升树分析</w:t>
            </w:r>
          </w:p>
        </w:tc>
      </w:tr>
      <w:tr>
        <w:tc>
          <w:tcPr>
            <w:tcW w:type="dxa" w:w="2880"/>
          </w:tcPr>
          <w:p>
            <w:pPr>
              <w:jc w:val="center"/>
            </w:pPr>
            <w:r>
              <w:rPr>
                <w:rFonts w:ascii="Times New Roman" w:hAnsi="宋体" w:eastAsia="宋体"/>
                <w:b w:val="0"/>
                <w:i w:val="0"/>
                <w:color w:val="000000"/>
                <w:sz w:val="24"/>
              </w:rPr>
              <w:t>图14</w:t>
            </w:r>
          </w:p>
        </w:tc>
        <w:tc>
          <w:tcPr>
            <w:tcW w:type="dxa" w:w="2880"/>
          </w:tcPr>
          <w:p>
            <w:pPr>
              <w:jc w:val="center"/>
            </w:pPr>
            <w:r>
              <w:rPr>
                <w:rFonts w:ascii="Times New Roman" w:hAnsi="宋体" w:eastAsia="宋体"/>
                <w:b w:val="0"/>
                <w:i w:val="0"/>
                <w:color w:val="000000"/>
                <w:sz w:val="24"/>
              </w:rPr>
              <w:t>output/08_decision_tree.svg</w:t>
            </w:r>
          </w:p>
        </w:tc>
        <w:tc>
          <w:tcPr>
            <w:tcW w:type="dxa" w:w="2880"/>
          </w:tcPr>
          <w:p>
            <w:pPr>
              <w:jc w:val="center"/>
            </w:pPr>
            <w:r>
              <w:rPr>
                <w:rFonts w:ascii="Times New Roman" w:hAnsi="宋体" w:eastAsia="宋体"/>
                <w:b w:val="0"/>
                <w:i w:val="0"/>
                <w:color w:val="000000"/>
                <w:sz w:val="24"/>
              </w:rPr>
              <w:t>决策树分析</w:t>
            </w:r>
          </w:p>
        </w:tc>
      </w:tr>
      <w:tr>
        <w:tc>
          <w:tcPr>
            <w:tcW w:type="dxa" w:w="2880"/>
          </w:tcPr>
          <w:p>
            <w:pPr>
              <w:jc w:val="center"/>
            </w:pPr>
            <w:r>
              <w:rPr>
                <w:rFonts w:ascii="Times New Roman" w:hAnsi="宋体" w:eastAsia="宋体"/>
                <w:b w:val="0"/>
                <w:i w:val="0"/>
                <w:color w:val="000000"/>
                <w:sz w:val="24"/>
              </w:rPr>
              <w:t>图15</w:t>
            </w:r>
          </w:p>
        </w:tc>
        <w:tc>
          <w:tcPr>
            <w:tcW w:type="dxa" w:w="2880"/>
          </w:tcPr>
          <w:p>
            <w:pPr>
              <w:jc w:val="center"/>
            </w:pPr>
            <w:r>
              <w:rPr>
                <w:rFonts w:ascii="Times New Roman" w:hAnsi="宋体" w:eastAsia="宋体"/>
                <w:b w:val="0"/>
                <w:i w:val="0"/>
                <w:color w:val="000000"/>
                <w:sz w:val="24"/>
              </w:rPr>
              <w:t>output/09_naive_bayes.svg</w:t>
            </w:r>
          </w:p>
        </w:tc>
        <w:tc>
          <w:tcPr>
            <w:tcW w:type="dxa" w:w="2880"/>
          </w:tcPr>
          <w:p>
            <w:pPr>
              <w:jc w:val="center"/>
            </w:pPr>
            <w:r>
              <w:rPr>
                <w:rFonts w:ascii="Times New Roman" w:hAnsi="宋体" w:eastAsia="宋体"/>
                <w:b w:val="0"/>
                <w:i w:val="0"/>
                <w:color w:val="000000"/>
                <w:sz w:val="24"/>
              </w:rPr>
              <w:t>朴素贝叶斯分析</w:t>
            </w:r>
          </w:p>
        </w:tc>
      </w:tr>
      <w:tr>
        <w:tc>
          <w:tcPr>
            <w:tcW w:type="dxa" w:w="2880"/>
          </w:tcPr>
          <w:p>
            <w:pPr>
              <w:jc w:val="center"/>
            </w:pPr>
            <w:r>
              <w:rPr>
                <w:rFonts w:ascii="Times New Roman" w:hAnsi="宋体" w:eastAsia="宋体"/>
                <w:b w:val="0"/>
                <w:i w:val="0"/>
                <w:color w:val="000000"/>
                <w:sz w:val="24"/>
              </w:rPr>
              <w:t>图16</w:t>
            </w:r>
          </w:p>
        </w:tc>
        <w:tc>
          <w:tcPr>
            <w:tcW w:type="dxa" w:w="2880"/>
          </w:tcPr>
          <w:p>
            <w:pPr>
              <w:jc w:val="center"/>
            </w:pPr>
            <w:r>
              <w:rPr>
                <w:rFonts w:ascii="Times New Roman" w:hAnsi="宋体" w:eastAsia="宋体"/>
                <w:b w:val="0"/>
                <w:i w:val="0"/>
                <w:color w:val="000000"/>
                <w:sz w:val="24"/>
              </w:rPr>
              <w:t>output/10_knn.svg</w:t>
            </w:r>
          </w:p>
        </w:tc>
        <w:tc>
          <w:tcPr>
            <w:tcW w:type="dxa" w:w="2880"/>
          </w:tcPr>
          <w:p>
            <w:pPr>
              <w:jc w:val="center"/>
            </w:pPr>
            <w:r>
              <w:rPr>
                <w:rFonts w:ascii="Times New Roman" w:hAnsi="宋体" w:eastAsia="宋体"/>
                <w:b w:val="0"/>
                <w:i w:val="0"/>
                <w:color w:val="000000"/>
                <w:sz w:val="24"/>
              </w:rPr>
              <w:t>KNN分析</w:t>
            </w:r>
          </w:p>
        </w:tc>
      </w:tr>
      <w:tr>
        <w:tc>
          <w:tcPr>
            <w:tcW w:type="dxa" w:w="2880"/>
          </w:tcPr>
          <w:p>
            <w:pPr>
              <w:jc w:val="center"/>
            </w:pPr>
            <w:r>
              <w:rPr>
                <w:rFonts w:ascii="Times New Roman" w:hAnsi="宋体" w:eastAsia="宋体"/>
                <w:b w:val="0"/>
                <w:i w:val="0"/>
                <w:color w:val="000000"/>
                <w:sz w:val="24"/>
              </w:rPr>
              <w:t>图17</w:t>
            </w:r>
          </w:p>
        </w:tc>
        <w:tc>
          <w:tcPr>
            <w:tcW w:type="dxa" w:w="2880"/>
          </w:tcPr>
          <w:p>
            <w:pPr>
              <w:jc w:val="center"/>
            </w:pPr>
            <w:r>
              <w:rPr>
                <w:rFonts w:ascii="Times New Roman" w:hAnsi="宋体" w:eastAsia="宋体"/>
                <w:b w:val="0"/>
                <w:i w:val="0"/>
                <w:color w:val="000000"/>
                <w:sz w:val="24"/>
              </w:rPr>
              <w:t>output/01_data_exploration.svg</w:t>
            </w:r>
          </w:p>
        </w:tc>
        <w:tc>
          <w:tcPr>
            <w:tcW w:type="dxa" w:w="2880"/>
          </w:tcPr>
          <w:p>
            <w:pPr>
              <w:jc w:val="center"/>
            </w:pPr>
            <w:r>
              <w:rPr>
                <w:rFonts w:ascii="Times New Roman" w:hAnsi="宋体" w:eastAsia="宋体"/>
                <w:b w:val="0"/>
                <w:i w:val="0"/>
                <w:color w:val="000000"/>
                <w:sz w:val="24"/>
              </w:rPr>
              <w:t>数据探索</w:t>
            </w:r>
          </w:p>
        </w:tc>
      </w:tr>
      <w:tr>
        <w:tc>
          <w:tcPr>
            <w:tcW w:type="dxa" w:w="2880"/>
          </w:tcPr>
          <w:p>
            <w:pPr>
              <w:jc w:val="center"/>
            </w:pPr>
            <w:r>
              <w:rPr>
                <w:rFonts w:ascii="Times New Roman" w:hAnsi="宋体" w:eastAsia="宋体"/>
                <w:b w:val="0"/>
                <w:i w:val="0"/>
                <w:color w:val="000000"/>
                <w:sz w:val="24"/>
              </w:rPr>
              <w:t>图18</w:t>
            </w:r>
          </w:p>
        </w:tc>
        <w:tc>
          <w:tcPr>
            <w:tcW w:type="dxa" w:w="2880"/>
          </w:tcPr>
          <w:p>
            <w:pPr>
              <w:jc w:val="center"/>
            </w:pPr>
            <w:r>
              <w:rPr>
                <w:rFonts w:ascii="Times New Roman" w:hAnsi="宋体" w:eastAsia="宋体"/>
                <w:b w:val="0"/>
                <w:i w:val="0"/>
                <w:color w:val="000000"/>
                <w:sz w:val="24"/>
              </w:rPr>
              <w:t>output/11_mlp_training_curves.svg</w:t>
            </w:r>
          </w:p>
        </w:tc>
        <w:tc>
          <w:tcPr>
            <w:tcW w:type="dxa" w:w="2880"/>
          </w:tcPr>
          <w:p>
            <w:pPr>
              <w:jc w:val="center"/>
            </w:pPr>
            <w:r>
              <w:rPr>
                <w:rFonts w:ascii="Times New Roman" w:hAnsi="宋体" w:eastAsia="宋体"/>
                <w:b w:val="0"/>
                <w:i w:val="0"/>
                <w:color w:val="000000"/>
                <w:sz w:val="24"/>
              </w:rPr>
              <w:t>MLP训练损失曲线</w:t>
            </w:r>
          </w:p>
        </w:tc>
      </w:tr>
    </w:tbl>
    <w:p/>
    <w:p>
      <w:pPr>
        <w:spacing w:before="240" w:after="120" w:lineRule="auto" w:line="300"/>
        <w:jc w:val="left"/>
      </w:pPr>
      <w:r>
        <w:rPr>
          <w:rFonts w:ascii="Times New Roman" w:hAnsi="宋体" w:eastAsia="宋体"/>
          <w:b/>
          <w:i w:val="0"/>
          <w:color w:val="000000"/>
          <w:sz w:val="32"/>
        </w:rPr>
        <w:t>参考文献</w:t>
      </w:r>
    </w:p>
    <w:p>
      <w:pPr>
        <w:spacing w:line="360" w:lineRule="auto" w:after="120" w:before="0"/>
        <w:ind w:firstLine="482"/>
      </w:pPr>
      <w:r>
        <w:rPr>
          <w:rFonts w:ascii="Times New Roman" w:hAnsi="宋体" w:eastAsia="宋体"/>
          <w:b w:val="0"/>
          <w:i w:val="0"/>
          <w:color w:val="000000"/>
          <w:sz w:val="24"/>
        </w:rPr>
        <w:t>[1] Fisher R A. The use of multiple measurements in taxonomic problems[J]. Annals of Eugenics, 1936, 7(2): 179-188.</w:t>
      </w:r>
    </w:p>
    <w:p>
      <w:pPr>
        <w:spacing w:line="360" w:lineRule="auto" w:after="120" w:before="0"/>
        <w:ind w:firstLine="482"/>
      </w:pPr>
      <w:r>
        <w:rPr>
          <w:rFonts w:ascii="Times New Roman" w:hAnsi="宋体" w:eastAsia="宋体"/>
          <w:b w:val="0"/>
          <w:i w:val="0"/>
          <w:color w:val="000000"/>
          <w:sz w:val="24"/>
        </w:rPr>
        <w:t>[2]周志华. 机器学习[M]. 北京: 清华大学出版社, 2016.</w:t>
      </w:r>
    </w:p>
    <w:p>
      <w:pPr>
        <w:spacing w:line="360" w:lineRule="auto" w:after="120" w:before="0"/>
        <w:ind w:firstLine="482"/>
      </w:pPr>
      <w:r>
        <w:rPr>
          <w:rFonts w:ascii="Times New Roman" w:hAnsi="宋体" w:eastAsia="宋体"/>
          <w:b w:val="0"/>
          <w:i w:val="0"/>
          <w:color w:val="000000"/>
          <w:sz w:val="24"/>
        </w:rPr>
        <w:t>[3]李航. 统计学习方法（第2版）[M]. 北京: 清华大学出版社, 2019.</w:t>
      </w:r>
    </w:p>
    <w:p>
      <w:pPr>
        <w:spacing w:line="360" w:lineRule="auto" w:after="120" w:before="0"/>
        <w:ind w:firstLine="482"/>
      </w:pPr>
      <w:r>
        <w:rPr>
          <w:rFonts w:ascii="Times New Roman" w:hAnsi="宋体" w:eastAsia="宋体"/>
          <w:b w:val="0"/>
          <w:i w:val="0"/>
          <w:color w:val="000000"/>
          <w:sz w:val="24"/>
        </w:rPr>
        <w:t>[4] Pedregosa F, Varoquaux G, Gramfort A, et al. Scikit-learn: Machine learning in Python[J]. Journal of Machine Learning Research, 2011, 12: 2825-2830.</w:t>
      </w:r>
    </w:p>
    <w:p>
      <w:pPr>
        <w:spacing w:line="360" w:lineRule="auto" w:after="120" w:before="0"/>
        <w:ind w:firstLine="482"/>
      </w:pPr>
      <w:r>
        <w:rPr>
          <w:rFonts w:ascii="Times New Roman" w:hAnsi="宋体" w:eastAsia="宋体"/>
          <w:b w:val="0"/>
          <w:i w:val="0"/>
          <w:color w:val="000000"/>
          <w:sz w:val="24"/>
        </w:rPr>
        <w:t>[5] Hastie T, Tibshirani R, Friedman J. The Elements of Statistical Learning: Data Mining, Inference, and Prediction[M]. 2nd ed. New York: Springer,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