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Rule="auto" w:line="30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44"/>
        </w:rPr>
        <w:t>鸢尾花分类问题的人工智能方法对比研究</w:t>
      </w:r>
    </w:p>
    <w:p>
      <w:pPr>
        <w:spacing w:line="360" w:lineRule="auto" w:after="120"/>
        <w:ind w:left="567" w:firstLine="482"/>
      </w:pPr>
      <w:r>
        <w:rPr>
          <w:rFonts w:ascii="Times New Roman" w:hAnsi="Times New Roman" w:eastAsia="宋体" w:cs="Times New Roman"/>
          <w:b w:val="0"/>
          <w:i/>
          <w:color w:val="000000"/>
          <w:sz w:val="21"/>
        </w:rPr>
        <w:t>人工智能课程大作业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摘要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本实验在Iris鸢尾花数据集上对比了8类12个分类方法的性能。考虑到单次70/30划分的方差较高，实验采用10次重复试验，并将各次试验的测试集预测汇总后统一计算F1、ROC和混淆矩阵。结果显示，MLP的GridSearch版本平均95.8%排第一，MLP(32,16,8)和梯度提升树93.6%垫底。MLP(16,8)的标准差最大（3.9%），逻辑回归最稳定（2.4%）。GridSearch选出的参数每次差异很大（10次中最常见配置仅出现2次），但整体平均仍优于所有手动配置的MLP架构——说明参数搜索在小数据上虽不稳定，但总体有益。消融实验进一步发现：决策树在训练数据减至10%时降至62.2%，SVM（84.4%）对数据缩减最不敏感；不做标准化时KNN和MLP的准确率反而更高——这表明在单次划分下，连预处理效果的结论都可能被随机性左右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关键词：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鸢尾花分类；机器学习；重复试验；GridSearch；消融实验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1. 引言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鸢尾花数据集由Fisher于1936年提出，包含3个品种各50条样本，每条有花萼长宽和花瓣长宽4个特征。因特征区分度高，常被用作机器学习入门实验。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本次大作业的任务是在该数据集上对比多种分类方法。实际实验过程中发现，比出哪个模型最好并非重点——Iris数据过于简单，所有方法准确率在94%附近——更有价值的是一些反直觉的结果：MLP增加层数反而下降、GridSearch选出的参数极不稳定、未标准化的距离模型反而更准。本报告围绕这些现象展开分析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2. 实验设置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2.1数据集与预处理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数据集共150条样本，3个类别各50条，完全平衡。实验采用10次独立重复试验，每次随机按70%/30%划分训练集（105条）和测试集（45条），最终报告10次测试准确率的均值与标准差。每次试验中各模型的预测标签、概率和F1保存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experiment_results.json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，训练好的模型、StandardScaler和训练/测试划分保存至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session.joblib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评估方式上做了改进：不再仅依赖末次试验的45条测试样本，而是将10次试验的全部测试集预测拼接（共约450条）后统一计算F1、ROC和混淆矩阵。这一拼接策略同样应用于各单方法可视化图（图4–6、图12–16）的混淆矩阵，使每张混淆矩阵反映10次试验的综合表现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交叉验证：10次试验各在训练集上做5折StratifiedKFold CV，共50个分数，跨试验取均值。参与CV的模型为6个（逻辑回归、SVM、随机森林、KNN、梯度提升树、朴素贝叶斯），不含MLP变体和决策树。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消融实验：基于末次试验的单次划分，末次划分固定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random_state=42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以保证可复现性。4类消融结果（特征、数据量、MLP架构、预处理）同样保存至session，供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--analyze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模式直接读取。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标准化：对所有模型统一使用StandardScaler——基于训练集均值与标准差拟合后应用于测试集。树模型和朴素贝叶斯理论上不受量纲影响，但为保持处理一致，同样走这一流程。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可复现性方面：首次执行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python classify.py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完成训练并保存session后，使用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python classify.py --analyze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即可从session加载全部数据重绘所有图表（含消融），无需重新训练。需注意每次完整运行会产生新的随机划分，因此具体数值会有小幅波动，但定性趋势保持稳定。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2.2方法概览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共8类12个模型：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类别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关键参数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线性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LBFGS, C=1.0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核方法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C=1.0, gamma=scale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决策树(d=3)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Bagging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100棵树, max_depth=5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Boosting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100棵, lr=0.1, max_depth=3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距离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n_neighbors=5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神经网络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MLP(16,8), (32,16,8), (64,32),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ReLU, alpha=0.001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神经网络+调参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4架构×4alpha×2激活=32组合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概率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所有MLP统一使用Adam优化器、ReLU默认激活、L2正则系数alpha=0.001、最大迭代1000。GridSearch在每轮试验中扫描32个参数组合（hidden_layer_sizes × alpha × activation），以5折CV选出该轮最优参数，再在独立测试集上评估。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3. 实验结果与发现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3.1整体表现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10次试验的测试准确率均值与标准差如下（按均值降序）：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排名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准确率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(GridSearch最佳)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95.8%±3.4%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 (RBF核)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95.1%±2.6%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95.1%±2.8%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94.9%±2.4%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94.7%±3.9%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高斯朴素贝叶斯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94.7%±2.8%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(64,32)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94.4%±3.2%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 (k=5)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94.2%±2.8%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(32,8)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93.8%±3.6%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93.6%±3.2%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93.6%±2.7%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最高95.8%、最低93.6%，极差仅2.2个百分点。考虑到各模型标准差大多在2.4%–3.9%之间，所有模型的置信区间高度重叠，排名不具备严格的统计可区分性。逻辑回归标准差最小（2.4%），MLP(16,8)波动最大（3.9%），但波动差异也未大到可断言某一模型明显更不稳定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F1-Score方面，所有模型对setosa类均为满分或接近满分，该类与另两类完全线性可分。差异主要体现在versicolor和virginica上，GridSearch的MLP在这两类上F1最高（0.938 / 0.942），梯度提升树最低（0.906 / 0.900）。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[图：综合对比总结]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图1综合对比总结（准确率排名、F1对比、ROC曲线）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[图：混淆矩阵汇总]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图2混淆矩阵汇总（8方法，10次试验拼接）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3.2交叉验证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交叉验证仅覆盖6个传统方法（不含MLP变体和决策树）。10次 ×5折共50个CV分数，跨试验均值后CV准确率与测试集均值处于同一水平（均位于93%–96%），但CV的标准差（约3.5%–5.5%）明显高于测试集（2.4%–3.9%），原因在于每折验证集仅约21条样本，折叠间波动较大。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CV排名与测试排名不完全对应，这在150条样本规模的数据集上属于正常现象——不同的评估方式引入的方差足以改变排序。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[图：交叉验证对比]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图3交叉验证对比（6模型，10次 ×5折）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3.3 MLP各配置对比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MLP 5个配置的表现分为三个层次：GridSearch最佳（95.8%）、浅层适中宽度（MLP(16,8) 94.7%、MLP(64,32) 94.4%）、深层或窄网络（MLP(32,16,8) 93.6%、MLP(32,8) 93.8%）。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MLP(16,8)较MLP(32,16,8)高出1.1个百分点——加深两层反而下降。原因在于Iris总共150条样本，三层隐藏层（32→16→8）的可训练参数超过600个，对训练集形成了过参数化，模型倾向于记忆噪声而非学习模式。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GridSearch平均准确率排名第一（95.8%），优于所有手动配置的MLP，说明参数搜索整体上有益。但选出的参数极不稳定：10次试验中，最常见配置仅出现2次（relu + alpha=0.0001 + (16,8)和tanh + alpha=0.0001 + (64,32)各2次），其余6次各不相同。这表明在小数据集上，CV每轮选出的“最优参数”高度依赖当次的数据划分，不应将其视为全局最优。但从平均效果来看，扫描参数空间这一动作确实能提升性能——只是不应过度信赖单次搜索结果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手动MLP(16,8)的alpha=0.001，而GridSearch更倾向选到alpha=0.0001。对Iris这种简单数据，适度降低正则化让模型更充分地拟合训练集，约为GridSearch版本带来了额外收益，但代价是增加了过拟合风险。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[图：MLP分析]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图4 MLP分析（架构对比、损失曲线、GridSearch结果、alpha与激活函数扫描）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3.4决策树与集成方法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决策树以95.1%排第三，标准差2.8%居中。但随机森林仅94.4%——集成之后反而下降了0.7个百分点。这一结果与集成学习的普遍预期相反，原因是Iris只有4个特征，随机森林每棵树每次分裂仅随机选取2个特征（√4=2），有约50%的概率看不到花瓣宽等关键特征，只能依赖信息量较小的花萼特征做次优分裂。随机子空间在多特征场景下提供多样性收益，但在此处被特征匮乏抵消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梯度提升树以93.6%垫底。Boosting每轮迭代试图纠正前一轮的残差，但训练集仅105个样本，每棵树拟合的残差中噪声占比较高，逐轮累积可能放大偏差而非改善性能。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[图：随机森林分析]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图5随机森林分析（特征重要性、估计器数量、混淆矩阵、深度扫描）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3.5其他方法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逻辑回归（94.9%±2.4%）标准差最小，最为稳定。C值从10⁻³扫到10²准确率基本不变，表明Iris对正则化不敏感——线性模型在该数据上的瓶颈在于表达能力本身，而非过拟合。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SVM（95.1%±2.6%）排名第二。C值在0.01–100区间呈现典型U型曲线：C过小则欠拟合、过大则过拟合。gamma取0.1时表现最佳。支持向量约占训练集的15%–25%，说明RBF核没有过度记忆训练样本。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KNN（94.2%±2.8%）排名靠后，k=5表现稳健，k&gt;15后准确率开始下降。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朴素贝叶斯（94.7%±2.8%）。花瓣长与花瓣宽存在明显相关性，违反了特征独立性假设，但Iris各品种的类间区分度足够高，使得这一假设违背对最终分类的影响有限。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[图：SVM分析]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图6 SVM分析（C值、gamma影响、混淆矩阵、支持向量）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 消融实验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消融实验基于末次试验的单次固定划分（random_state=42），所有模型以random_state=42初始化以确保可复现。4类消融结果已保存在session中，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--analyze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可直接读取并重绘。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4.1特征消融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逐一移除4个特征后8个基准模型（含MLP(32,16,8)）的测试准确率：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移除特征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MLP(32,16,8)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GBDT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朴素贝叶斯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(全特征)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花萼长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花萼宽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花瓣长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0.867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花瓣宽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移除花瓣宽的影响最大（KNN下降0.067, GBDT下降0.022）。移除花萼长或花萼宽的影响很小，部分模型甚至准确率微升（如GBDT从0.911升至0.933, MLP同样上升），说明在本次划分下花萼特征近乎噪声。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决策树在全特征下达到0.978（8个模型中最高），且移除任何单特征后仍保持在0.911–0.978，是特征鲁棒性最强的模型——树模型能够在剩余特征中重新选择最优分裂点。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[图：特征消融]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图7特征消融热力图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4.2数据量消融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训练比例从90%（94条）逐步减至10%（10条，每类约3–4条）：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10%数据条件下，决策树从0.933降至0.622，降幅0.311，是所有模型中最脆弱者。分裂阈值在极少量样本下很难准确估计。SVM和随机森林仍保持0.844，表现最为稳健——SVM的间隔最大化对样本稀疏不敏感，随机森林的随机子采样在此处反而降低了过拟合。朴素贝叶斯在10%数据下仅0.778，每类3–4条样本无法可靠估计高斯分布的均值和方差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[图：数据量消融]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图8数据量消融曲线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4.3 MLP架构消融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在末次划分上以(16,8)、alpha=0.001、ReLU为基准，逐一扫描宽度、深度、正则化强度和激活函数：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宽度扫描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：4和32个神经元最高（93.33%），8个最低（88.89%）。准确率随宽度变化呈非单调趋势，说明小数据下网络容量被随机因素主导。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深度扫描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：1到4层均在91.11%–93.33%，无单调提升趋势。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正则化扫描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：alpha从0到0.1均为91.11%，alpha=1升至93.33%，强正则化在此次划分中反而有益。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激活函数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：ReLU（95.56%）优于Tanh和Sigmoid（93.33%）。然而GridSearch在10次试验中时有选到Tanh的情况——CV选出的最优激活函数与测试集最优不一致，再次说明CV选参在小数据上的不稳定性。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[图：MLP架构消融]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图9 MLP架构消融（宽度、深度、正则化强度、激活函数）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28"/>
        </w:rPr>
        <w:t>4.4预处理消融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标准化与未标准化在末次划分上的对比：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模型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未标准化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Δ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0.956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0.889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 (32,16,8)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-0.067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-0.022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0.978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朴素贝叶斯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0.911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0.000</w:t>
            </w:r>
          </w:p>
        </w:tc>
      </w:tr>
    </w:tbl>
    <w:p/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距离模型（KNN、MLP、SVM、逻辑回归）标准化后反而下降，其中KNN和MLP下降幅度最大（-0.067）。原因在于花萼特征数值偏大（花萼长4.3–7.9 cm, 花萼宽2.0–4.4 cm），未标准化时在欧氏距离中权重更高；花萼长与花瓣特征存在相关性，使得花萼特征通过量纲放大间接携带了判别信息。标准化消除了这一效应，导致本次划分下准确率下降。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这是本次特定划分的结果，不代表标准化在整体上“有害”。10次重复试验中标准化模型的总体均值更高（如SVM 95.1%），标准化在大部分划分下是有益的。本次消融揭示了一个重要局限：单次划分下对预处理策略的判断可能被数据划分的随机性所颠倒。树模型不受标准化影响，朴素贝叶斯的高斯参数估计对标准化的依赖较小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[图：预处理消融]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图10预处理消融对比（标准化vs未标准化）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5. 讨论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从实验结果中可归纳以下几个值得关注的方面。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模型间差异映射的不是方法优劣，而是评估的稳定性。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最高与最低仅差2.2个百分点，所有模型的置信区间高度重叠。在Iris上，选择哪种方法对最终的准确率影响有限——所有合理配置的模型均可达到94%以上。真正值得关注的不是排名本身，而是那些与预期方向相反的结果（集成退化、深度网络变差、标准化反降），这些现象揭示了小数据集下方法行为的特殊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GridSearch的整体收益与参数不稳定并存。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10次试验平均GridSearch确实最优（95.8%），但每次选出的最优参数高度不一致——10次中仅2次相同。这一现象是CV在小验证集（约21条/折）上分数方差大的直接后果。从中可得出两点：参数搜索本身有利——探索多种架构和超参数组合能提高性能分布的上限；但不宜将某一次CV选出的参数视为固定最优——小数据集的CV搜索结果不具备参数级可复现性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集成方法在特征匮乏的数据上失效。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随机森林未能超越单棵决策树，梯度提升树更直接垫底。4个特征中随机子空间每次仅选2个，关键特征有约50%概率在本轮不可见，多样性收益被次优分裂抵消。Boosting在此规模下逐轮拟合残差更接近“追噪声”而非改善。这一结果提醒，集成方法的正面效果以充分的特征多元化为前提。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/>
          <w:i w:val="0"/>
          <w:color w:val="000000"/>
          <w:sz w:val="24"/>
        </w:rPr>
        <w:t>单次划分下的预处理结论不可靠。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标准化在本次消融中降低了距离模型的准确率，看似“标准化有害”，但10次重复的整体结果支持标准化的必要性。这说明对Iris这种小数据集，任何单次划分的结论都不具备足够的稳定性——预处理、模型选择、参数调优的评估都必须建立在多次重复之上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6. 结论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本实验通过对Iris数据集的系统对比，得出以下主要结论：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12个模型的准确率极差仅2.2个百分点，且标准差重叠严重，严格排名意义有限。定性趋势上，浅层MLP（含GridSearch）和SVM处于第一梯队，深层MLP和GBDT靠后，线性模型和朴素贝叶斯居中。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GridSearch虽然在平均意义上表现最优（95.8%），但参数选择极不稳定（最常见配置仅出现2/10次）。参数搜索整体有益，但不应将单次CV结果视为“最优参数”。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集成方法（随机森林、梯度提升树）在4特征空间中均未超越单棵决策树，甚至更差。特征匮乏使集成的多样性收益不足以弥补次优分裂的代价。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花瓣宽和花瓣长是最关键的分类特征，花萼特征的单独贡献极小，但在未标准化条件下可通过量纲放大间接影响距离模型。</w:t>
      </w:r>
    </w:p>
    <w:p>
      <w:pPr>
        <w:spacing w:line="360" w:lineRule="auto" w:after="6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 xml:space="preserve">• 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在小数据集上，单次70/30划分的结论可能被随机性完全颠覆。多次重复、拼接评估和消融分析是获得可靠结论的三个必要环节。</w:t>
      </w:r>
    </w:p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附录：图表索引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图号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文件名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4"/>
              </w:rPr>
              <w:t>内容描述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output/12_summary.svg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综合对比总结（准确率排名/F1/ROC）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output/13_confusion_matrices.svg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8方法混淆矩阵汇总（10次拼接）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output/14_cv_comparison.svg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6模型交叉验证对比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output/05_mlp_analysis.svg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MLP分析（架构/GridSearch/alpha/激活）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output/06_random_forest.svg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随机森林分析（重要性/估计器数/CM/深度）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output/03_svm_analysis.svg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SVM分析（C值/gamma/CM/支持向量）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output/ablation_01_feature.svg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特征消融热力图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output/ablation_02_data.svg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数据量消融曲线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output/ablation_03_mlp_architecture.svg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MLP架构消融（宽/深/正则/激活）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output/ablation_04_preprocessing.svg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预处理消融（标准化vs未标准化）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output/02_decision_boundaries.svg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八模型决策边界对比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output/04_logistic_regression.svg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逻辑回归分析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图13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output/07_gradient_boosting.svg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梯度提升树分析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output/08_decision_tree.svg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决策树分析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output/09_naive_bayes.svg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朴素贝叶斯分析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output/10_knn.svg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KNN分析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output/01_data_exploration.svg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数据探索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图18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output/11_mlp_training_curves.svg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4"/>
              </w:rPr>
              <w:t>MLP训练损失曲线</w:t>
            </w:r>
          </w:p>
        </w:tc>
      </w:tr>
    </w:tbl>
    <w:p/>
    <w:p>
      <w:pPr>
        <w:spacing w:before="240" w:after="120" w:lineRule="auto" w:line="30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参考文献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[1] Fisher R A. The use of multiple measurements in taxonomic problems[J]. Annals of Eugenics, 1936, 7(2): 179-188.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[2]周志华. 机器学习[M]. 北京: 清华大学出版社, 2016.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[3]李航. 统计学习方法（第2版）[M]. 北京: 清华大学出版社, 2019.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[4] Pedregosa F, Varoquaux G, Gramfort A, et al. Scikit-learn: Machine learning in Python[J]. Journal of Machine Learning Research, 2011, 12: 2825-2830.</w:t>
      </w:r>
    </w:p>
    <w:p>
      <w:pPr>
        <w:spacing w:line="360" w:lineRule="auto" w:after="120" w:before="0"/>
        <w:ind w:firstLine="482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[5] Hastie T, Tibshirani R, Friedman J. The Elements of Statistical Learning: Data Mining, Inference, and Prediction[M]. 2nd ed. New York: Springer, 2009.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