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Times New Roman" w:eastAsia="宋体" w:cs="Times New Roman"/>
          <w:b/>
          <w:i w:val="0"/>
          <w:color w:val="000000"/>
          <w:sz w:val="44"/>
        </w:rPr>
        <w:t>鸢尾花分类问题的人工智能方法对比研究</w:t>
      </w:r>
    </w:p>
    <w:p>
      <w:pPr>
        <w:spacing w:line="360" w:lineRule="auto" w:after="120"/>
        <w:ind w:left="567" w:firstLine="482"/>
      </w:pPr>
      <w:r>
        <w:rPr>
          <w:rFonts w:ascii="Times New Roman" w:hAnsi="Times New Roman" w:eastAsia="宋体" w:cs="Times New Roman"/>
          <w:b w:val="0"/>
          <w:i/>
          <w:color w:val="000000"/>
          <w:sz w:val="21"/>
        </w:rPr>
        <w:t>人工智能课程大作业</w:t>
      </w:r>
    </w:p>
    <w:p>
      <w:pPr>
        <w:spacing w:before="240" w:after="120" w:lineRule="auto" w:line="300"/>
        <w:jc w:val="left"/>
      </w:pPr>
      <w:r>
        <w:rPr>
          <w:rFonts w:ascii="Times New Roman" w:hAnsi="Times New Roman" w:eastAsia="宋体" w:cs="Times New Roman"/>
          <w:b/>
          <w:i w:val="0"/>
          <w:color w:val="000000"/>
          <w:sz w:val="32"/>
        </w:rPr>
        <w:t>摘要</w:t>
      </w:r>
    </w:p>
    <w:p>
      <w:pPr>
        <w:spacing w:line="360" w:lineRule="auto" w:after="120" w:before="0"/>
        <w:ind w:firstLine="482"/>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名第一，三隐层MLP和梯度提升树以93.6%位列末尾。MLP两隐层16-8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未标准化条件下KNN和MLP准确率反而更高，表明在单次划分下即使预处理这类常规操作的结论也可能被随机性左右。</w:t>
      </w:r>
    </w:p>
    <w:p>
      <w:pPr>
        <w:spacing w:line="360" w:lineRule="auto" w:after="120" w:before="0"/>
        <w:ind w:firstLine="482"/>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pPr>
        <w:spacing w:before="240" w:after="120" w:lineRule="auto" w:line="300"/>
        <w:jc w:val="left"/>
      </w:pPr>
      <w:r>
        <w:rPr>
          <w:rFonts w:ascii="Times New Roman" w:hAnsi="Times New Roman" w:eastAsia="宋体" w:cs="Times New Roman"/>
          <w:b/>
          <w:i w:val="0"/>
          <w:color w:val="000000"/>
          <w:sz w:val="32"/>
        </w:rPr>
        <w:t>1. 引言</w:t>
      </w:r>
    </w:p>
    <w:p>
      <w:pPr>
        <w:spacing w:line="360" w:lineRule="auto" w:after="120" w:before="0"/>
        <w:ind w:firstLine="482"/>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pPr>
        <w:spacing w:line="360" w:lineRule="auto" w:after="120" w:before="0"/>
        <w:ind w:firstLine="482"/>
      </w:pPr>
      <w:r>
        <w:rPr>
          <w:rFonts w:ascii="Times New Roman" w:hAnsi="Times New Roman" w:eastAsia="宋体" w:cs="Times New Roman"/>
          <w:b w:val="0"/>
          <w:i w:val="0"/>
          <w:color w:val="000000"/>
          <w:sz w:val="24"/>
        </w:rPr>
        <w:t>本实验的任务是在该数据集上对比多种分类方法。实验过程中发现，由于Iris数据规模较小、特征区分度高，所有方法的准确率均集中于94%附近，模型间的绝对差异有限。相比之下，一些反直觉的现象更值得关注：MLP增加层数后性能反而下降、网格搜索选出的参数极不稳定、未标准化条件下距离模型准确率反而更高。本报告围绕这些现象展开分析。</w:t>
      </w:r>
    </w:p>
    <w:p>
      <w:pPr>
        <w:spacing w:before="240" w:after="120" w:lineRule="auto" w:line="300"/>
        <w:jc w:val="left"/>
      </w:pPr>
      <w:r>
        <w:rPr>
          <w:rFonts w:ascii="Times New Roman" w:hAnsi="Times New Roman" w:eastAsia="宋体" w:cs="Times New Roman"/>
          <w:b/>
          <w:i w:val="0"/>
          <w:color w:val="000000"/>
          <w:sz w:val="32"/>
        </w:rPr>
        <w:t>2. 实验设置</w:t>
      </w:r>
    </w:p>
    <w:p>
      <w:pPr>
        <w:spacing w:before="240" w:after="120" w:lineRule="auto" w:line="300"/>
        <w:jc w:val="left"/>
      </w:pPr>
      <w:r>
        <w:rPr>
          <w:rFonts w:ascii="Times New Roman" w:hAnsi="Times New Roman" w:eastAsia="宋体" w:cs="Times New Roman"/>
          <w:b/>
          <w:i w:val="0"/>
          <w:color w:val="000000"/>
          <w:sz w:val="28"/>
        </w:rPr>
        <w:t>2.1数据集与预处理</w:t>
      </w:r>
    </w:p>
    <w:p>
      <w:pPr>
        <w:spacing w:line="360" w:lineRule="auto" w:after="120" w:before="0"/>
        <w:ind w:firstLine="482"/>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被保存至实验结果文件，训练好的模型、标准化器和数据划分被保存至实验会话文件。</w:t>
      </w:r>
    </w:p>
    <w:p>
      <w:pPr>
        <w:spacing w:line="360" w:lineRule="auto" w:after="120" w:before="0"/>
        <w:ind w:firstLine="482"/>
      </w:pPr>
      <w:r>
        <w:rPr>
          <w:rFonts w:ascii="Times New Roman" w:hAnsi="Times New Roman" w:eastAsia="宋体" w:cs="Times New Roman"/>
          <w:b w:val="0"/>
          <w:i w:val="0"/>
          <w:color w:val="000000"/>
          <w:sz w:val="24"/>
        </w:rPr>
        <w:t>在评估方式上做了改进：不再仅依赖单次试验的45条测试样本，而是将10次试验的全部测试集预测拼接为约450条样本后统一计算F1、ROC和混淆矩阵。这一拼接策略同样应用于图6及图8至图14中各单方法的混淆矩阵，使每张混淆矩阵反映10次试验的综合表现。</w:t>
      </w:r>
    </w:p>
    <w:p>
      <w:pPr>
        <w:spacing w:line="360" w:lineRule="auto" w:after="120" w:before="0"/>
        <w:ind w:firstLine="482"/>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消融实验基于末次试验的单次划分，随机种子固定为42以保证可复现。特征消融、数据量消融、MLP架构消融和预处理消融这四组结果同样保存在实验会话中，可在后续分析中直接读取。</w:t>
      </w:r>
    </w:p>
    <w:p>
      <w:pPr>
        <w:spacing w:line="360" w:lineRule="auto" w:after="120" w:before="0"/>
        <w:ind w:firstLine="482"/>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标准化方面，对所有模型统一使用基于训练集均值和标准差的标准化，变换后应用于测试集。树模型和朴素贝叶斯理论上不受量纲影响，但为保持处理一致，同样执行标准化流程。</w:t>
      </w:r>
    </w:p>
    <w:p>
      <w:pPr>
        <w:spacing w:line="360" w:lineRule="auto" w:after="120" w:before="0"/>
        <w:ind w:firstLine="482"/>
      </w:pPr>
      <w:r>
        <w:rPr>
          <w:rFonts w:ascii="Times New Roman" w:hAnsi="Times New Roman" w:eastAsia="宋体" w:cs="Times New Roman"/>
          <w:b w:val="0"/>
          <w:i w:val="0"/>
          <w:color w:val="000000"/>
          <w:sz w:val="24"/>
        </w:rPr>
        <w:t>关于可复现性：实验完整记录了训练模型与数据划分，支持从已保存的实验会话中加载全部数据并重绘图表，包含消融实验结果，无需重新训练。需注意每次完整运行会产生新的随机划分，因此具体数值会有小幅波动，但定性趋势保持稳定。</w:t>
      </w:r>
    </w:p>
    <w:p>
      <w:pPr>
        <w:spacing w:line="360" w:lineRule="auto" w:after="120" w:before="0"/>
        <w:ind w:firstLine="482"/>
      </w:pPr>
      <w:r>
        <w:rPr>
          <w:rFonts w:ascii="Times New Roman" w:hAnsi="Times New Roman" w:eastAsia="宋体" w:cs="Times New Roman"/>
          <w:b w:val="0"/>
          <w:i w:val="0"/>
          <w:color w:val="000000"/>
          <w:sz w:val="24"/>
        </w:rPr>
        <w:t>[图：数据探索]</w:t>
      </w:r>
    </w:p>
    <w:p>
      <w:pPr>
        <w:spacing w:line="360" w:lineRule="auto" w:after="120" w:before="0"/>
        <w:ind w:firstLine="482"/>
      </w:pPr>
      <w:r>
        <w:rPr>
          <w:rFonts w:ascii="Times New Roman" w:hAnsi="Times New Roman" w:eastAsia="宋体" w:cs="Times New Roman"/>
          <w:b w:val="0"/>
          <w:i w:val="0"/>
          <w:color w:val="000000"/>
          <w:sz w:val="24"/>
        </w:rPr>
        <w:t>图1 Iris数据集探索：花瓣长-宽散点图、花萼长-宽散点图、花瓣长-花萼长散点图反映三类样本的二维可分性；类别饼图展示各50条的均衡分布；箱线图展示三类在四个特征上的取值范围与离散程度</w:t>
      </w:r>
    </w:p>
    <w:p>
      <w:pPr>
        <w:spacing w:before="240" w:after="120" w:lineRule="auto" w:line="300"/>
        <w:jc w:val="left"/>
      </w:pPr>
      <w:r>
        <w:rPr>
          <w:rFonts w:ascii="Times New Roman" w:hAnsi="Times New Roman" w:eastAsia="宋体" w:cs="Times New Roman"/>
          <w:b/>
          <w:i w:val="0"/>
          <w:color w:val="000000"/>
          <w:sz w:val="28"/>
        </w:rPr>
        <w:t>2.2方法概览</w:t>
      </w:r>
    </w:p>
    <w:p>
      <w:pPr>
        <w:spacing w:line="360" w:lineRule="auto" w:after="120" w:before="0"/>
        <w:ind w:firstLine="482"/>
      </w:pPr>
      <w:r>
        <w:rPr>
          <w:rFonts w:ascii="Times New Roman" w:hAnsi="Times New Roman" w:eastAsia="宋体" w:cs="Times New Roman"/>
          <w:b w:val="0"/>
          <w:i w:val="0"/>
          <w:color w:val="000000"/>
          <w:sz w:val="24"/>
        </w:rPr>
        <w:t>共8类12个模型：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类别</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关键参数</w:t>
            </w:r>
          </w:p>
        </w:tc>
      </w:tr>
      <w:tr>
        <w:tc>
          <w:tcPr>
            <w:tcW w:type="dxa" w:w="2880"/>
          </w:tcPr>
          <w:p>
            <w:pPr>
              <w:jc w:val="center"/>
            </w:pPr>
            <w:r>
              <w:rPr>
                <w:rFonts w:ascii="Times New Roman" w:hAnsi="Times New Roman" w:eastAsia="宋体" w:cs="Times New Roman"/>
                <w:b w:val="0"/>
                <w:i w:val="0"/>
                <w:color w:val="000000"/>
                <w:sz w:val="24"/>
              </w:rPr>
              <w:t>线性</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LBFGS求解器, 正则化系数C = 1.0</w:t>
            </w:r>
          </w:p>
        </w:tc>
      </w:tr>
      <w:tr>
        <w:tc>
          <w:tcPr>
            <w:tcW w:type="dxa" w:w="2880"/>
          </w:tcPr>
          <w:p>
            <w:pPr>
              <w:jc w:val="center"/>
            </w:pPr>
            <w:r>
              <w:rPr>
                <w:rFonts w:ascii="Times New Roman" w:hAnsi="Times New Roman" w:eastAsia="宋体" w:cs="Times New Roman"/>
                <w:b w:val="0"/>
                <w:i w:val="0"/>
                <w:color w:val="000000"/>
                <w:sz w:val="24"/>
              </w:rPr>
              <w:t>核方法</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C = 1.0, 核宽度γ = scale</w:t>
            </w:r>
          </w:p>
        </w:tc>
      </w:tr>
      <w:tr>
        <w:tc>
          <w:tcPr>
            <w:tcW w:type="dxa" w:w="2880"/>
          </w:tcPr>
          <w:p>
            <w:pPr>
              <w:jc w:val="center"/>
            </w:pPr>
            <w:r>
              <w:rPr>
                <w:rFonts w:ascii="Times New Roman" w:hAnsi="Times New Roman" w:eastAsia="宋体" w:cs="Times New Roman"/>
                <w:b w:val="0"/>
                <w:i w:val="0"/>
                <w:color w:val="000000"/>
                <w:sz w:val="24"/>
              </w:rPr>
              <w:t>树</w:t>
            </w:r>
          </w:p>
        </w:tc>
        <w:tc>
          <w:tcPr>
            <w:tcW w:type="dxa" w:w="2880"/>
          </w:tcPr>
          <w:p>
            <w:pPr>
              <w:jc w:val="center"/>
            </w:pPr>
            <w:r>
              <w:rPr>
                <w:rFonts w:ascii="Times New Roman" w:hAnsi="Times New Roman" w:eastAsia="宋体" w:cs="Times New Roman"/>
                <w:b w:val="0"/>
                <w:i w:val="0"/>
                <w:color w:val="000000"/>
                <w:sz w:val="24"/>
              </w:rPr>
              <w:t>决策树（深度为3）</w:t>
            </w:r>
          </w:p>
        </w:tc>
        <w:tc>
          <w:tcPr>
            <w:tcW w:type="dxa" w:w="2880"/>
          </w:tcPr>
          <w:p>
            <w:pPr>
              <w:jc w:val="center"/>
            </w:pPr>
            <w:r>
              <w:rPr>
                <w:rFonts w:ascii="Times New Roman" w:hAnsi="Times New Roman" w:eastAsia="宋体" w:cs="Times New Roman"/>
                <w:b w:val="0"/>
                <w:i w:val="0"/>
                <w:color w:val="000000"/>
                <w:sz w:val="24"/>
              </w:rPr>
              <w:t>最大深度3</w:t>
            </w:r>
          </w:p>
        </w:tc>
      </w:tr>
      <w:tr>
        <w:tc>
          <w:tcPr>
            <w:tcW w:type="dxa" w:w="2880"/>
          </w:tcPr>
          <w:p>
            <w:pPr>
              <w:jc w:val="center"/>
            </w:pPr>
            <w:r>
              <w:rPr>
                <w:rFonts w:ascii="Times New Roman" w:hAnsi="Times New Roman" w:eastAsia="宋体" w:cs="Times New Roman"/>
                <w:b w:val="0"/>
                <w:i w:val="0"/>
                <w:color w:val="000000"/>
                <w:sz w:val="24"/>
              </w:rPr>
              <w:t>Bagging集成</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100棵树, 最大深度5</w:t>
            </w:r>
          </w:p>
        </w:tc>
      </w:tr>
      <w:tr>
        <w:tc>
          <w:tcPr>
            <w:tcW w:type="dxa" w:w="2880"/>
          </w:tcPr>
          <w:p>
            <w:pPr>
              <w:jc w:val="center"/>
            </w:pPr>
            <w:r>
              <w:rPr>
                <w:rFonts w:ascii="Times New Roman" w:hAnsi="Times New Roman" w:eastAsia="宋体" w:cs="Times New Roman"/>
                <w:b w:val="0"/>
                <w:i w:val="0"/>
                <w:color w:val="000000"/>
                <w:sz w:val="24"/>
              </w:rPr>
              <w:t>Boosting集成</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100棵树, 学习率0.1, 最大深度3</w:t>
            </w:r>
          </w:p>
        </w:tc>
      </w:tr>
      <w:tr>
        <w:tc>
          <w:tcPr>
            <w:tcW w:type="dxa" w:w="2880"/>
          </w:tcPr>
          <w:p>
            <w:pPr>
              <w:jc w:val="center"/>
            </w:pPr>
            <w:r>
              <w:rPr>
                <w:rFonts w:ascii="Times New Roman" w:hAnsi="Times New Roman" w:eastAsia="宋体" w:cs="Times New Roman"/>
                <w:b w:val="0"/>
                <w:i w:val="0"/>
                <w:color w:val="000000"/>
                <w:sz w:val="24"/>
              </w:rPr>
              <w:t>距离</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近邻数5</w:t>
            </w:r>
          </w:p>
        </w:tc>
      </w:tr>
      <w:tr>
        <w:tc>
          <w:tcPr>
            <w:tcW w:type="dxa" w:w="2880"/>
          </w:tcPr>
          <w:p>
            <w:pPr>
              <w:jc w:val="center"/>
            </w:pPr>
            <w:r>
              <w:rPr>
                <w:rFonts w:ascii="Times New Roman" w:hAnsi="Times New Roman" w:eastAsia="宋体" w:cs="Times New Roman"/>
                <w:b w:val="0"/>
                <w:i w:val="0"/>
                <w:color w:val="000000"/>
                <w:sz w:val="24"/>
              </w:rPr>
              <w:t>神经网络</w:t>
            </w:r>
          </w:p>
        </w:tc>
        <w:tc>
          <w:tcPr>
            <w:tcW w:type="dxa" w:w="2880"/>
          </w:tcPr>
          <w:p>
            <w:pPr>
              <w:jc w:val="center"/>
            </w:pPr>
            <w:r>
              <w:rPr>
                <w:rFonts w:ascii="Times New Roman" w:hAnsi="Times New Roman" w:eastAsia="宋体" w:cs="Times New Roman"/>
                <w:b w:val="0"/>
                <w:i w:val="0"/>
                <w:color w:val="000000"/>
                <w:sz w:val="24"/>
              </w:rPr>
              <w:t>MLP四组手动配置</w:t>
            </w:r>
          </w:p>
        </w:tc>
        <w:tc>
          <w:tcPr>
            <w:tcW w:type="dxa" w:w="2880"/>
          </w:tcPr>
          <w:p>
            <w:pPr>
              <w:jc w:val="center"/>
            </w:pPr>
            <w:r>
              <w:rPr>
                <w:rFonts w:ascii="Times New Roman" w:hAnsi="Times New Roman" w:eastAsia="宋体" w:cs="Times New Roman"/>
                <w:b w:val="0"/>
                <w:i w:val="0"/>
                <w:color w:val="000000"/>
                <w:sz w:val="24"/>
              </w:rPr>
              <w:t>详见下文</w:t>
            </w:r>
          </w:p>
        </w:tc>
      </w:tr>
      <w:tr>
        <w:tc>
          <w:tcPr>
            <w:tcW w:type="dxa" w:w="2880"/>
          </w:tcPr>
          <w:p>
            <w:pPr>
              <w:jc w:val="center"/>
            </w:pPr>
            <w:r>
              <w:rPr>
                <w:rFonts w:ascii="Times New Roman" w:hAnsi="Times New Roman" w:eastAsia="宋体" w:cs="Times New Roman"/>
                <w:b w:val="0"/>
                <w:i w:val="0"/>
                <w:color w:val="000000"/>
                <w:sz w:val="24"/>
              </w:rPr>
              <w:t>神经网络+调参</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自动扫描32组参数</w:t>
            </w:r>
          </w:p>
        </w:tc>
      </w:tr>
      <w:tr>
        <w:tc>
          <w:tcPr>
            <w:tcW w:type="dxa" w:w="2880"/>
          </w:tcPr>
          <w:p>
            <w:pPr>
              <w:jc w:val="center"/>
            </w:pPr>
            <w:r>
              <w:rPr>
                <w:rFonts w:ascii="Times New Roman" w:hAnsi="Times New Roman" w:eastAsia="宋体" w:cs="Times New Roman"/>
                <w:b w:val="0"/>
                <w:i w:val="0"/>
                <w:color w:val="000000"/>
                <w:sz w:val="24"/>
              </w:rPr>
              <w:t>概率</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w:t>
            </w:r>
          </w:p>
        </w:tc>
      </w:tr>
    </w:tbl>
    <w:p/>
    <w:p>
      <w:pPr>
        <w:spacing w:line="360" w:lineRule="auto" w:after="120" w:before="0"/>
        <w:ind w:firstLine="482"/>
      </w:pPr>
      <w:r>
        <w:rPr>
          <w:rFonts w:ascii="Times New Roman" w:hAnsi="Times New Roman" w:eastAsia="宋体" w:cs="Times New Roman"/>
          <w:b w:val="0"/>
          <w:i w:val="0"/>
          <w:color w:val="000000"/>
          <w:sz w:val="24"/>
        </w:rPr>
        <w:t>四组手动MLP配置如下：两隐层16-8，两隐层32-8，两隐层64-32，三隐层32-16-8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pPr>
        <w:spacing w:line="360" w:lineRule="auto" w:after="120" w:before="0"/>
        <w:ind w:firstLine="482"/>
      </w:pPr>
      <w:r>
        <w:rPr>
          <w:rFonts w:ascii="Times New Roman" w:hAnsi="Times New Roman" w:eastAsia="宋体" w:cs="Times New Roman"/>
          <w:b w:val="0"/>
          <w:i w:val="0"/>
          <w:color w:val="000000"/>
          <w:sz w:val="24"/>
        </w:rPr>
        <w:t>[图：决策边界]</w:t>
      </w:r>
    </w:p>
    <w:p>
      <w:pPr>
        <w:spacing w:line="360" w:lineRule="auto" w:after="120" w:before="0"/>
        <w:ind w:firstLine="482"/>
      </w:pPr>
      <w:r>
        <w:rPr>
          <w:rFonts w:ascii="Times New Roman" w:hAnsi="Times New Roman" w:eastAsia="宋体" w:cs="Times New Roman"/>
          <w:b w:val="0"/>
          <w:i w:val="0"/>
          <w:color w:val="000000"/>
          <w:sz w:val="24"/>
        </w:rPr>
        <w:t>图2八模型在花瓣长-宽平面上的决策边界对比：左上子图为训练数据真实分布，其余七子图为各模型仅在花瓣长、花瓣宽两个特征上训练后的分类区域与测试样本分布，标注对应测试准确率</w:t>
      </w:r>
    </w:p>
    <w:p>
      <w:pPr>
        <w:spacing w:before="240" w:after="120" w:lineRule="auto" w:line="300"/>
        <w:jc w:val="left"/>
      </w:pPr>
      <w:r>
        <w:rPr>
          <w:rFonts w:ascii="Times New Roman" w:hAnsi="Times New Roman" w:eastAsia="宋体" w:cs="Times New Roman"/>
          <w:b/>
          <w:i w:val="0"/>
          <w:color w:val="000000"/>
          <w:sz w:val="32"/>
        </w:rPr>
        <w:t>3. 实验结果与发现</w:t>
      </w:r>
    </w:p>
    <w:p>
      <w:pPr>
        <w:spacing w:before="240" w:after="120" w:lineRule="auto" w:line="300"/>
        <w:jc w:val="left"/>
      </w:pPr>
      <w:r>
        <w:rPr>
          <w:rFonts w:ascii="Times New Roman" w:hAnsi="Times New Roman" w:eastAsia="宋体" w:cs="Times New Roman"/>
          <w:b/>
          <w:i w:val="0"/>
          <w:color w:val="000000"/>
          <w:sz w:val="28"/>
        </w:rPr>
        <w:t>3.1整体表现</w:t>
      </w:r>
    </w:p>
    <w:p>
      <w:pPr>
        <w:spacing w:line="360" w:lineRule="auto" w:after="120" w:before="0"/>
        <w:ind w:firstLine="482"/>
      </w:pPr>
      <w:r>
        <w:rPr>
          <w:rFonts w:ascii="Times New Roman" w:hAnsi="Times New Roman" w:eastAsia="宋体" w:cs="Times New Roman"/>
          <w:b w:val="0"/>
          <w:i w:val="0"/>
          <w:color w:val="000000"/>
          <w:sz w:val="24"/>
        </w:rPr>
        <w:t>10次试验的测试准确率均值与标准差如下，按均值降序排列：</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eastAsia="宋体" w:cs="Times New Roman"/>
                <w:b/>
                <w:i w:val="0"/>
                <w:color w:val="000000"/>
                <w:sz w:val="24"/>
              </w:rPr>
              <w:t>排名</w:t>
            </w:r>
          </w:p>
        </w:tc>
        <w:tc>
          <w:tcPr>
            <w:tcW w:type="dxa" w:w="2880"/>
          </w:tcPr>
          <w:p>
            <w:pPr>
              <w:jc w:val="center"/>
            </w:pPr>
            <w:r>
              <w:rPr>
                <w:rFonts w:ascii="Times New Roman" w:hAnsi="Times New Roman" w:eastAsia="宋体" w:cs="Times New Roman"/>
                <w:b/>
                <w:i w:val="0"/>
                <w:color w:val="000000"/>
                <w:sz w:val="24"/>
              </w:rPr>
              <w:t>模型</w:t>
            </w:r>
          </w:p>
        </w:tc>
        <w:tc>
          <w:tcPr>
            <w:tcW w:type="dxa" w:w="2880"/>
          </w:tcPr>
          <w:p>
            <w:pPr>
              <w:jc w:val="center"/>
            </w:pPr>
            <w:r>
              <w:rPr>
                <w:rFonts w:ascii="Times New Roman" w:hAnsi="Times New Roman" w:eastAsia="宋体" w:cs="Times New Roman"/>
                <w:b/>
                <w:i w:val="0"/>
                <w:color w:val="000000"/>
                <w:sz w:val="24"/>
              </w:rPr>
              <w:t>准确率</w:t>
            </w:r>
          </w:p>
        </w:tc>
      </w:tr>
      <w:tr>
        <w:tc>
          <w:tcPr>
            <w:tcW w:type="dxa" w:w="2880"/>
          </w:tcPr>
          <w:p>
            <w:pPr>
              <w:jc w:val="center"/>
            </w:pPr>
            <w:r>
              <w:rPr>
                <w:rFonts w:ascii="Times New Roman" w:hAnsi="Times New Roman" w:eastAsia="宋体" w:cs="Times New Roman"/>
                <w:b w:val="0"/>
                <w:i w:val="0"/>
                <w:color w:val="000000"/>
                <w:sz w:val="24"/>
              </w:rPr>
              <w:t>1</w:t>
            </w:r>
          </w:p>
        </w:tc>
        <w:tc>
          <w:tcPr>
            <w:tcW w:type="dxa" w:w="2880"/>
          </w:tcPr>
          <w:p>
            <w:pPr>
              <w:jc w:val="center"/>
            </w:pPr>
            <w:r>
              <w:rPr>
                <w:rFonts w:ascii="Times New Roman" w:hAnsi="Times New Roman" w:eastAsia="宋体" w:cs="Times New Roman"/>
                <w:b w:val="0"/>
                <w:i w:val="0"/>
                <w:color w:val="000000"/>
                <w:sz w:val="24"/>
              </w:rPr>
              <w:t>MLP网格搜索最优</w:t>
            </w:r>
          </w:p>
        </w:tc>
        <w:tc>
          <w:tcPr>
            <w:tcW w:type="dxa" w:w="2880"/>
          </w:tcPr>
          <w:p>
            <w:pPr>
              <w:jc w:val="center"/>
            </w:pPr>
            <w:r>
              <w:rPr>
                <w:rFonts w:ascii="Times New Roman" w:hAnsi="Times New Roman" w:eastAsia="宋体" w:cs="Times New Roman"/>
                <w:b w:val="0"/>
                <w:i w:val="0"/>
                <w:color w:val="000000"/>
                <w:sz w:val="24"/>
              </w:rPr>
              <w:t>95.8%±3.4%</w:t>
            </w:r>
          </w:p>
        </w:tc>
      </w:tr>
      <w:tr>
        <w:tc>
          <w:tcPr>
            <w:tcW w:type="dxa" w:w="2880"/>
          </w:tcPr>
          <w:p>
            <w:pPr>
              <w:jc w:val="center"/>
            </w:pPr>
            <w:r>
              <w:rPr>
                <w:rFonts w:ascii="Times New Roman" w:hAnsi="Times New Roman" w:eastAsia="宋体" w:cs="Times New Roman"/>
                <w:b w:val="0"/>
                <w:i w:val="0"/>
                <w:color w:val="000000"/>
                <w:sz w:val="24"/>
              </w:rPr>
              <w:t>2</w:t>
            </w:r>
          </w:p>
        </w:tc>
        <w:tc>
          <w:tcPr>
            <w:tcW w:type="dxa" w:w="2880"/>
          </w:tcPr>
          <w:p>
            <w:pPr>
              <w:jc w:val="center"/>
            </w:pPr>
            <w:r>
              <w:rPr>
                <w:rFonts w:ascii="Times New Roman" w:hAnsi="Times New Roman" w:eastAsia="宋体" w:cs="Times New Roman"/>
                <w:b w:val="0"/>
                <w:i w:val="0"/>
                <w:color w:val="000000"/>
                <w:sz w:val="24"/>
              </w:rPr>
              <w:t>SVM（RBF核）</w:t>
            </w:r>
          </w:p>
        </w:tc>
        <w:tc>
          <w:tcPr>
            <w:tcW w:type="dxa" w:w="2880"/>
          </w:tcPr>
          <w:p>
            <w:pPr>
              <w:jc w:val="center"/>
            </w:pPr>
            <w:r>
              <w:rPr>
                <w:rFonts w:ascii="Times New Roman" w:hAnsi="Times New Roman" w:eastAsia="宋体" w:cs="Times New Roman"/>
                <w:b w:val="0"/>
                <w:i w:val="0"/>
                <w:color w:val="000000"/>
                <w:sz w:val="24"/>
              </w:rPr>
              <w:t>95.1%±2.6%</w:t>
            </w:r>
          </w:p>
        </w:tc>
      </w:tr>
      <w:tr>
        <w:tc>
          <w:tcPr>
            <w:tcW w:type="dxa" w:w="2880"/>
          </w:tcPr>
          <w:p>
            <w:pPr>
              <w:jc w:val="center"/>
            </w:pPr>
            <w:r>
              <w:rPr>
                <w:rFonts w:ascii="Times New Roman" w:hAnsi="Times New Roman" w:eastAsia="宋体" w:cs="Times New Roman"/>
                <w:b w:val="0"/>
                <w:i w:val="0"/>
                <w:color w:val="000000"/>
                <w:sz w:val="24"/>
              </w:rPr>
              <w:t>3</w:t>
            </w:r>
          </w:p>
        </w:tc>
        <w:tc>
          <w:tcPr>
            <w:tcW w:type="dxa" w:w="2880"/>
          </w:tcPr>
          <w:p>
            <w:pPr>
              <w:jc w:val="center"/>
            </w:pPr>
            <w:r>
              <w:rPr>
                <w:rFonts w:ascii="Times New Roman" w:hAnsi="Times New Roman" w:eastAsia="宋体" w:cs="Times New Roman"/>
                <w:b w:val="0"/>
                <w:i w:val="0"/>
                <w:color w:val="000000"/>
                <w:sz w:val="24"/>
              </w:rPr>
              <w:t>决策树</w:t>
            </w:r>
          </w:p>
        </w:tc>
        <w:tc>
          <w:tcPr>
            <w:tcW w:type="dxa" w:w="2880"/>
          </w:tcPr>
          <w:p>
            <w:pPr>
              <w:jc w:val="center"/>
            </w:pPr>
            <w:r>
              <w:rPr>
                <w:rFonts w:ascii="Times New Roman" w:hAnsi="Times New Roman" w:eastAsia="宋体" w:cs="Times New Roman"/>
                <w:b w:val="0"/>
                <w:i w:val="0"/>
                <w:color w:val="000000"/>
                <w:sz w:val="24"/>
              </w:rPr>
              <w:t>95.1%±2.8%</w:t>
            </w:r>
          </w:p>
        </w:tc>
      </w:tr>
      <w:tr>
        <w:tc>
          <w:tcPr>
            <w:tcW w:type="dxa" w:w="2880"/>
          </w:tcPr>
          <w:p>
            <w:pPr>
              <w:jc w:val="center"/>
            </w:pPr>
            <w:r>
              <w:rPr>
                <w:rFonts w:ascii="Times New Roman" w:hAnsi="Times New Roman" w:eastAsia="宋体" w:cs="Times New Roman"/>
                <w:b w:val="0"/>
                <w:i w:val="0"/>
                <w:color w:val="000000"/>
                <w:sz w:val="24"/>
              </w:rPr>
              <w:t>4</w:t>
            </w:r>
          </w:p>
        </w:tc>
        <w:tc>
          <w:tcPr>
            <w:tcW w:type="dxa" w:w="2880"/>
          </w:tcPr>
          <w:p>
            <w:pPr>
              <w:jc w:val="center"/>
            </w:pPr>
            <w:r>
              <w:rPr>
                <w:rFonts w:ascii="Times New Roman" w:hAnsi="Times New Roman" w:eastAsia="宋体" w:cs="Times New Roman"/>
                <w:b w:val="0"/>
                <w:i w:val="0"/>
                <w:color w:val="000000"/>
                <w:sz w:val="24"/>
              </w:rPr>
              <w:t>逻辑回归</w:t>
            </w:r>
          </w:p>
        </w:tc>
        <w:tc>
          <w:tcPr>
            <w:tcW w:type="dxa" w:w="2880"/>
          </w:tcPr>
          <w:p>
            <w:pPr>
              <w:jc w:val="center"/>
            </w:pPr>
            <w:r>
              <w:rPr>
                <w:rFonts w:ascii="Times New Roman" w:hAnsi="Times New Roman" w:eastAsia="宋体" w:cs="Times New Roman"/>
                <w:b w:val="0"/>
                <w:i w:val="0"/>
                <w:color w:val="000000"/>
                <w:sz w:val="24"/>
              </w:rPr>
              <w:t>94.9%±2.4%</w:t>
            </w:r>
          </w:p>
        </w:tc>
      </w:tr>
      <w:tr>
        <w:tc>
          <w:tcPr>
            <w:tcW w:type="dxa" w:w="2880"/>
          </w:tcPr>
          <w:p>
            <w:pPr>
              <w:jc w:val="center"/>
            </w:pPr>
            <w:r>
              <w:rPr>
                <w:rFonts w:ascii="Times New Roman" w:hAnsi="Times New Roman" w:eastAsia="宋体" w:cs="Times New Roman"/>
                <w:b w:val="0"/>
                <w:i w:val="0"/>
                <w:color w:val="000000"/>
                <w:sz w:val="24"/>
              </w:rPr>
              <w:t>5</w:t>
            </w:r>
          </w:p>
        </w:tc>
        <w:tc>
          <w:tcPr>
            <w:tcW w:type="dxa" w:w="2880"/>
          </w:tcPr>
          <w:p>
            <w:pPr>
              <w:jc w:val="center"/>
            </w:pPr>
            <w:r>
              <w:rPr>
                <w:rFonts w:ascii="Times New Roman" w:hAnsi="Times New Roman" w:eastAsia="宋体" w:cs="Times New Roman"/>
                <w:b w:val="0"/>
                <w:i w:val="0"/>
                <w:color w:val="000000"/>
                <w:sz w:val="24"/>
              </w:rPr>
              <w:t>MLP两隐层16-8</w:t>
            </w:r>
          </w:p>
        </w:tc>
        <w:tc>
          <w:tcPr>
            <w:tcW w:type="dxa" w:w="2880"/>
          </w:tcPr>
          <w:p>
            <w:pPr>
              <w:jc w:val="center"/>
            </w:pPr>
            <w:r>
              <w:rPr>
                <w:rFonts w:ascii="Times New Roman" w:hAnsi="Times New Roman" w:eastAsia="宋体" w:cs="Times New Roman"/>
                <w:b w:val="0"/>
                <w:i w:val="0"/>
                <w:color w:val="000000"/>
                <w:sz w:val="24"/>
              </w:rPr>
              <w:t>94.7%±3.9%</w:t>
            </w:r>
          </w:p>
        </w:tc>
      </w:tr>
      <w:tr>
        <w:tc>
          <w:tcPr>
            <w:tcW w:type="dxa" w:w="2880"/>
          </w:tcPr>
          <w:p>
            <w:pPr>
              <w:jc w:val="center"/>
            </w:pPr>
            <w:r>
              <w:rPr>
                <w:rFonts w:ascii="Times New Roman" w:hAnsi="Times New Roman" w:eastAsia="宋体" w:cs="Times New Roman"/>
                <w:b w:val="0"/>
                <w:i w:val="0"/>
                <w:color w:val="000000"/>
                <w:sz w:val="24"/>
              </w:rPr>
              <w:t>6</w:t>
            </w:r>
          </w:p>
        </w:tc>
        <w:tc>
          <w:tcPr>
            <w:tcW w:type="dxa" w:w="2880"/>
          </w:tcPr>
          <w:p>
            <w:pPr>
              <w:jc w:val="center"/>
            </w:pPr>
            <w:r>
              <w:rPr>
                <w:rFonts w:ascii="Times New Roman" w:hAnsi="Times New Roman" w:eastAsia="宋体" w:cs="Times New Roman"/>
                <w:b w:val="0"/>
                <w:i w:val="0"/>
                <w:color w:val="000000"/>
                <w:sz w:val="24"/>
              </w:rPr>
              <w:t>高斯朴素贝叶斯</w:t>
            </w:r>
          </w:p>
        </w:tc>
        <w:tc>
          <w:tcPr>
            <w:tcW w:type="dxa" w:w="2880"/>
          </w:tcPr>
          <w:p>
            <w:pPr>
              <w:jc w:val="center"/>
            </w:pPr>
            <w:r>
              <w:rPr>
                <w:rFonts w:ascii="Times New Roman" w:hAnsi="Times New Roman" w:eastAsia="宋体" w:cs="Times New Roman"/>
                <w:b w:val="0"/>
                <w:i w:val="0"/>
                <w:color w:val="000000"/>
                <w:sz w:val="24"/>
              </w:rPr>
              <w:t>94.7%±2.8%</w:t>
            </w:r>
          </w:p>
        </w:tc>
      </w:tr>
      <w:tr>
        <w:tc>
          <w:tcPr>
            <w:tcW w:type="dxa" w:w="2880"/>
          </w:tcPr>
          <w:p>
            <w:pPr>
              <w:jc w:val="center"/>
            </w:pPr>
            <w:r>
              <w:rPr>
                <w:rFonts w:ascii="Times New Roman" w:hAnsi="Times New Roman" w:eastAsia="宋体" w:cs="Times New Roman"/>
                <w:b w:val="0"/>
                <w:i w:val="0"/>
                <w:color w:val="000000"/>
                <w:sz w:val="24"/>
              </w:rPr>
              <w:t>7</w:t>
            </w:r>
          </w:p>
        </w:tc>
        <w:tc>
          <w:tcPr>
            <w:tcW w:type="dxa" w:w="2880"/>
          </w:tcPr>
          <w:p>
            <w:pPr>
              <w:jc w:val="center"/>
            </w:pPr>
            <w:r>
              <w:rPr>
                <w:rFonts w:ascii="Times New Roman" w:hAnsi="Times New Roman" w:eastAsia="宋体" w:cs="Times New Roman"/>
                <w:b w:val="0"/>
                <w:i w:val="0"/>
                <w:color w:val="000000"/>
                <w:sz w:val="24"/>
              </w:rPr>
              <w:t>随机森林</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8</w:t>
            </w:r>
          </w:p>
        </w:tc>
        <w:tc>
          <w:tcPr>
            <w:tcW w:type="dxa" w:w="2880"/>
          </w:tcPr>
          <w:p>
            <w:pPr>
              <w:jc w:val="center"/>
            </w:pPr>
            <w:r>
              <w:rPr>
                <w:rFonts w:ascii="Times New Roman" w:hAnsi="Times New Roman" w:eastAsia="宋体" w:cs="Times New Roman"/>
                <w:b w:val="0"/>
                <w:i w:val="0"/>
                <w:color w:val="000000"/>
                <w:sz w:val="24"/>
              </w:rPr>
              <w:t>MLP两隐层64-32</w:t>
            </w:r>
          </w:p>
        </w:tc>
        <w:tc>
          <w:tcPr>
            <w:tcW w:type="dxa" w:w="2880"/>
          </w:tcPr>
          <w:p>
            <w:pPr>
              <w:jc w:val="center"/>
            </w:pPr>
            <w:r>
              <w:rPr>
                <w:rFonts w:ascii="Times New Roman" w:hAnsi="Times New Roman" w:eastAsia="宋体" w:cs="Times New Roman"/>
                <w:b w:val="0"/>
                <w:i w:val="0"/>
                <w:color w:val="000000"/>
                <w:sz w:val="24"/>
              </w:rPr>
              <w:t>94.4%±3.2%</w:t>
            </w:r>
          </w:p>
        </w:tc>
      </w:tr>
      <w:tr>
        <w:tc>
          <w:tcPr>
            <w:tcW w:type="dxa" w:w="2880"/>
          </w:tcPr>
          <w:p>
            <w:pPr>
              <w:jc w:val="center"/>
            </w:pPr>
            <w:r>
              <w:rPr>
                <w:rFonts w:ascii="Times New Roman" w:hAnsi="Times New Roman" w:eastAsia="宋体" w:cs="Times New Roman"/>
                <w:b w:val="0"/>
                <w:i w:val="0"/>
                <w:color w:val="000000"/>
                <w:sz w:val="24"/>
              </w:rPr>
              <w:t>9</w:t>
            </w:r>
          </w:p>
        </w:tc>
        <w:tc>
          <w:tcPr>
            <w:tcW w:type="dxa" w:w="2880"/>
          </w:tcPr>
          <w:p>
            <w:pPr>
              <w:jc w:val="center"/>
            </w:pPr>
            <w:r>
              <w:rPr>
                <w:rFonts w:ascii="Times New Roman" w:hAnsi="Times New Roman" w:eastAsia="宋体" w:cs="Times New Roman"/>
                <w:b w:val="0"/>
                <w:i w:val="0"/>
                <w:color w:val="000000"/>
                <w:sz w:val="24"/>
              </w:rPr>
              <w:t>KNN（k = 5）</w:t>
            </w:r>
          </w:p>
        </w:tc>
        <w:tc>
          <w:tcPr>
            <w:tcW w:type="dxa" w:w="2880"/>
          </w:tcPr>
          <w:p>
            <w:pPr>
              <w:jc w:val="center"/>
            </w:pPr>
            <w:r>
              <w:rPr>
                <w:rFonts w:ascii="Times New Roman" w:hAnsi="Times New Roman" w:eastAsia="宋体" w:cs="Times New Roman"/>
                <w:b w:val="0"/>
                <w:i w:val="0"/>
                <w:color w:val="000000"/>
                <w:sz w:val="24"/>
              </w:rPr>
              <w:t>94.2%±2.8%</w:t>
            </w:r>
          </w:p>
        </w:tc>
      </w:tr>
      <w:tr>
        <w:tc>
          <w:tcPr>
            <w:tcW w:type="dxa" w:w="2880"/>
          </w:tcPr>
          <w:p>
            <w:pPr>
              <w:jc w:val="center"/>
            </w:pPr>
            <w:r>
              <w:rPr>
                <w:rFonts w:ascii="Times New Roman" w:hAnsi="Times New Roman" w:eastAsia="宋体" w:cs="Times New Roman"/>
                <w:b w:val="0"/>
                <w:i w:val="0"/>
                <w:color w:val="000000"/>
                <w:sz w:val="24"/>
              </w:rPr>
              <w:t>10</w:t>
            </w:r>
          </w:p>
        </w:tc>
        <w:tc>
          <w:tcPr>
            <w:tcW w:type="dxa" w:w="2880"/>
          </w:tcPr>
          <w:p>
            <w:pPr>
              <w:jc w:val="center"/>
            </w:pPr>
            <w:r>
              <w:rPr>
                <w:rFonts w:ascii="Times New Roman" w:hAnsi="Times New Roman" w:eastAsia="宋体" w:cs="Times New Roman"/>
                <w:b w:val="0"/>
                <w:i w:val="0"/>
                <w:color w:val="000000"/>
                <w:sz w:val="24"/>
              </w:rPr>
              <w:t>MLP两隐层32-8</w:t>
            </w:r>
          </w:p>
        </w:tc>
        <w:tc>
          <w:tcPr>
            <w:tcW w:type="dxa" w:w="2880"/>
          </w:tcPr>
          <w:p>
            <w:pPr>
              <w:jc w:val="center"/>
            </w:pPr>
            <w:r>
              <w:rPr>
                <w:rFonts w:ascii="Times New Roman" w:hAnsi="Times New Roman" w:eastAsia="宋体" w:cs="Times New Roman"/>
                <w:b w:val="0"/>
                <w:i w:val="0"/>
                <w:color w:val="000000"/>
                <w:sz w:val="24"/>
              </w:rPr>
              <w:t>93.8%±3.6%</w:t>
            </w:r>
          </w:p>
        </w:tc>
      </w:tr>
      <w:tr>
        <w:tc>
          <w:tcPr>
            <w:tcW w:type="dxa" w:w="2880"/>
          </w:tcPr>
          <w:p>
            <w:pPr>
              <w:jc w:val="center"/>
            </w:pPr>
            <w:r>
              <w:rPr>
                <w:rFonts w:ascii="Times New Roman" w:hAnsi="Times New Roman" w:eastAsia="宋体" w:cs="Times New Roman"/>
                <w:b w:val="0"/>
                <w:i w:val="0"/>
                <w:color w:val="000000"/>
                <w:sz w:val="24"/>
              </w:rPr>
              <w:t>11</w:t>
            </w:r>
          </w:p>
        </w:tc>
        <w:tc>
          <w:tcPr>
            <w:tcW w:type="dxa" w:w="2880"/>
          </w:tcPr>
          <w:p>
            <w:pPr>
              <w:jc w:val="center"/>
            </w:pPr>
            <w:r>
              <w:rPr>
                <w:rFonts w:ascii="Times New Roman" w:hAnsi="Times New Roman" w:eastAsia="宋体" w:cs="Times New Roman"/>
                <w:b w:val="0"/>
                <w:i w:val="0"/>
                <w:color w:val="000000"/>
                <w:sz w:val="24"/>
              </w:rPr>
              <w:t>MLP三隐层32-16-8</w:t>
            </w:r>
          </w:p>
        </w:tc>
        <w:tc>
          <w:tcPr>
            <w:tcW w:type="dxa" w:w="2880"/>
          </w:tcPr>
          <w:p>
            <w:pPr>
              <w:jc w:val="center"/>
            </w:pPr>
            <w:r>
              <w:rPr>
                <w:rFonts w:ascii="Times New Roman" w:hAnsi="Times New Roman" w:eastAsia="宋体" w:cs="Times New Roman"/>
                <w:b w:val="0"/>
                <w:i w:val="0"/>
                <w:color w:val="000000"/>
                <w:sz w:val="24"/>
              </w:rPr>
              <w:t>93.6%±3.2%</w:t>
            </w:r>
          </w:p>
        </w:tc>
      </w:tr>
      <w:tr>
        <w:tc>
          <w:tcPr>
            <w:tcW w:type="dxa" w:w="2880"/>
          </w:tcPr>
          <w:p>
            <w:pPr>
              <w:jc w:val="center"/>
            </w:pPr>
            <w:r>
              <w:rPr>
                <w:rFonts w:ascii="Times New Roman" w:hAnsi="Times New Roman" w:eastAsia="宋体" w:cs="Times New Roman"/>
                <w:b w:val="0"/>
                <w:i w:val="0"/>
                <w:color w:val="000000"/>
                <w:sz w:val="24"/>
              </w:rPr>
              <w:t>12</w:t>
            </w:r>
          </w:p>
        </w:tc>
        <w:tc>
          <w:tcPr>
            <w:tcW w:type="dxa" w:w="2880"/>
          </w:tcPr>
          <w:p>
            <w:pPr>
              <w:jc w:val="center"/>
            </w:pPr>
            <w:r>
              <w:rPr>
                <w:rFonts w:ascii="Times New Roman" w:hAnsi="Times New Roman" w:eastAsia="宋体" w:cs="Times New Roman"/>
                <w:b w:val="0"/>
                <w:i w:val="0"/>
                <w:color w:val="000000"/>
                <w:sz w:val="24"/>
              </w:rPr>
              <w:t>梯度提升树</w:t>
            </w:r>
          </w:p>
        </w:tc>
        <w:tc>
          <w:tcPr>
            <w:tcW w:type="dxa" w:w="2880"/>
          </w:tcPr>
          <w:p>
            <w:pPr>
              <w:jc w:val="center"/>
            </w:pPr>
            <w:r>
              <w:rPr>
                <w:rFonts w:ascii="Times New Roman" w:hAnsi="Times New Roman" w:eastAsia="宋体" w:cs="Times New Roman"/>
                <w:b w:val="0"/>
                <w:i w:val="0"/>
                <w:color w:val="000000"/>
                <w:sz w:val="24"/>
              </w:rPr>
              <w:t>93.6%±2.7%</w:t>
            </w:r>
          </w:p>
        </w:tc>
      </w:tr>
    </w:tbl>
    <w:p/>
    <w:p>
      <w:pPr>
        <w:spacing w:line="360" w:lineRule="auto" w:after="120" w:before="0"/>
        <w:ind w:firstLine="482"/>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两隐层16-8配置波动最大，为3.9%，但这一波动差异也未大到可断言某一模型明显更不稳定。</w:t>
      </w:r>
    </w:p>
    <w:p>
      <w:pPr>
        <w:spacing w:line="360" w:lineRule="auto" w:after="120" w:before="0"/>
        <w:ind w:firstLine="482"/>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pPr>
        <w:spacing w:line="360" w:lineRule="auto" w:after="120" w:before="0"/>
        <w:ind w:firstLine="482"/>
      </w:pPr>
      <w:r>
        <w:rPr>
          <w:rFonts w:ascii="Times New Roman" w:hAnsi="Times New Roman" w:eastAsia="宋体" w:cs="Times New Roman"/>
          <w:b w:val="0"/>
          <w:i w:val="0"/>
          <w:color w:val="000000"/>
          <w:sz w:val="24"/>
        </w:rPr>
        <w:t>[图：综合对比总结]</w:t>
      </w:r>
    </w:p>
    <w:p>
      <w:pPr>
        <w:spacing w:line="360" w:lineRule="auto" w:after="120" w:before="0"/>
        <w:ind w:firstLine="482"/>
      </w:pPr>
      <w:r>
        <w:rPr>
          <w:rFonts w:ascii="Times New Roman" w:hAnsi="Times New Roman" w:eastAsia="宋体" w:cs="Times New Roman"/>
          <w:b w:val="0"/>
          <w:i w:val="0"/>
          <w:color w:val="000000"/>
          <w:sz w:val="24"/>
        </w:rPr>
        <w:t>图3综合对比总结：上部为10次试验各方法准确率条形图（含标准差误差棒）；中部为各类别F1-Score对比（10次试验平均）；下部为宏平均ROC曲线（10次试验预测拼接后以OvR方式计算，以setosa为例展示）</w:t>
      </w:r>
    </w:p>
    <w:p>
      <w:pPr>
        <w:spacing w:line="360" w:lineRule="auto" w:after="120" w:before="0"/>
        <w:ind w:firstLine="482"/>
      </w:pPr>
      <w:r>
        <w:rPr>
          <w:rFonts w:ascii="Times New Roman" w:hAnsi="Times New Roman" w:eastAsia="宋体" w:cs="Times New Roman"/>
          <w:b w:val="0"/>
          <w:i w:val="0"/>
          <w:color w:val="000000"/>
          <w:sz w:val="24"/>
        </w:rPr>
        <w:t>[图：混淆矩阵汇总]</w:t>
      </w:r>
    </w:p>
    <w:p>
      <w:pPr>
        <w:spacing w:line="360" w:lineRule="auto" w:after="120" w:before="0"/>
        <w:ind w:firstLine="482"/>
      </w:pPr>
      <w:r>
        <w:rPr>
          <w:rFonts w:ascii="Times New Roman" w:hAnsi="Times New Roman" w:eastAsia="宋体" w:cs="Times New Roman"/>
          <w:b w:val="0"/>
          <w:i w:val="0"/>
          <w:color w:val="000000"/>
          <w:sz w:val="24"/>
        </w:rPr>
        <w:t>图4八方法混淆矩阵汇总：将10次试验所有预测拼接为约450条样本后统一计算，每子图标注方法名称，颜色深浅反映预测数量</w:t>
      </w:r>
    </w:p>
    <w:p>
      <w:pPr>
        <w:spacing w:before="240" w:after="120" w:lineRule="auto" w:line="300"/>
        <w:jc w:val="left"/>
      </w:pPr>
      <w:r>
        <w:rPr>
          <w:rFonts w:ascii="Times New Roman" w:hAnsi="Times New Roman" w:eastAsia="宋体" w:cs="Times New Roman"/>
          <w:b/>
          <w:i w:val="0"/>
          <w:color w:val="000000"/>
          <w:sz w:val="28"/>
        </w:rPr>
        <w:t>3.2交叉验证</w:t>
      </w:r>
    </w:p>
    <w:p>
      <w:pPr>
        <w:spacing w:line="360" w:lineRule="auto" w:after="120" w:before="0"/>
        <w:ind w:firstLine="482"/>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pPr>
        <w:spacing w:line="360" w:lineRule="auto" w:after="120" w:before="0"/>
        <w:ind w:firstLine="482"/>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pPr>
        <w:spacing w:line="360" w:lineRule="auto" w:after="120" w:before="0"/>
        <w:ind w:firstLine="482"/>
      </w:pPr>
      <w:r>
        <w:rPr>
          <w:rFonts w:ascii="Times New Roman" w:hAnsi="Times New Roman" w:eastAsia="宋体" w:cs="Times New Roman"/>
          <w:b w:val="0"/>
          <w:i w:val="0"/>
          <w:color w:val="000000"/>
          <w:sz w:val="24"/>
        </w:rPr>
        <w:t>[图：交叉验证对比]</w:t>
      </w:r>
    </w:p>
    <w:p>
      <w:pPr>
        <w:spacing w:line="360" w:lineRule="auto" w:after="120" w:before="0"/>
        <w:ind w:firstLine="482"/>
      </w:pPr>
      <w:r>
        <w:rPr>
          <w:rFonts w:ascii="Times New Roman" w:hAnsi="Times New Roman" w:eastAsia="宋体" w:cs="Times New Roman"/>
          <w:b w:val="0"/>
          <w:i w:val="0"/>
          <w:color w:val="000000"/>
          <w:sz w:val="24"/>
        </w:rPr>
        <w:t>图5六模型5折交叉验证对比：10次试验各执行5折分层交叉验证，共50个得分跨试验取均值，误差棒为各次试验内折叠间的平均标准差</w:t>
      </w:r>
    </w:p>
    <w:p>
      <w:pPr>
        <w:spacing w:before="240" w:after="120" w:lineRule="auto" w:line="300"/>
        <w:jc w:val="left"/>
      </w:pPr>
      <w:r>
        <w:rPr>
          <w:rFonts w:ascii="Times New Roman" w:hAnsi="Times New Roman" w:eastAsia="宋体" w:cs="Times New Roman"/>
          <w:b/>
          <w:i w:val="0"/>
          <w:color w:val="000000"/>
          <w:sz w:val="28"/>
        </w:rPr>
        <w:t>3.3 MLP各配置对比</w:t>
      </w:r>
    </w:p>
    <w:p>
      <w:pPr>
        <w:spacing w:line="360" w:lineRule="auto" w:after="120" w:before="0"/>
        <w:ind w:firstLine="482"/>
      </w:pPr>
      <w:r>
        <w:rPr>
          <w:rFonts w:ascii="Times New Roman" w:hAnsi="Times New Roman" w:eastAsia="宋体" w:cs="Times New Roman"/>
          <w:b w:val="0"/>
          <w:i w:val="0"/>
          <w:color w:val="000000"/>
          <w:sz w:val="24"/>
        </w:rPr>
        <w:t>五个MLP配置的表现分为三个层次：网格搜索最优，达95.8%；两隐层16-8和两隐层64-32居中，分别为94.7%和94.4%；三隐层32-16-8和两隐层32-8靠后，分别为93.6%和93.8%。</w:t>
      </w:r>
    </w:p>
    <w:p>
      <w:pPr>
        <w:spacing w:line="360" w:lineRule="auto" w:after="120" w:before="0"/>
        <w:ind w:firstLine="482"/>
      </w:pPr>
      <w:r>
        <w:rPr>
          <w:rFonts w:ascii="Times New Roman" w:hAnsi="Times New Roman" w:eastAsia="宋体" w:cs="Times New Roman"/>
          <w:b w:val="0"/>
          <w:i w:val="0"/>
          <w:color w:val="000000"/>
          <w:sz w:val="24"/>
        </w:rPr>
        <w:t>两隐层16-8的配置较三隐层32-16-8高出1.1个百分点——增加层数反而导致性能下降。原因在于Iris总共150条样本，三隐层网络4个输入经32、16、8个神经元最终映射到3个输出，可训练参数超过600个，对训练集形成了过参数化，模型倾向于记忆噪声而非学习模式。</w:t>
      </w:r>
    </w:p>
    <w:p>
      <w:pPr>
        <w:spacing w:line="360" w:lineRule="auto" w:after="120" w:before="0"/>
        <w:ind w:firstLine="482"/>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共产生8种不同配置，出现频次最高的配置也仅出现2次。一种常见配置为ReLU激活函数配合0.0001的正则化系数和两隐层16-8结构，另一种为Tanh配合0.0001的正则化系数和两隐层64-32结构。这表明在小数据集上，交叉验证每轮选出的最优参数高度依赖当次的数据划分，不应将其视为全局最优。但从平均效果来看，扫描参数空间这一动作确实能提升性能——只是不应过度信赖单次搜索结果。</w:t>
      </w:r>
    </w:p>
    <w:p>
      <w:pPr>
        <w:spacing w:line="360" w:lineRule="auto" w:after="120" w:before="0"/>
        <w:ind w:firstLine="482"/>
      </w:pPr>
      <w:r>
        <w:rPr>
          <w:rFonts w:ascii="Times New Roman" w:hAnsi="Times New Roman" w:eastAsia="宋体" w:cs="Times New Roman"/>
          <w:b w:val="0"/>
          <w:i w:val="0"/>
          <w:color w:val="000000"/>
          <w:sz w:val="24"/>
        </w:rPr>
        <w:t>手动两隐层16-8的正则化系数为0.001，而网格搜索更倾向于选到0.0001，即更弱的正则化。对Iris这种简单数据，适度放松正则化让模型更充分地拟合训练集，约为网格搜索版本带来了额外收益，但代价是增加了过拟合风险。</w:t>
      </w:r>
    </w:p>
    <w:p>
      <w:pPr>
        <w:spacing w:line="360" w:lineRule="auto" w:after="120" w:before="0"/>
        <w:ind w:firstLine="482"/>
      </w:pPr>
      <w:r>
        <w:rPr>
          <w:rFonts w:ascii="Times New Roman" w:hAnsi="Times New Roman" w:eastAsia="宋体" w:cs="Times New Roman"/>
          <w:b w:val="0"/>
          <w:i w:val="0"/>
          <w:color w:val="000000"/>
          <w:sz w:val="24"/>
        </w:rPr>
        <w:t>[图：MLP分析]</w:t>
      </w:r>
    </w:p>
    <w:p>
      <w:pPr>
        <w:spacing w:line="360" w:lineRule="auto" w:after="120" w:before="0"/>
        <w:ind w:firstLine="482"/>
      </w:pPr>
      <w:r>
        <w:rPr>
          <w:rFonts w:ascii="Times New Roman" w:hAnsi="Times New Roman" w:eastAsia="宋体" w:cs="Times New Roman"/>
          <w:b w:val="0"/>
          <w:i w:val="0"/>
          <w:color w:val="000000"/>
          <w:sz w:val="24"/>
        </w:rPr>
        <w:t>图6 MLP深入分析：左上为四种手动架构与网格搜索最优的准确率对比（末次划分）；右上为三隐层32-16-8的训练损失曲线；中右为网格搜索混淆矩阵（10次拼接）；左下为网格搜索中不同架构随正则化系数α变化的交叉验证准确率，右下为L2正则强度扫描与激活函数对比</w:t>
      </w:r>
    </w:p>
    <w:p>
      <w:pPr>
        <w:spacing w:line="360" w:lineRule="auto" w:after="120" w:before="0"/>
        <w:ind w:firstLine="482"/>
      </w:pPr>
      <w:r>
        <w:rPr>
          <w:rFonts w:ascii="Times New Roman" w:hAnsi="Times New Roman" w:eastAsia="宋体" w:cs="Times New Roman"/>
          <w:b w:val="0"/>
          <w:i w:val="0"/>
          <w:color w:val="000000"/>
          <w:sz w:val="24"/>
        </w:rPr>
        <w:t>[图：MLP训练曲线]</w:t>
      </w:r>
    </w:p>
    <w:p>
      <w:pPr>
        <w:spacing w:line="360" w:lineRule="auto" w:after="120" w:before="0"/>
        <w:ind w:firstLine="482"/>
      </w:pPr>
      <w:r>
        <w:rPr>
          <w:rFonts w:ascii="Times New Roman" w:hAnsi="Times New Roman" w:eastAsia="宋体" w:cs="Times New Roman"/>
          <w:b w:val="0"/>
          <w:i w:val="0"/>
          <w:color w:val="000000"/>
          <w:sz w:val="24"/>
        </w:rPr>
        <w:t>图7 MLP不同隐层架构的训练损失曲线：对比两隐层16-8、三隐层32-16-8、两隐层64-32三种配置在末次划分上的损失下降过程，标注各自最终测试准确率</w:t>
      </w:r>
    </w:p>
    <w:p>
      <w:pPr>
        <w:spacing w:before="240" w:after="120" w:lineRule="auto" w:line="300"/>
        <w:jc w:val="left"/>
      </w:pPr>
      <w:r>
        <w:rPr>
          <w:rFonts w:ascii="Times New Roman" w:hAnsi="Times New Roman" w:eastAsia="宋体" w:cs="Times New Roman"/>
          <w:b/>
          <w:i w:val="0"/>
          <w:color w:val="000000"/>
          <w:sz w:val="28"/>
        </w:rPr>
        <w:t>3.4决策树与集成方法</w:t>
      </w:r>
    </w:p>
    <w:p>
      <w:pPr>
        <w:spacing w:line="360" w:lineRule="auto" w:after="120" w:before="0"/>
        <w:ind w:firstLine="482"/>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pPr>
        <w:spacing w:line="360" w:lineRule="auto" w:after="120" w:before="0"/>
        <w:ind w:firstLine="482"/>
      </w:pPr>
      <w:r>
        <w:rPr>
          <w:rFonts w:ascii="Times New Roman" w:hAnsi="Times New Roman" w:eastAsia="宋体" w:cs="Times New Roman"/>
          <w:b w:val="0"/>
          <w:i w:val="0"/>
          <w:color w:val="000000"/>
          <w:sz w:val="24"/>
        </w:rPr>
        <w:t>[图：决策树分析]</w:t>
      </w:r>
    </w:p>
    <w:p>
      <w:pPr>
        <w:spacing w:line="360" w:lineRule="auto" w:after="120" w:before="0"/>
        <w:ind w:firstLine="482"/>
      </w:pPr>
      <w:r>
        <w:rPr>
          <w:rFonts w:ascii="Times New Roman" w:hAnsi="Times New Roman" w:eastAsia="宋体" w:cs="Times New Roman"/>
          <w:b w:val="0"/>
          <w:i w:val="0"/>
          <w:color w:val="000000"/>
          <w:sz w:val="24"/>
        </w:rPr>
        <w:t>图8决策树分析：左上为深度3的决策树完整结构可视化（节点标注分裂特征与阈值）；左下为深度1至10的训练-测试准确率曲线，红线标注max_depth=3的位置；右侧为混淆矩阵（10次拼接）</w:t>
      </w:r>
    </w:p>
    <w:p>
      <w:pPr>
        <w:spacing w:line="360" w:lineRule="auto" w:after="120" w:before="0"/>
        <w:ind w:firstLine="482"/>
      </w:pPr>
      <w:r>
        <w:rPr>
          <w:rFonts w:ascii="Times New Roman" w:hAnsi="Times New Roman" w:eastAsia="宋体" w:cs="Times New Roman"/>
          <w:b w:val="0"/>
          <w:i w:val="0"/>
          <w:color w:val="000000"/>
          <w:sz w:val="24"/>
        </w:rPr>
        <w:t>梯度提升树以93.6%排名最低。Boosting每轮迭代试图纠正前一轮的残差，但训练集仅105条样本，每棵树拟合的残差中噪声占比较高，逐轮累积可能放大偏差而非改善性能。</w:t>
      </w:r>
    </w:p>
    <w:p>
      <w:pPr>
        <w:spacing w:line="360" w:lineRule="auto" w:after="120" w:before="0"/>
        <w:ind w:firstLine="482"/>
      </w:pPr>
      <w:r>
        <w:rPr>
          <w:rFonts w:ascii="Times New Roman" w:hAnsi="Times New Roman" w:eastAsia="宋体" w:cs="Times New Roman"/>
          <w:b w:val="0"/>
          <w:i w:val="0"/>
          <w:color w:val="000000"/>
          <w:sz w:val="24"/>
        </w:rPr>
        <w:t>[图：梯度提升树分析]</w:t>
      </w:r>
    </w:p>
    <w:p>
      <w:pPr>
        <w:spacing w:line="360" w:lineRule="auto" w:after="120" w:before="0"/>
        <w:ind w:firstLine="482"/>
      </w:pPr>
      <w:r>
        <w:rPr>
          <w:rFonts w:ascii="Times New Roman" w:hAnsi="Times New Roman" w:eastAsia="宋体" w:cs="Times New Roman"/>
          <w:b w:val="0"/>
          <w:i w:val="0"/>
          <w:color w:val="000000"/>
          <w:sz w:val="24"/>
        </w:rPr>
        <w:t>图9梯度提升树分析：特征重要性排序、估计器数量1至200的扫描曲线、混淆矩阵（10次拼接）、学习率0.01至1.0的扫描曲线</w:t>
      </w:r>
    </w:p>
    <w:p>
      <w:pPr>
        <w:spacing w:line="360" w:lineRule="auto" w:after="120" w:before="0"/>
        <w:ind w:firstLine="482"/>
      </w:pPr>
      <w:r>
        <w:rPr>
          <w:rFonts w:ascii="Times New Roman" w:hAnsi="Times New Roman" w:eastAsia="宋体" w:cs="Times New Roman"/>
          <w:b w:val="0"/>
          <w:i w:val="0"/>
          <w:color w:val="000000"/>
          <w:sz w:val="24"/>
        </w:rPr>
        <w:t>[图：随机森林分析]</w:t>
      </w:r>
    </w:p>
    <w:p>
      <w:pPr>
        <w:spacing w:line="360" w:lineRule="auto" w:after="120" w:before="0"/>
        <w:ind w:firstLine="482"/>
      </w:pPr>
      <w:r>
        <w:rPr>
          <w:rFonts w:ascii="Times New Roman" w:hAnsi="Times New Roman" w:eastAsia="宋体" w:cs="Times New Roman"/>
          <w:b w:val="0"/>
          <w:i w:val="0"/>
          <w:color w:val="000000"/>
          <w:sz w:val="24"/>
        </w:rPr>
        <w:t>图10随机森林分析：特征重要性排序、估计器数量1至200的扫描曲线、混淆矩阵（10次拼接）、最大深度1至10的扫描曲线</w:t>
      </w:r>
    </w:p>
    <w:p>
      <w:pPr>
        <w:spacing w:before="240" w:after="120" w:lineRule="auto" w:line="300"/>
        <w:jc w:val="left"/>
      </w:pPr>
      <w:r>
        <w:rPr>
          <w:rFonts w:ascii="Times New Roman" w:hAnsi="Times New Roman" w:eastAsia="宋体" w:cs="Times New Roman"/>
          <w:b/>
          <w:i w:val="0"/>
          <w:color w:val="000000"/>
          <w:sz w:val="28"/>
        </w:rPr>
        <w:t>3.5其他方法</w:t>
      </w:r>
    </w:p>
    <w:p>
      <w:pPr>
        <w:spacing w:line="360" w:lineRule="auto" w:after="120" w:before="0"/>
        <w:ind w:firstLine="482"/>
      </w:pPr>
      <w:r>
        <w:rPr>
          <w:rFonts w:ascii="Times New Roman" w:hAnsi="Times New Roman" w:eastAsia="宋体" w:cs="Times New Roman"/>
          <w:b w:val="0"/>
          <w:i w:val="0"/>
          <w:color w:val="000000"/>
          <w:sz w:val="24"/>
        </w:rPr>
        <w:t>逻辑回归平均94.9%，标准差2.4%，最为稳定。正则化系数的倒数C在0.001至100范围变化时，准确率基本不变，表明Iris对正则化不敏感——线性模型在该数据上的瓶颈在于表达能力本身，而非过拟合。</w:t>
      </w:r>
    </w:p>
    <w:p>
      <w:pPr>
        <w:spacing w:line="360" w:lineRule="auto" w:after="120" w:before="0"/>
        <w:ind w:firstLine="482"/>
      </w:pPr>
      <w:r>
        <w:rPr>
          <w:rFonts w:ascii="Times New Roman" w:hAnsi="Times New Roman" w:eastAsia="宋体" w:cs="Times New Roman"/>
          <w:b w:val="0"/>
          <w:i w:val="0"/>
          <w:color w:val="000000"/>
          <w:sz w:val="24"/>
        </w:rPr>
        <w:t>[图：逻辑回归分析]</w:t>
      </w:r>
    </w:p>
    <w:p>
      <w:pPr>
        <w:spacing w:line="360" w:lineRule="auto" w:after="120" w:before="0"/>
        <w:ind w:firstLine="482"/>
      </w:pPr>
      <w:r>
        <w:rPr>
          <w:rFonts w:ascii="Times New Roman" w:hAnsi="Times New Roman" w:eastAsia="宋体" w:cs="Times New Roman"/>
          <w:b w:val="0"/>
          <w:i w:val="0"/>
          <w:color w:val="000000"/>
          <w:sz w:val="24"/>
        </w:rPr>
        <w:t>图11逻辑回归分析：左上为三类对四特征的系数热力图；右上为按平均绝对值排序的特征重要性；左下为混淆矩阵（10次拼接）；右下为C值0.001至100的扫描曲线</w:t>
      </w:r>
    </w:p>
    <w:p>
      <w:pPr>
        <w:spacing w:line="360" w:lineRule="auto" w:after="120" w:before="0"/>
        <w:ind w:firstLine="482"/>
      </w:pPr>
      <w:r>
        <w:rPr>
          <w:rFonts w:ascii="Times New Roman" w:hAnsi="Times New Roman" w:eastAsia="宋体" w:cs="Times New Roman"/>
          <w:b w:val="0"/>
          <w:i w:val="0"/>
          <w:color w:val="000000"/>
          <w:sz w:val="24"/>
        </w:rPr>
        <w:t>SVM平均95.1%，排名第二。C值在0.01至100区间呈现典型U型曲线：C过小则欠拟合，过大则过拟合。核宽度γ取0.1时表现最佳。支持向量约占训练集的15%至25%，说明RBF核没有过度记忆训练样本。</w:t>
      </w:r>
    </w:p>
    <w:p>
      <w:pPr>
        <w:spacing w:line="360" w:lineRule="auto" w:after="120" w:before="0"/>
        <w:ind w:firstLine="482"/>
      </w:pPr>
      <w:r>
        <w:rPr>
          <w:rFonts w:ascii="Times New Roman" w:hAnsi="Times New Roman" w:eastAsia="宋体" w:cs="Times New Roman"/>
          <w:b w:val="0"/>
          <w:i w:val="0"/>
          <w:color w:val="000000"/>
          <w:sz w:val="24"/>
        </w:rPr>
        <w:t>[图：SVM分析]</w:t>
      </w:r>
    </w:p>
    <w:p>
      <w:pPr>
        <w:spacing w:line="360" w:lineRule="auto" w:after="120" w:before="0"/>
        <w:ind w:firstLine="482"/>
      </w:pPr>
      <w:r>
        <w:rPr>
          <w:rFonts w:ascii="Times New Roman" w:hAnsi="Times New Roman" w:eastAsia="宋体" w:cs="Times New Roman"/>
          <w:b w:val="0"/>
          <w:i w:val="0"/>
          <w:color w:val="000000"/>
          <w:sz w:val="24"/>
        </w:rPr>
        <w:t>图12 SVM（RBF核）参数分析：左上为C值0.01至100的对数扫描曲线；右上为核宽度γ扫描曲线；左下为混淆矩阵（10次拼接）；右下为各类别支持向量数量统计</w:t>
      </w:r>
    </w:p>
    <w:p>
      <w:pPr>
        <w:spacing w:line="360" w:lineRule="auto" w:after="120" w:before="0"/>
        <w:ind w:firstLine="482"/>
      </w:pPr>
      <w:r>
        <w:rPr>
          <w:rFonts w:ascii="Times New Roman" w:hAnsi="Times New Roman" w:eastAsia="宋体" w:cs="Times New Roman"/>
          <w:b w:val="0"/>
          <w:i w:val="0"/>
          <w:color w:val="000000"/>
          <w:sz w:val="24"/>
        </w:rPr>
        <w:t>KNN平均94.2%，排名靠后，k取5时表现稳健，k超过15后准确率开始下降。</w:t>
      </w:r>
    </w:p>
    <w:p>
      <w:pPr>
        <w:spacing w:line="360" w:lineRule="auto" w:after="120" w:before="0"/>
        <w:ind w:firstLine="482"/>
      </w:pPr>
      <w:r>
        <w:rPr>
          <w:rFonts w:ascii="Times New Roman" w:hAnsi="Times New Roman" w:eastAsia="宋体" w:cs="Times New Roman"/>
          <w:b w:val="0"/>
          <w:i w:val="0"/>
          <w:color w:val="000000"/>
          <w:sz w:val="24"/>
        </w:rPr>
        <w:t>[图：KNN分析]</w:t>
      </w:r>
    </w:p>
    <w:p>
      <w:pPr>
        <w:spacing w:line="360" w:lineRule="auto" w:after="120" w:before="0"/>
        <w:ind w:firstLine="482"/>
      </w:pPr>
      <w:r>
        <w:rPr>
          <w:rFonts w:ascii="Times New Roman" w:hAnsi="Times New Roman" w:eastAsia="宋体" w:cs="Times New Roman"/>
          <w:b w:val="0"/>
          <w:i w:val="0"/>
          <w:color w:val="000000"/>
          <w:sz w:val="24"/>
        </w:rPr>
        <w:t>图13 KNN分析：左侧为k值1至30的准确率扫描曲线，红线标注最佳k值；右侧为k=5时的混淆矩阵（10次拼接）</w:t>
      </w:r>
    </w:p>
    <w:p>
      <w:pPr>
        <w:spacing w:line="360" w:lineRule="auto" w:after="120" w:before="0"/>
        <w:ind w:firstLine="482"/>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pPr>
        <w:spacing w:line="360" w:lineRule="auto" w:after="120" w:before="0"/>
        <w:ind w:firstLine="482"/>
      </w:pPr>
      <w:r>
        <w:rPr>
          <w:rFonts w:ascii="Times New Roman" w:hAnsi="Times New Roman" w:eastAsia="宋体" w:cs="Times New Roman"/>
          <w:b w:val="0"/>
          <w:i w:val="0"/>
          <w:color w:val="000000"/>
          <w:sz w:val="24"/>
        </w:rPr>
        <w:t>[图：朴素贝叶斯分析]</w:t>
      </w:r>
    </w:p>
    <w:p>
      <w:pPr>
        <w:spacing w:line="360" w:lineRule="auto" w:after="120" w:before="0"/>
        <w:ind w:firstLine="482"/>
      </w:pPr>
      <w:r>
        <w:rPr>
          <w:rFonts w:ascii="Times New Roman" w:hAnsi="Times New Roman" w:eastAsia="宋体" w:cs="Times New Roman"/>
          <w:b w:val="0"/>
          <w:i w:val="0"/>
          <w:color w:val="000000"/>
          <w:sz w:val="24"/>
        </w:rPr>
        <w:t>图14高斯朴素贝叶斯分析：左侧为三类在四个特征上的标准化均值与标准差误差棒；右侧为混淆矩阵（10次拼接）</w:t>
      </w:r>
    </w:p>
    <w:p>
      <w:pPr>
        <w:spacing w:before="240" w:after="120" w:lineRule="auto" w:line="300"/>
        <w:jc w:val="left"/>
      </w:pPr>
      <w:r>
        <w:rPr>
          <w:rFonts w:ascii="Times New Roman" w:hAnsi="Times New Roman" w:eastAsia="宋体" w:cs="Times New Roman"/>
          <w:b/>
          <w:i w:val="0"/>
          <w:color w:val="000000"/>
          <w:sz w:val="32"/>
        </w:rPr>
        <w:t>4. 消融实验</w:t>
      </w:r>
    </w:p>
    <w:p>
      <w:pPr>
        <w:spacing w:line="360" w:lineRule="auto" w:after="120" w:before="0"/>
        <w:ind w:firstLine="482"/>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消融实验基于末次试验的单次固定划分，随机种子固定为42，所有模型以相同种子初始化以确保可复现。四类消融结果已保存在实验会话中，可在后续分析中直接读取并重绘。</w:t>
      </w:r>
    </w:p>
    <w:p>
      <w:pPr>
        <w:spacing w:before="240" w:after="120" w:lineRule="auto" w:line="300"/>
        <w:jc w:val="left"/>
      </w:pPr>
      <w:r>
        <w:rPr>
          <w:rFonts w:ascii="Times New Roman" w:hAnsi="Times New Roman" w:eastAsia="宋体" w:cs="Times New Roman"/>
          <w:b/>
          <w:i w:val="0"/>
          <w:color w:val="000000"/>
          <w:sz w:val="28"/>
        </w:rPr>
        <w:t>4.1特征消融</w:t>
      </w:r>
    </w:p>
    <w:p>
      <w:pPr>
        <w:spacing w:line="360" w:lineRule="auto" w:after="120" w:before="0"/>
        <w:ind w:firstLine="482"/>
      </w:pPr>
      <w:r>
        <w:rPr>
          <w:rFonts w:ascii="Times New Roman" w:hAnsi="Times New Roman" w:eastAsia="宋体" w:cs="Times New Roman"/>
          <w:b w:val="0"/>
          <w:i w:val="0"/>
          <w:color w:val="000000"/>
          <w:sz w:val="24"/>
        </w:rPr>
        <w:t>逐一移除4个特征后，8个基准模型的测试准确率如下：</w:t>
      </w:r>
    </w:p>
    <w:p>
      <w:pPr>
        <w:spacing w:line="360" w:lineRule="auto" w:after="120" w:before="0"/>
        <w:ind w:firstLine="482"/>
      </w:pPr>
      <w:r>
        <w:rPr>
          <w:rFonts w:ascii="Times New Roman" w:hAnsi="Times New Roman" w:eastAsia="宋体" w:cs="Times New Roman"/>
          <w:b w:val="0"/>
          <w:i w:val="0"/>
          <w:color w:val="000000"/>
          <w:sz w:val="24"/>
        </w:rPr>
        <w:t>| 移除特征 | 逻辑回归 | SVM | 随机森林 | KNN | MLP三隐层32-16-8 | GBDT | 决策树 | 朴素贝叶斯 |</w:t>
        <w:br/>
        <w:t>|---|---|---|---|---|---|---|:---:|:---:|:---:|:---:|</w:t>
        <w:br/>
        <w:t>| 全特征 | 0.911 | 0.933 | 0.889 | 0.911 | 0.911 | 0.911 | 0.978 | 0.911 |</w:t>
        <w:br/>
        <w:t>| 花萼长 | 0.911 | 0.911 | 0.889 | 0.911 | 0.911 | 0.933 | 0.978 | 0.911 |</w:t>
        <w:br/>
        <w:t>| 花萼宽 | 0.911 | 0.911 | 0.889 | 0.933 | 0.933 | 0.933 | 0.978 | 0.911 |</w:t>
        <w:br/>
        <w:t>| 花瓣长 | 0.911 | 0.911 | 0.889 | 0.889 | 0.933 | 0.933 | 0.933 | 0.867 |</w:t>
        <w:br/>
        <w:t>| 花瓣宽 | 0.933 | 0.933 | 0.911 | 0.844 | 0.933 | 0.889 | 0.911 | 0.889 |</w:t>
      </w:r>
    </w:p>
    <w:p>
      <w:pPr>
        <w:spacing w:line="360" w:lineRule="auto" w:after="120" w:before="0"/>
        <w:ind w:firstLine="482"/>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pPr>
        <w:spacing w:line="360" w:lineRule="auto" w:after="120" w:before="0"/>
        <w:ind w:firstLine="482"/>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pPr>
        <w:spacing w:line="360" w:lineRule="auto" w:after="120" w:before="0"/>
        <w:ind w:firstLine="482"/>
      </w:pPr>
      <w:r>
        <w:rPr>
          <w:rFonts w:ascii="Times New Roman" w:hAnsi="Times New Roman" w:eastAsia="宋体" w:cs="Times New Roman"/>
          <w:b w:val="0"/>
          <w:i w:val="0"/>
          <w:color w:val="000000"/>
          <w:sz w:val="24"/>
        </w:rPr>
        <w:t>[图：特征消融]</w:t>
      </w:r>
    </w:p>
    <w:p>
      <w:pPr>
        <w:spacing w:line="360" w:lineRule="auto" w:after="120" w:before="0"/>
        <w:ind w:firstLine="482"/>
      </w:pPr>
      <w:r>
        <w:rPr>
          <w:rFonts w:ascii="Times New Roman" w:hAnsi="Times New Roman" w:eastAsia="宋体" w:cs="Times New Roman"/>
          <w:b w:val="0"/>
          <w:i w:val="0"/>
          <w:color w:val="000000"/>
          <w:sz w:val="24"/>
        </w:rPr>
        <w:t>图15特征消融热力图：左侧为逐一移除四个特征后各模型绝对准确率矩阵；右侧为准确率退化量（全特征准确率减去移除后准确率），颜色越深表示退化越严重</w:t>
      </w:r>
    </w:p>
    <w:p>
      <w:pPr>
        <w:spacing w:before="240" w:after="120" w:lineRule="auto" w:line="300"/>
        <w:jc w:val="left"/>
      </w:pPr>
      <w:r>
        <w:rPr>
          <w:rFonts w:ascii="Times New Roman" w:hAnsi="Times New Roman" w:eastAsia="宋体" w:cs="Times New Roman"/>
          <w:b/>
          <w:i w:val="0"/>
          <w:color w:val="000000"/>
          <w:sz w:val="28"/>
        </w:rPr>
        <w:t>4.2数据量消融</w:t>
      </w:r>
    </w:p>
    <w:p>
      <w:pPr>
        <w:spacing w:line="360" w:lineRule="auto" w:after="120" w:before="0"/>
        <w:ind w:firstLine="482"/>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pPr>
        <w:spacing w:line="360" w:lineRule="auto" w:after="120" w:before="0"/>
        <w:ind w:firstLine="482"/>
      </w:pPr>
      <w:r>
        <w:rPr>
          <w:rFonts w:ascii="Times New Roman" w:hAnsi="Times New Roman" w:eastAsia="宋体" w:cs="Times New Roman"/>
          <w:b w:val="0"/>
          <w:i w:val="0"/>
          <w:color w:val="000000"/>
          <w:sz w:val="24"/>
        </w:rPr>
        <w:t>[图：数据量消融]</w:t>
      </w:r>
    </w:p>
    <w:p>
      <w:pPr>
        <w:spacing w:line="360" w:lineRule="auto" w:after="120" w:before="0"/>
        <w:ind w:firstLine="482"/>
      </w:pPr>
      <w:r>
        <w:rPr>
          <w:rFonts w:ascii="Times New Roman" w:hAnsi="Times New Roman" w:eastAsia="宋体" w:cs="Times New Roman"/>
          <w:b w:val="0"/>
          <w:i w:val="0"/>
          <w:color w:val="000000"/>
          <w:sz w:val="24"/>
        </w:rPr>
        <w:t>图16数据量消融曲线：训练比例从90%递减至10%（横轴），各模型在固定测试集上的准确率变化，每条曲线末端标注总降幅</w:t>
      </w:r>
    </w:p>
    <w:p>
      <w:pPr>
        <w:spacing w:before="240" w:after="120" w:lineRule="auto" w:line="300"/>
        <w:jc w:val="left"/>
      </w:pPr>
      <w:r>
        <w:rPr>
          <w:rFonts w:ascii="Times New Roman" w:hAnsi="Times New Roman" w:eastAsia="宋体" w:cs="Times New Roman"/>
          <w:b/>
          <w:i w:val="0"/>
          <w:color w:val="000000"/>
          <w:sz w:val="28"/>
        </w:rPr>
        <w:t>4.3 MLP架构消融</w:t>
      </w:r>
    </w:p>
    <w:p>
      <w:pPr>
        <w:spacing w:line="360" w:lineRule="auto" w:after="120" w:before="0"/>
        <w:ind w:firstLine="482"/>
      </w:pPr>
      <w:r>
        <w:rPr>
          <w:rFonts w:ascii="Times New Roman" w:hAnsi="Times New Roman" w:eastAsia="宋体" w:cs="Times New Roman"/>
          <w:b w:val="0"/>
          <w:i w:val="0"/>
          <w:color w:val="000000"/>
          <w:sz w:val="24"/>
        </w:rPr>
        <w:t>逐一扫描宽度、深度、正则化强度和激活函数四个维度。宽度和正则化扫描以ReLU为激活函数，深度和激活函数扫描以正则化系数0.001为基准。宽度扫描从单隐层4个神经元变化至64个，深度扫描从单隐层增加至四隐层32-16-8-4，正则化系数从0扫描至1，激活函数比较ReLU、Tanh和logistic三种。</w:t>
      </w:r>
    </w:p>
    <w:p>
      <w:pPr>
        <w:spacing w:line="360" w:lineRule="auto" w:after="120" w:before="0"/>
        <w:ind w:firstLine="482"/>
      </w:pPr>
      <w:r>
        <w:rPr>
          <w:rFonts w:ascii="Times New Roman" w:hAnsi="Times New Roman" w:eastAsia="宋体" w:cs="Times New Roman"/>
          <w:b w:val="0"/>
          <w:i w:val="0"/>
          <w:color w:val="000000"/>
          <w:sz w:val="24"/>
        </w:rPr>
        <w:t>宽度扫描中，4个和32个神经元最高，约93.3%，8个最低，约88.9%。准确率随宽度变化呈非单调趋势，说明小数据下网络容量被随机因素主导。深度扫描中，1到4层均在91.1%至93.3%，无单调提升趋势。正则化扫描中，系数从0到0.1均为91.1%，系数取1时升至93.3%，强正则化在此次划分中反而有益。激活函数方面，ReLU为95.6%，优于Tanh和logistic的93.3%。然而网格搜索在10次试验中时有选到Tanh的情况——交叉验证选出的最优激活函数与测试集最优不一致，再次说明CV选参在小数据上的不稳定性。</w:t>
      </w:r>
    </w:p>
    <w:p>
      <w:pPr>
        <w:spacing w:line="360" w:lineRule="auto" w:after="120" w:before="0"/>
        <w:ind w:firstLine="482"/>
      </w:pPr>
      <w:r>
        <w:rPr>
          <w:rFonts w:ascii="Times New Roman" w:hAnsi="Times New Roman" w:eastAsia="宋体" w:cs="Times New Roman"/>
          <w:b w:val="0"/>
          <w:i w:val="0"/>
          <w:color w:val="000000"/>
          <w:sz w:val="24"/>
        </w:rPr>
        <w:t>[图：MLP架构消融]</w:t>
      </w:r>
    </w:p>
    <w:p>
      <w:pPr>
        <w:spacing w:line="360" w:lineRule="auto" w:after="120" w:before="0"/>
        <w:ind w:firstLine="482"/>
      </w:pPr>
      <w:r>
        <w:rPr>
          <w:rFonts w:ascii="Times New Roman" w:hAnsi="Times New Roman" w:eastAsia="宋体" w:cs="Times New Roman"/>
          <w:b w:val="0"/>
          <w:i w:val="0"/>
          <w:color w:val="000000"/>
          <w:sz w:val="24"/>
        </w:rPr>
        <w:t>图17 MLP架构消融四维度扫描：左上为单隐层宽度扫描；右上为深度扫描（1至4隐层）；左下为L2正则化系数α扫描；右下为激活函数对比</w:t>
      </w:r>
    </w:p>
    <w:p>
      <w:pPr>
        <w:spacing w:before="240" w:after="120" w:lineRule="auto" w:line="300"/>
        <w:jc w:val="left"/>
      </w:pPr>
      <w:r>
        <w:rPr>
          <w:rFonts w:ascii="Times New Roman" w:hAnsi="Times New Roman" w:eastAsia="宋体" w:cs="Times New Roman"/>
          <w:b/>
          <w:i w:val="0"/>
          <w:color w:val="000000"/>
          <w:sz w:val="28"/>
        </w:rPr>
        <w:t>4.4预处理消融</w:t>
      </w:r>
    </w:p>
    <w:p>
      <w:pPr>
        <w:spacing w:line="360" w:lineRule="auto" w:after="120" w:before="0"/>
        <w:ind w:firstLine="482"/>
      </w:pPr>
      <w:r>
        <w:rPr>
          <w:rFonts w:ascii="Times New Roman" w:hAnsi="Times New Roman" w:eastAsia="宋体" w:cs="Times New Roman"/>
          <w:b w:val="0"/>
          <w:i w:val="0"/>
          <w:color w:val="000000"/>
          <w:sz w:val="24"/>
        </w:rPr>
        <w:t>标准化与未标准化在末次划分上的对比如下：</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eastAsia="宋体" w:cs="Times New Roman"/>
                <w:b/>
                <w:i w:val="0"/>
                <w:color w:val="000000"/>
                <w:sz w:val="24"/>
              </w:rPr>
              <w:t>模型</w:t>
            </w:r>
          </w:p>
        </w:tc>
        <w:tc>
          <w:tcPr>
            <w:tcW w:type="dxa" w:w="2160"/>
          </w:tcPr>
          <w:p>
            <w:pPr>
              <w:jc w:val="center"/>
            </w:pPr>
            <w:r>
              <w:rPr>
                <w:rFonts w:ascii="Times New Roman" w:hAnsi="Times New Roman" w:eastAsia="宋体" w:cs="Times New Roman"/>
                <w:b/>
                <w:i w:val="0"/>
                <w:color w:val="000000"/>
                <w:sz w:val="24"/>
              </w:rPr>
              <w:t>标准化</w:t>
            </w:r>
          </w:p>
        </w:tc>
        <w:tc>
          <w:tcPr>
            <w:tcW w:type="dxa" w:w="2160"/>
          </w:tcPr>
          <w:p>
            <w:pPr>
              <w:jc w:val="center"/>
            </w:pPr>
            <w:r>
              <w:rPr>
                <w:rFonts w:ascii="Times New Roman" w:hAnsi="Times New Roman" w:eastAsia="宋体" w:cs="Times New Roman"/>
                <w:b/>
                <w:i w:val="0"/>
                <w:color w:val="000000"/>
                <w:sz w:val="24"/>
              </w:rPr>
              <w:t>未标准化</w:t>
            </w:r>
          </w:p>
        </w:tc>
        <w:tc>
          <w:tcPr>
            <w:tcW w:type="dxa" w:w="2160"/>
          </w:tcPr>
          <w:p>
            <w:pPr>
              <w:jc w:val="center"/>
            </w:pPr>
            <w:r>
              <w:rPr>
                <w:rFonts w:ascii="Times New Roman" w:hAnsi="Times New Roman" w:eastAsia="宋体" w:cs="Times New Roman"/>
                <w:b/>
                <w:i w:val="0"/>
                <w:color w:val="000000"/>
                <w:sz w:val="24"/>
              </w:rPr>
              <w:t>差值</w:t>
            </w:r>
          </w:p>
        </w:tc>
      </w:tr>
      <w:tr>
        <w:tc>
          <w:tcPr>
            <w:tcW w:type="dxa" w:w="2160"/>
          </w:tcPr>
          <w:p>
            <w:pPr>
              <w:jc w:val="center"/>
            </w:pPr>
            <w:r>
              <w:rPr>
                <w:rFonts w:ascii="Times New Roman" w:hAnsi="Times New Roman" w:eastAsia="宋体" w:cs="Times New Roman"/>
                <w:b w:val="0"/>
                <w:i w:val="0"/>
                <w:color w:val="000000"/>
                <w:sz w:val="24"/>
              </w:rPr>
              <w:t>逻辑回归</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SVM</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0.956</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随机森林</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0.889</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KNN</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MLP三隐层32-16-8</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−0.067</w:t>
            </w:r>
          </w:p>
        </w:tc>
      </w:tr>
      <w:tr>
        <w:tc>
          <w:tcPr>
            <w:tcW w:type="dxa" w:w="2160"/>
          </w:tcPr>
          <w:p>
            <w:pPr>
              <w:jc w:val="center"/>
            </w:pPr>
            <w:r>
              <w:rPr>
                <w:rFonts w:ascii="Times New Roman" w:hAnsi="Times New Roman" w:eastAsia="宋体" w:cs="Times New Roman"/>
                <w:b w:val="0"/>
                <w:i w:val="0"/>
                <w:color w:val="000000"/>
                <w:sz w:val="24"/>
              </w:rPr>
              <w:t>梯度提升树</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0.933</w:t>
            </w:r>
          </w:p>
        </w:tc>
        <w:tc>
          <w:tcPr>
            <w:tcW w:type="dxa" w:w="2160"/>
          </w:tcPr>
          <w:p>
            <w:pPr>
              <w:jc w:val="center"/>
            </w:pPr>
            <w:r>
              <w:rPr>
                <w:rFonts w:ascii="Times New Roman" w:hAnsi="Times New Roman" w:eastAsia="宋体" w:cs="Times New Roman"/>
                <w:b w:val="0"/>
                <w:i w:val="0"/>
                <w:color w:val="000000"/>
                <w:sz w:val="24"/>
              </w:rPr>
              <w:t>−0.022</w:t>
            </w:r>
          </w:p>
        </w:tc>
      </w:tr>
      <w:tr>
        <w:tc>
          <w:tcPr>
            <w:tcW w:type="dxa" w:w="2160"/>
          </w:tcPr>
          <w:p>
            <w:pPr>
              <w:jc w:val="center"/>
            </w:pPr>
            <w:r>
              <w:rPr>
                <w:rFonts w:ascii="Times New Roman" w:hAnsi="Times New Roman" w:eastAsia="宋体" w:cs="Times New Roman"/>
                <w:b w:val="0"/>
                <w:i w:val="0"/>
                <w:color w:val="000000"/>
                <w:sz w:val="24"/>
              </w:rPr>
              <w:t>决策树</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0.978</w:t>
            </w:r>
          </w:p>
        </w:tc>
        <w:tc>
          <w:tcPr>
            <w:tcW w:type="dxa" w:w="2160"/>
          </w:tcPr>
          <w:p>
            <w:pPr>
              <w:jc w:val="center"/>
            </w:pPr>
            <w:r>
              <w:rPr>
                <w:rFonts w:ascii="Times New Roman" w:hAnsi="Times New Roman" w:eastAsia="宋体" w:cs="Times New Roman"/>
                <w:b w:val="0"/>
                <w:i w:val="0"/>
                <w:color w:val="000000"/>
                <w:sz w:val="24"/>
              </w:rPr>
              <w:t>0.000</w:t>
            </w:r>
          </w:p>
        </w:tc>
      </w:tr>
      <w:tr>
        <w:tc>
          <w:tcPr>
            <w:tcW w:type="dxa" w:w="2160"/>
          </w:tcPr>
          <w:p>
            <w:pPr>
              <w:jc w:val="center"/>
            </w:pPr>
            <w:r>
              <w:rPr>
                <w:rFonts w:ascii="Times New Roman" w:hAnsi="Times New Roman" w:eastAsia="宋体" w:cs="Times New Roman"/>
                <w:b w:val="0"/>
                <w:i w:val="0"/>
                <w:color w:val="000000"/>
                <w:sz w:val="24"/>
              </w:rPr>
              <w:t>朴素贝叶斯</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0.911</w:t>
            </w:r>
          </w:p>
        </w:tc>
        <w:tc>
          <w:tcPr>
            <w:tcW w:type="dxa" w:w="2160"/>
          </w:tcPr>
          <w:p>
            <w:pPr>
              <w:jc w:val="center"/>
            </w:pPr>
            <w:r>
              <w:rPr>
                <w:rFonts w:ascii="Times New Roman" w:hAnsi="Times New Roman" w:eastAsia="宋体" w:cs="Times New Roman"/>
                <w:b w:val="0"/>
                <w:i w:val="0"/>
                <w:color w:val="000000"/>
                <w:sz w:val="24"/>
              </w:rPr>
              <w:t>0.000</w:t>
            </w:r>
          </w:p>
        </w:tc>
      </w:tr>
    </w:tbl>
    <w:p/>
    <w:p>
      <w:pPr>
        <w:spacing w:line="360" w:lineRule="auto" w:after="120" w:before="0"/>
        <w:ind w:firstLine="482"/>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pPr>
        <w:spacing w:line="360" w:lineRule="auto" w:after="120" w:before="0"/>
        <w:ind w:firstLine="482"/>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pPr>
        <w:spacing w:line="360" w:lineRule="auto" w:after="120" w:before="0"/>
        <w:ind w:firstLine="482"/>
      </w:pPr>
      <w:r>
        <w:rPr>
          <w:rFonts w:ascii="Times New Roman" w:hAnsi="Times New Roman" w:eastAsia="宋体" w:cs="Times New Roman"/>
          <w:b w:val="0"/>
          <w:i w:val="0"/>
          <w:color w:val="000000"/>
          <w:sz w:val="24"/>
        </w:rPr>
        <w:t>[图：预处理消融]</w:t>
      </w:r>
    </w:p>
    <w:p>
      <w:pPr>
        <w:spacing w:line="360" w:lineRule="auto" w:after="120" w:before="0"/>
        <w:ind w:firstLine="482"/>
      </w:pPr>
      <w:r>
        <w:rPr>
          <w:rFonts w:ascii="Times New Roman" w:hAnsi="Times New Roman" w:eastAsia="宋体" w:cs="Times New Roman"/>
          <w:b w:val="0"/>
          <w:i w:val="0"/>
          <w:color w:val="000000"/>
          <w:sz w:val="24"/>
        </w:rPr>
        <w:t>图18预处理消融对比：左侧为标准化与未标准化条件下各模型准确率并排条形图；右侧为标准化带来的准确率变化（正值表示标准化有益，负值表示标准化有害）</w:t>
      </w:r>
    </w:p>
    <w:p>
      <w:pPr>
        <w:spacing w:before="240" w:after="120" w:lineRule="auto" w:line="300"/>
        <w:jc w:val="left"/>
      </w:pPr>
      <w:r>
        <w:rPr>
          <w:rFonts w:ascii="Times New Roman" w:hAnsi="Times New Roman" w:eastAsia="宋体" w:cs="Times New Roman"/>
          <w:b/>
          <w:i w:val="0"/>
          <w:color w:val="000000"/>
          <w:sz w:val="32"/>
        </w:rPr>
        <w:t>5. 讨论</w:t>
      </w:r>
    </w:p>
    <w:p>
      <w:pPr>
        <w:spacing w:line="360" w:lineRule="auto" w:after="120" w:before="0"/>
        <w:ind w:firstLine="482"/>
      </w:pPr>
      <w:r>
        <w:rPr>
          <w:rFonts w:ascii="Times New Roman" w:hAnsi="Times New Roman" w:eastAsia="宋体" w:cs="Times New Roman"/>
          <w:b w:val="0"/>
          <w:i w:val="0"/>
          <w:color w:val="000000"/>
          <w:sz w:val="24"/>
        </w:rPr>
        <w:t>从实验结果中可归纳以下几个值得关注的方面。</w:t>
      </w:r>
    </w:p>
    <w:p>
      <w:pPr>
        <w:spacing w:line="360" w:lineRule="auto" w:after="120" w:before="0"/>
        <w:ind w:firstLine="482"/>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pPr>
        <w:spacing w:line="360" w:lineRule="auto" w:after="120" w:before="0"/>
        <w:ind w:firstLine="482"/>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pPr>
        <w:spacing w:line="360" w:lineRule="auto" w:after="120" w:before="0"/>
        <w:ind w:firstLine="482"/>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位列末尾。4个特征中随机子空间每次仅选2个，关键特征有约一半的概率在本轮分裂中不可见，多样性收益被次优分裂所抵消。Boosting在此规模下逐轮拟合残差更接近于追踪噪声而非改善预测。这一结果说明，集成方法的正面效果以充分的特征多元化为前提。</w:t>
      </w:r>
    </w:p>
    <w:p>
      <w:pPr>
        <w:spacing w:line="360" w:lineRule="auto" w:after="120" w:before="0"/>
        <w:ind w:firstLine="482"/>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pPr>
        <w:spacing w:before="240" w:after="120" w:lineRule="auto" w:line="300"/>
        <w:jc w:val="left"/>
      </w:pPr>
      <w:r>
        <w:rPr>
          <w:rFonts w:ascii="Times New Roman" w:hAnsi="Times New Roman" w:eastAsia="宋体" w:cs="Times New Roman"/>
          <w:b/>
          <w:i w:val="0"/>
          <w:color w:val="000000"/>
          <w:sz w:val="32"/>
        </w:rPr>
        <w:t>6. 结论</w:t>
      </w:r>
    </w:p>
    <w:p>
      <w:pPr>
        <w:spacing w:line="360" w:lineRule="auto" w:after="120" w:before="0"/>
        <w:ind w:firstLine="482"/>
      </w:pPr>
      <w:r>
        <w:rPr>
          <w:rFonts w:ascii="Times New Roman" w:hAnsi="Times New Roman" w:eastAsia="宋体" w:cs="Times New Roman"/>
          <w:b w:val="0"/>
          <w:i w:val="0"/>
          <w:color w:val="000000"/>
          <w:sz w:val="24"/>
        </w:rPr>
        <w:t>本实验通过对Iris数据集的系统对比，得出以下主要结论：</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花瓣宽和花瓣长是最关键的分类特征，花萼特征的单独贡献极小，但在未标准化条件下可通过量纲放大间接影响距离模型。</w:t>
      </w:r>
    </w:p>
    <w:p>
      <w:pPr>
        <w:spacing w:line="360" w:lineRule="auto" w:after="60"/>
        <w:ind w:firstLine="482"/>
      </w:pPr>
      <w:r>
        <w:rPr>
          <w:rFonts w:ascii="Times New Roman" w:hAnsi="Times New Roman" w:eastAsia="宋体" w:cs="Times New Roman"/>
          <w:b w:val="0"/>
          <w:i w:val="0"/>
          <w:color w:val="000000"/>
          <w:sz w:val="24"/>
        </w:rPr>
        <w:t xml:space="preserve">• </w:t>
      </w: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pPr>
        <w:spacing w:before="240" w:after="120" w:lineRule="auto" w:line="300"/>
        <w:jc w:val="left"/>
      </w:pPr>
      <w:r>
        <w:rPr>
          <w:rFonts w:ascii="Times New Roman" w:hAnsi="Times New Roman" w:eastAsia="宋体" w:cs="Times New Roman"/>
          <w:b/>
          <w:i w:val="0"/>
          <w:color w:val="000000"/>
          <w:sz w:val="32"/>
        </w:rPr>
        <w:t>附录：图表索引</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Times New Roman" w:hAnsi="Times New Roman" w:eastAsia="宋体" w:cs="Times New Roman"/>
                <w:b/>
                <w:i w:val="0"/>
                <w:color w:val="000000"/>
                <w:sz w:val="24"/>
              </w:rPr>
              <w:t>图号</w:t>
            </w:r>
          </w:p>
        </w:tc>
        <w:tc>
          <w:tcPr>
            <w:tcW w:type="dxa" w:w="4320"/>
          </w:tcPr>
          <w:p>
            <w:pPr>
              <w:jc w:val="center"/>
            </w:pPr>
            <w:r>
              <w:rPr>
                <w:rFonts w:ascii="Times New Roman" w:hAnsi="Times New Roman" w:eastAsia="宋体" w:cs="Times New Roman"/>
                <w:b/>
                <w:i w:val="0"/>
                <w:color w:val="000000"/>
                <w:sz w:val="24"/>
              </w:rPr>
              <w:t>内容描述</w:t>
            </w:r>
          </w:p>
        </w:tc>
      </w:tr>
      <w:tr>
        <w:tc>
          <w:tcPr>
            <w:tcW w:type="dxa" w:w="4320"/>
          </w:tcPr>
          <w:p>
            <w:pPr>
              <w:jc w:val="center"/>
            </w:pPr>
            <w:r>
              <w:rPr>
                <w:rFonts w:ascii="Times New Roman" w:hAnsi="Times New Roman" w:eastAsia="宋体" w:cs="Times New Roman"/>
                <w:b w:val="0"/>
                <w:i w:val="0"/>
                <w:color w:val="000000"/>
                <w:sz w:val="24"/>
              </w:rPr>
              <w:t>图1</w:t>
            </w:r>
          </w:p>
        </w:tc>
        <w:tc>
          <w:tcPr>
            <w:tcW w:type="dxa" w:w="4320"/>
          </w:tcPr>
          <w:p>
            <w:pPr>
              <w:jc w:val="center"/>
            </w:pPr>
            <w:r>
              <w:rPr>
                <w:rFonts w:ascii="Times New Roman" w:hAnsi="Times New Roman" w:eastAsia="宋体" w:cs="Times New Roman"/>
                <w:b w:val="0"/>
                <w:i w:val="0"/>
                <w:color w:val="000000"/>
                <w:sz w:val="24"/>
              </w:rPr>
              <w:t>Iris数据集探索（三类散点图矩阵、类别饼图、特征箱线图）</w:t>
            </w:r>
          </w:p>
        </w:tc>
      </w:tr>
      <w:tr>
        <w:tc>
          <w:tcPr>
            <w:tcW w:type="dxa" w:w="4320"/>
          </w:tcPr>
          <w:p>
            <w:pPr>
              <w:jc w:val="center"/>
            </w:pPr>
            <w:r>
              <w:rPr>
                <w:rFonts w:ascii="Times New Roman" w:hAnsi="Times New Roman" w:eastAsia="宋体" w:cs="Times New Roman"/>
                <w:b w:val="0"/>
                <w:i w:val="0"/>
                <w:color w:val="000000"/>
                <w:sz w:val="24"/>
              </w:rPr>
              <w:t>图2</w:t>
            </w:r>
          </w:p>
        </w:tc>
        <w:tc>
          <w:tcPr>
            <w:tcW w:type="dxa" w:w="4320"/>
          </w:tcPr>
          <w:p>
            <w:pPr>
              <w:jc w:val="center"/>
            </w:pPr>
            <w:r>
              <w:rPr>
                <w:rFonts w:ascii="Times New Roman" w:hAnsi="Times New Roman" w:eastAsia="宋体" w:cs="Times New Roman"/>
                <w:b w:val="0"/>
                <w:i w:val="0"/>
                <w:color w:val="000000"/>
                <w:sz w:val="24"/>
              </w:rPr>
              <w:t>八模型在花瓣长-宽平面上的决策边界对比</w:t>
            </w:r>
          </w:p>
        </w:tc>
      </w:tr>
      <w:tr>
        <w:tc>
          <w:tcPr>
            <w:tcW w:type="dxa" w:w="4320"/>
          </w:tcPr>
          <w:p>
            <w:pPr>
              <w:jc w:val="center"/>
            </w:pPr>
            <w:r>
              <w:rPr>
                <w:rFonts w:ascii="Times New Roman" w:hAnsi="Times New Roman" w:eastAsia="宋体" w:cs="Times New Roman"/>
                <w:b w:val="0"/>
                <w:i w:val="0"/>
                <w:color w:val="000000"/>
                <w:sz w:val="24"/>
              </w:rPr>
              <w:t>图3</w:t>
            </w:r>
          </w:p>
        </w:tc>
        <w:tc>
          <w:tcPr>
            <w:tcW w:type="dxa" w:w="4320"/>
          </w:tcPr>
          <w:p>
            <w:pPr>
              <w:jc w:val="center"/>
            </w:pPr>
            <w:r>
              <w:rPr>
                <w:rFonts w:ascii="Times New Roman" w:hAnsi="Times New Roman" w:eastAsia="宋体" w:cs="Times New Roman"/>
                <w:b w:val="0"/>
                <w:i w:val="0"/>
                <w:color w:val="000000"/>
                <w:sz w:val="24"/>
              </w:rPr>
              <w:t>综合对比总结（10次准确率排名含误差棒、各类别F1、ROC曲线）</w:t>
            </w:r>
          </w:p>
        </w:tc>
      </w:tr>
      <w:tr>
        <w:tc>
          <w:tcPr>
            <w:tcW w:type="dxa" w:w="4320"/>
          </w:tcPr>
          <w:p>
            <w:pPr>
              <w:jc w:val="center"/>
            </w:pPr>
            <w:r>
              <w:rPr>
                <w:rFonts w:ascii="Times New Roman" w:hAnsi="Times New Roman" w:eastAsia="宋体" w:cs="Times New Roman"/>
                <w:b w:val="0"/>
                <w:i w:val="0"/>
                <w:color w:val="000000"/>
                <w:sz w:val="24"/>
              </w:rPr>
              <w:t>图4</w:t>
            </w:r>
          </w:p>
        </w:tc>
        <w:tc>
          <w:tcPr>
            <w:tcW w:type="dxa" w:w="4320"/>
          </w:tcPr>
          <w:p>
            <w:pPr>
              <w:jc w:val="center"/>
            </w:pPr>
            <w:r>
              <w:rPr>
                <w:rFonts w:ascii="Times New Roman" w:hAnsi="Times New Roman" w:eastAsia="宋体" w:cs="Times New Roman"/>
                <w:b w:val="0"/>
                <w:i w:val="0"/>
                <w:color w:val="000000"/>
                <w:sz w:val="24"/>
              </w:rPr>
              <w:t>八方法混淆矩阵汇总（10次试验预测拼接）</w:t>
            </w:r>
          </w:p>
        </w:tc>
      </w:tr>
      <w:tr>
        <w:tc>
          <w:tcPr>
            <w:tcW w:type="dxa" w:w="4320"/>
          </w:tcPr>
          <w:p>
            <w:pPr>
              <w:jc w:val="center"/>
            </w:pPr>
            <w:r>
              <w:rPr>
                <w:rFonts w:ascii="Times New Roman" w:hAnsi="Times New Roman" w:eastAsia="宋体" w:cs="Times New Roman"/>
                <w:b w:val="0"/>
                <w:i w:val="0"/>
                <w:color w:val="000000"/>
                <w:sz w:val="24"/>
              </w:rPr>
              <w:t>图5</w:t>
            </w:r>
          </w:p>
        </w:tc>
        <w:tc>
          <w:tcPr>
            <w:tcW w:type="dxa" w:w="4320"/>
          </w:tcPr>
          <w:p>
            <w:pPr>
              <w:jc w:val="center"/>
            </w:pPr>
            <w:r>
              <w:rPr>
                <w:rFonts w:ascii="Times New Roman" w:hAnsi="Times New Roman" w:eastAsia="宋体" w:cs="Times New Roman"/>
                <w:b w:val="0"/>
                <w:i w:val="0"/>
                <w:color w:val="000000"/>
                <w:sz w:val="24"/>
              </w:rPr>
              <w:t>六模型5折交叉验证对比（10次试验各5折取均值）</w:t>
            </w:r>
          </w:p>
        </w:tc>
      </w:tr>
      <w:tr>
        <w:tc>
          <w:tcPr>
            <w:tcW w:type="dxa" w:w="4320"/>
          </w:tcPr>
          <w:p>
            <w:pPr>
              <w:jc w:val="center"/>
            </w:pPr>
            <w:r>
              <w:rPr>
                <w:rFonts w:ascii="Times New Roman" w:hAnsi="Times New Roman" w:eastAsia="宋体" w:cs="Times New Roman"/>
                <w:b w:val="0"/>
                <w:i w:val="0"/>
                <w:color w:val="000000"/>
                <w:sz w:val="24"/>
              </w:rPr>
              <w:t>图6</w:t>
            </w:r>
          </w:p>
        </w:tc>
        <w:tc>
          <w:tcPr>
            <w:tcW w:type="dxa" w:w="4320"/>
          </w:tcPr>
          <w:p>
            <w:pPr>
              <w:jc w:val="center"/>
            </w:pPr>
            <w:r>
              <w:rPr>
                <w:rFonts w:ascii="Times New Roman" w:hAnsi="Times New Roman" w:eastAsia="宋体" w:cs="Times New Roman"/>
                <w:b w:val="0"/>
                <w:i w:val="0"/>
                <w:color w:val="000000"/>
                <w:sz w:val="24"/>
              </w:rPr>
              <w:t>MLP深入分析（架构对比、损失曲线、网格搜索、正则化与激活函数扫描）</w:t>
            </w:r>
          </w:p>
        </w:tc>
      </w:tr>
      <w:tr>
        <w:tc>
          <w:tcPr>
            <w:tcW w:type="dxa" w:w="4320"/>
          </w:tcPr>
          <w:p>
            <w:pPr>
              <w:jc w:val="center"/>
            </w:pPr>
            <w:r>
              <w:rPr>
                <w:rFonts w:ascii="Times New Roman" w:hAnsi="Times New Roman" w:eastAsia="宋体" w:cs="Times New Roman"/>
                <w:b w:val="0"/>
                <w:i w:val="0"/>
                <w:color w:val="000000"/>
                <w:sz w:val="24"/>
              </w:rPr>
              <w:t>图7</w:t>
            </w:r>
          </w:p>
        </w:tc>
        <w:tc>
          <w:tcPr>
            <w:tcW w:type="dxa" w:w="4320"/>
          </w:tcPr>
          <w:p>
            <w:pPr>
              <w:jc w:val="center"/>
            </w:pPr>
            <w:r>
              <w:rPr>
                <w:rFonts w:ascii="Times New Roman" w:hAnsi="Times New Roman" w:eastAsia="宋体" w:cs="Times New Roman"/>
                <w:b w:val="0"/>
                <w:i w:val="0"/>
                <w:color w:val="000000"/>
                <w:sz w:val="24"/>
              </w:rPr>
              <w:t>MLP不同隐层架构训练损失曲线对比</w:t>
            </w:r>
          </w:p>
        </w:tc>
      </w:tr>
      <w:tr>
        <w:tc>
          <w:tcPr>
            <w:tcW w:type="dxa" w:w="4320"/>
          </w:tcPr>
          <w:p>
            <w:pPr>
              <w:jc w:val="center"/>
            </w:pPr>
            <w:r>
              <w:rPr>
                <w:rFonts w:ascii="Times New Roman" w:hAnsi="Times New Roman" w:eastAsia="宋体" w:cs="Times New Roman"/>
                <w:b w:val="0"/>
                <w:i w:val="0"/>
                <w:color w:val="000000"/>
                <w:sz w:val="24"/>
              </w:rPr>
              <w:t>图8</w:t>
            </w:r>
          </w:p>
        </w:tc>
        <w:tc>
          <w:tcPr>
            <w:tcW w:type="dxa" w:w="4320"/>
          </w:tcPr>
          <w:p>
            <w:pPr>
              <w:jc w:val="center"/>
            </w:pPr>
            <w:r>
              <w:rPr>
                <w:rFonts w:ascii="Times New Roman" w:hAnsi="Times New Roman" w:eastAsia="宋体" w:cs="Times New Roman"/>
                <w:b w:val="0"/>
                <w:i w:val="0"/>
                <w:color w:val="000000"/>
                <w:sz w:val="24"/>
              </w:rPr>
              <w:t>决策树分析（树结构可视化、深度-过拟合曲线、混淆矩阵）</w:t>
            </w:r>
          </w:p>
        </w:tc>
      </w:tr>
      <w:tr>
        <w:tc>
          <w:tcPr>
            <w:tcW w:type="dxa" w:w="4320"/>
          </w:tcPr>
          <w:p>
            <w:pPr>
              <w:jc w:val="center"/>
            </w:pPr>
            <w:r>
              <w:rPr>
                <w:rFonts w:ascii="Times New Roman" w:hAnsi="Times New Roman" w:eastAsia="宋体" w:cs="Times New Roman"/>
                <w:b w:val="0"/>
                <w:i w:val="0"/>
                <w:color w:val="000000"/>
                <w:sz w:val="24"/>
              </w:rPr>
              <w:t>图9</w:t>
            </w:r>
          </w:p>
        </w:tc>
        <w:tc>
          <w:tcPr>
            <w:tcW w:type="dxa" w:w="4320"/>
          </w:tcPr>
          <w:p>
            <w:pPr>
              <w:jc w:val="center"/>
            </w:pPr>
            <w:r>
              <w:rPr>
                <w:rFonts w:ascii="Times New Roman" w:hAnsi="Times New Roman" w:eastAsia="宋体" w:cs="Times New Roman"/>
                <w:b w:val="0"/>
                <w:i w:val="0"/>
                <w:color w:val="000000"/>
                <w:sz w:val="24"/>
              </w:rPr>
              <w:t>梯度提升树分析（特征重要性、估计器数量扫描、混淆矩阵、学习率扫描）</w:t>
            </w:r>
          </w:p>
        </w:tc>
      </w:tr>
      <w:tr>
        <w:tc>
          <w:tcPr>
            <w:tcW w:type="dxa" w:w="4320"/>
          </w:tcPr>
          <w:p>
            <w:pPr>
              <w:jc w:val="center"/>
            </w:pPr>
            <w:r>
              <w:rPr>
                <w:rFonts w:ascii="Times New Roman" w:hAnsi="Times New Roman" w:eastAsia="宋体" w:cs="Times New Roman"/>
                <w:b w:val="0"/>
                <w:i w:val="0"/>
                <w:color w:val="000000"/>
                <w:sz w:val="24"/>
              </w:rPr>
              <w:t>图10</w:t>
            </w:r>
          </w:p>
        </w:tc>
        <w:tc>
          <w:tcPr>
            <w:tcW w:type="dxa" w:w="4320"/>
          </w:tcPr>
          <w:p>
            <w:pPr>
              <w:jc w:val="center"/>
            </w:pPr>
            <w:r>
              <w:rPr>
                <w:rFonts w:ascii="Times New Roman" w:hAnsi="Times New Roman" w:eastAsia="宋体" w:cs="Times New Roman"/>
                <w:b w:val="0"/>
                <w:i w:val="0"/>
                <w:color w:val="000000"/>
                <w:sz w:val="24"/>
              </w:rPr>
              <w:t>随机森林分析（特征重要性、估计器数量扫描、混淆矩阵、深度扫描）</w:t>
            </w:r>
          </w:p>
        </w:tc>
      </w:tr>
      <w:tr>
        <w:tc>
          <w:tcPr>
            <w:tcW w:type="dxa" w:w="4320"/>
          </w:tcPr>
          <w:p>
            <w:pPr>
              <w:jc w:val="center"/>
            </w:pPr>
            <w:r>
              <w:rPr>
                <w:rFonts w:ascii="Times New Roman" w:hAnsi="Times New Roman" w:eastAsia="宋体" w:cs="Times New Roman"/>
                <w:b w:val="0"/>
                <w:i w:val="0"/>
                <w:color w:val="000000"/>
                <w:sz w:val="24"/>
              </w:rPr>
              <w:t>图11</w:t>
            </w:r>
          </w:p>
        </w:tc>
        <w:tc>
          <w:tcPr>
            <w:tcW w:type="dxa" w:w="4320"/>
          </w:tcPr>
          <w:p>
            <w:pPr>
              <w:jc w:val="center"/>
            </w:pPr>
            <w:r>
              <w:rPr>
                <w:rFonts w:ascii="Times New Roman" w:hAnsi="Times New Roman" w:eastAsia="宋体" w:cs="Times New Roman"/>
                <w:b w:val="0"/>
                <w:i w:val="0"/>
                <w:color w:val="000000"/>
                <w:sz w:val="24"/>
              </w:rPr>
              <w:t>逻辑回归分析（系数热力图、特征重要性、混淆矩阵、C值扫描）</w:t>
            </w:r>
          </w:p>
        </w:tc>
      </w:tr>
      <w:tr>
        <w:tc>
          <w:tcPr>
            <w:tcW w:type="dxa" w:w="4320"/>
          </w:tcPr>
          <w:p>
            <w:pPr>
              <w:jc w:val="center"/>
            </w:pPr>
            <w:r>
              <w:rPr>
                <w:rFonts w:ascii="Times New Roman" w:hAnsi="Times New Roman" w:eastAsia="宋体" w:cs="Times New Roman"/>
                <w:b w:val="0"/>
                <w:i w:val="0"/>
                <w:color w:val="000000"/>
                <w:sz w:val="24"/>
              </w:rPr>
              <w:t>图12</w:t>
            </w:r>
          </w:p>
        </w:tc>
        <w:tc>
          <w:tcPr>
            <w:tcW w:type="dxa" w:w="4320"/>
          </w:tcPr>
          <w:p>
            <w:pPr>
              <w:jc w:val="center"/>
            </w:pPr>
            <w:r>
              <w:rPr>
                <w:rFonts w:ascii="Times New Roman" w:hAnsi="Times New Roman" w:eastAsia="宋体" w:cs="Times New Roman"/>
                <w:b w:val="0"/>
                <w:i w:val="0"/>
                <w:color w:val="000000"/>
                <w:sz w:val="24"/>
              </w:rPr>
              <w:t>SVM（RBF核）参数分析（C值扫描、γ扫描、混淆矩阵、支持向量统计）</w:t>
            </w:r>
          </w:p>
        </w:tc>
      </w:tr>
      <w:tr>
        <w:tc>
          <w:tcPr>
            <w:tcW w:type="dxa" w:w="4320"/>
          </w:tcPr>
          <w:p>
            <w:pPr>
              <w:jc w:val="center"/>
            </w:pPr>
            <w:r>
              <w:rPr>
                <w:rFonts w:ascii="Times New Roman" w:hAnsi="Times New Roman" w:eastAsia="宋体" w:cs="Times New Roman"/>
                <w:b w:val="0"/>
                <w:i w:val="0"/>
                <w:color w:val="000000"/>
                <w:sz w:val="24"/>
              </w:rPr>
              <w:t>图13</w:t>
            </w:r>
          </w:p>
        </w:tc>
        <w:tc>
          <w:tcPr>
            <w:tcW w:type="dxa" w:w="4320"/>
          </w:tcPr>
          <w:p>
            <w:pPr>
              <w:jc w:val="center"/>
            </w:pPr>
            <w:r>
              <w:rPr>
                <w:rFonts w:ascii="Times New Roman" w:hAnsi="Times New Roman" w:eastAsia="宋体" w:cs="Times New Roman"/>
                <w:b w:val="0"/>
                <w:i w:val="0"/>
                <w:color w:val="000000"/>
                <w:sz w:val="24"/>
              </w:rPr>
              <w:t>KNN分析（k值1至30扫描、混淆矩阵）</w:t>
            </w:r>
          </w:p>
        </w:tc>
      </w:tr>
      <w:tr>
        <w:tc>
          <w:tcPr>
            <w:tcW w:type="dxa" w:w="4320"/>
          </w:tcPr>
          <w:p>
            <w:pPr>
              <w:jc w:val="center"/>
            </w:pPr>
            <w:r>
              <w:rPr>
                <w:rFonts w:ascii="Times New Roman" w:hAnsi="Times New Roman" w:eastAsia="宋体" w:cs="Times New Roman"/>
                <w:b w:val="0"/>
                <w:i w:val="0"/>
                <w:color w:val="000000"/>
                <w:sz w:val="24"/>
              </w:rPr>
              <w:t>图14</w:t>
            </w:r>
          </w:p>
        </w:tc>
        <w:tc>
          <w:tcPr>
            <w:tcW w:type="dxa" w:w="4320"/>
          </w:tcPr>
          <w:p>
            <w:pPr>
              <w:jc w:val="center"/>
            </w:pPr>
            <w:r>
              <w:rPr>
                <w:rFonts w:ascii="Times New Roman" w:hAnsi="Times New Roman" w:eastAsia="宋体" w:cs="Times New Roman"/>
                <w:b w:val="0"/>
                <w:i w:val="0"/>
                <w:color w:val="000000"/>
                <w:sz w:val="24"/>
              </w:rPr>
              <w:t>高斯朴素贝叶斯分析（各类别均值±标准差、混淆矩阵）</w:t>
            </w:r>
          </w:p>
        </w:tc>
      </w:tr>
      <w:tr>
        <w:tc>
          <w:tcPr>
            <w:tcW w:type="dxa" w:w="4320"/>
          </w:tcPr>
          <w:p>
            <w:pPr>
              <w:jc w:val="center"/>
            </w:pPr>
            <w:r>
              <w:rPr>
                <w:rFonts w:ascii="Times New Roman" w:hAnsi="Times New Roman" w:eastAsia="宋体" w:cs="Times New Roman"/>
                <w:b w:val="0"/>
                <w:i w:val="0"/>
                <w:color w:val="000000"/>
                <w:sz w:val="24"/>
              </w:rPr>
              <w:t>图15</w:t>
            </w:r>
          </w:p>
        </w:tc>
        <w:tc>
          <w:tcPr>
            <w:tcW w:type="dxa" w:w="4320"/>
          </w:tcPr>
          <w:p>
            <w:pPr>
              <w:jc w:val="center"/>
            </w:pPr>
            <w:r>
              <w:rPr>
                <w:rFonts w:ascii="Times New Roman" w:hAnsi="Times New Roman" w:eastAsia="宋体" w:cs="Times New Roman"/>
                <w:b w:val="0"/>
                <w:i w:val="0"/>
                <w:color w:val="000000"/>
                <w:sz w:val="24"/>
              </w:rPr>
              <w:t>特征消融热力图（移除各特征后准确率及退化量）</w:t>
            </w:r>
          </w:p>
        </w:tc>
      </w:tr>
      <w:tr>
        <w:tc>
          <w:tcPr>
            <w:tcW w:type="dxa" w:w="4320"/>
          </w:tcPr>
          <w:p>
            <w:pPr>
              <w:jc w:val="center"/>
            </w:pPr>
            <w:r>
              <w:rPr>
                <w:rFonts w:ascii="Times New Roman" w:hAnsi="Times New Roman" w:eastAsia="宋体" w:cs="Times New Roman"/>
                <w:b w:val="0"/>
                <w:i w:val="0"/>
                <w:color w:val="000000"/>
                <w:sz w:val="24"/>
              </w:rPr>
              <w:t>图16</w:t>
            </w:r>
          </w:p>
        </w:tc>
        <w:tc>
          <w:tcPr>
            <w:tcW w:type="dxa" w:w="4320"/>
          </w:tcPr>
          <w:p>
            <w:pPr>
              <w:jc w:val="center"/>
            </w:pPr>
            <w:r>
              <w:rPr>
                <w:rFonts w:ascii="Times New Roman" w:hAnsi="Times New Roman" w:eastAsia="宋体" w:cs="Times New Roman"/>
                <w:b w:val="0"/>
                <w:i w:val="0"/>
                <w:color w:val="000000"/>
                <w:sz w:val="24"/>
              </w:rPr>
              <w:t>数据量消融曲线（训练比例90%至10%）</w:t>
            </w:r>
          </w:p>
        </w:tc>
      </w:tr>
      <w:tr>
        <w:tc>
          <w:tcPr>
            <w:tcW w:type="dxa" w:w="4320"/>
          </w:tcPr>
          <w:p>
            <w:pPr>
              <w:jc w:val="center"/>
            </w:pPr>
            <w:r>
              <w:rPr>
                <w:rFonts w:ascii="Times New Roman" w:hAnsi="Times New Roman" w:eastAsia="宋体" w:cs="Times New Roman"/>
                <w:b w:val="0"/>
                <w:i w:val="0"/>
                <w:color w:val="000000"/>
                <w:sz w:val="24"/>
              </w:rPr>
              <w:t>图17</w:t>
            </w:r>
          </w:p>
        </w:tc>
        <w:tc>
          <w:tcPr>
            <w:tcW w:type="dxa" w:w="4320"/>
          </w:tcPr>
          <w:p>
            <w:pPr>
              <w:jc w:val="center"/>
            </w:pPr>
            <w:r>
              <w:rPr>
                <w:rFonts w:ascii="Times New Roman" w:hAnsi="Times New Roman" w:eastAsia="宋体" w:cs="Times New Roman"/>
                <w:b w:val="0"/>
                <w:i w:val="0"/>
                <w:color w:val="000000"/>
                <w:sz w:val="24"/>
              </w:rPr>
              <w:t>MLP架构消融（宽度、深度、正则化强度、激活函数四维度扫描）</w:t>
            </w:r>
          </w:p>
        </w:tc>
      </w:tr>
      <w:tr>
        <w:tc>
          <w:tcPr>
            <w:tcW w:type="dxa" w:w="4320"/>
          </w:tcPr>
          <w:p>
            <w:pPr>
              <w:jc w:val="center"/>
            </w:pPr>
            <w:r>
              <w:rPr>
                <w:rFonts w:ascii="Times New Roman" w:hAnsi="Times New Roman" w:eastAsia="宋体" w:cs="Times New Roman"/>
                <w:b w:val="0"/>
                <w:i w:val="0"/>
                <w:color w:val="000000"/>
                <w:sz w:val="24"/>
              </w:rPr>
              <w:t>图18</w:t>
            </w:r>
          </w:p>
        </w:tc>
        <w:tc>
          <w:tcPr>
            <w:tcW w:type="dxa" w:w="4320"/>
          </w:tcPr>
          <w:p>
            <w:pPr>
              <w:jc w:val="center"/>
            </w:pPr>
            <w:r>
              <w:rPr>
                <w:rFonts w:ascii="Times New Roman" w:hAnsi="Times New Roman" w:eastAsia="宋体" w:cs="Times New Roman"/>
                <w:b w:val="0"/>
                <w:i w:val="0"/>
                <w:color w:val="000000"/>
                <w:sz w:val="24"/>
              </w:rPr>
              <w:t>预处理消融对比（标准化与未标准化准确率及差值）</w:t>
            </w:r>
          </w:p>
        </w:tc>
      </w:tr>
    </w:tbl>
    <w:p/>
    <w:p>
      <w:pPr>
        <w:spacing w:before="240" w:after="120" w:lineRule="auto" w:line="300"/>
        <w:jc w:val="left"/>
      </w:pPr>
      <w:r>
        <w:rPr>
          <w:rFonts w:ascii="Times New Roman" w:hAnsi="Times New Roman" w:eastAsia="宋体" w:cs="Times New Roman"/>
          <w:b/>
          <w:i w:val="0"/>
          <w:color w:val="000000"/>
          <w:sz w:val="32"/>
        </w:rPr>
        <w:t>参考文献</w:t>
      </w:r>
    </w:p>
    <w:p>
      <w:pPr>
        <w:spacing w:line="360" w:lineRule="auto" w:after="120" w:before="0"/>
        <w:ind w:firstLine="482"/>
      </w:pPr>
      <w:r>
        <w:rPr>
          <w:rFonts w:ascii="Times New Roman" w:hAnsi="Times New Roman" w:eastAsia="宋体" w:cs="Times New Roman"/>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Times New Roman" w:eastAsia="宋体" w:cs="Times New Roman"/>
          <w:b w:val="0"/>
          <w:i w:val="0"/>
          <w:color w:val="000000"/>
          <w:sz w:val="24"/>
        </w:rPr>
        <w:t>[2]周志华. 机器学习[M]. 北京: 清华大学出版社, 2016.</w:t>
      </w:r>
    </w:p>
    <w:p>
      <w:pPr>
        <w:spacing w:line="360" w:lineRule="auto" w:after="120" w:before="0"/>
        <w:ind w:firstLine="482"/>
      </w:pPr>
      <w:r>
        <w:rPr>
          <w:rFonts w:ascii="Times New Roman" w:hAnsi="Times New Roman" w:eastAsia="宋体" w:cs="Times New Roman"/>
          <w:b w:val="0"/>
          <w:i w:val="0"/>
          <w:color w:val="000000"/>
          <w:sz w:val="24"/>
        </w:rPr>
        <w:t>[3]李航. 统计学习方法（第2版）[M]. 北京: 清华大学出版社, 2019.</w:t>
      </w:r>
    </w:p>
    <w:p>
      <w:pPr>
        <w:spacing w:line="360" w:lineRule="auto" w:after="120" w:before="0"/>
        <w:ind w:firstLine="482"/>
      </w:pPr>
      <w:r>
        <w:rPr>
          <w:rFonts w:ascii="Times New Roman" w:hAnsi="Times New Roman" w:eastAsia="宋体" w:cs="Times New Roman"/>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Times New Roman" w:eastAsia="宋体" w:cs="Times New Roman"/>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