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Rule="auto" w:line="300"/>
        <w:jc w:val="center"/>
      </w:pPr>
      <w:r>
        <w:rPr>
          <w:rFonts w:ascii="Times New Roman" w:hAnsi="宋体" w:eastAsia="宋体"/>
          <w:b/>
          <w:i w:val="0"/>
          <w:color w:val="000000"/>
          <w:sz w:val="44"/>
        </w:rPr>
        <w:t>鸢尾花分类问题的人工智能方法对比研究</w:t>
      </w:r>
    </w:p>
    <w:p>
      <w:pPr>
        <w:spacing w:line="360" w:lineRule="auto" w:after="120"/>
        <w:ind w:left="567" w:firstLine="482"/>
      </w:pPr>
      <w:r>
        <w:rPr>
          <w:rFonts w:ascii="Times New Roman" w:hAnsi="宋体" w:eastAsia="宋体"/>
          <w:b w:val="0"/>
          <w:i/>
          <w:color w:val="000000"/>
          <w:sz w:val="21"/>
        </w:rPr>
        <w:t>人工智能课程大作业</w:t>
      </w:r>
    </w:p>
    <w:p>
      <w:pPr>
        <w:spacing w:before="240" w:after="120" w:lineRule="auto" w:line="300"/>
        <w:jc w:val="left"/>
      </w:pPr>
      <w:r>
        <w:rPr>
          <w:rFonts w:ascii="Times New Roman" w:hAnsi="宋体" w:eastAsia="宋体"/>
          <w:b/>
          <w:i w:val="0"/>
          <w:color w:val="000000"/>
          <w:sz w:val="32"/>
        </w:rPr>
        <w:t>摘要</w:t>
      </w:r>
    </w:p>
    <w:p>
      <w:pPr>
        <w:spacing w:line="360" w:lineRule="auto" w:after="120" w:before="0"/>
        <w:ind w:firstLine="482"/>
      </w:pPr>
      <w:r>
        <w:rPr>
          <w:rFonts w:ascii="Times New Roman" w:hAnsi="宋体" w:eastAsia="宋体"/>
          <w:b w:val="0"/>
          <w:i w:val="0"/>
          <w:color w:val="000000"/>
          <w:sz w:val="24"/>
        </w:rPr>
        <w:t>本实验在Iris鸢尾花数据集上对比了8类12个分类方法的性能。为克服单次70/30划分的高方差，实验采用10次重复试验，并将全部试验的测试集预测拼接，统一计算F1、ROC和混淆矩阵。结果表明：MLP(GridSearch最佳)以95.8%居首，MLP(32,16,8)和梯度提升树以93.6%垫底，MLP(16,8)的标准差3.9%最大、逻辑回归的2.4%最小。GridSearch虽然选出参数极不稳定（仅2/10次相同），但平均表现优于手动配置的各个MLP架构——说明参数调优在小数据上虽噪声大，仍能整体获益。消融实验进一步揭示：决策树在10%训练样本时暴跌至62.2%，SVM（84.4%）最抗数据缩减；标准化对距离模型在本次划分中反而降低准确率，说明预处理效果同样受数据划分支配。这些结果共同说明，单次划分的结论不可靠——多次重复+拼接评估+消融分析是得出可信结论的必要条件。</w:t>
      </w:r>
    </w:p>
    <w:p>
      <w:pPr>
        <w:spacing w:line="360" w:lineRule="auto" w:after="120" w:before="0"/>
        <w:ind w:firstLine="482"/>
      </w:pPr>
      <w:r>
        <w:rPr>
          <w:rFonts w:ascii="Times New Roman" w:hAnsi="宋体" w:eastAsia="宋体"/>
          <w:b/>
          <w:i w:val="0"/>
          <w:color w:val="000000"/>
          <w:sz w:val="24"/>
        </w:rPr>
        <w:t>关键词：</w:t>
      </w:r>
      <w:r>
        <w:rPr>
          <w:rFonts w:ascii="Times New Roman" w:hAnsi="宋体" w:eastAsia="宋体"/>
          <w:b w:val="0"/>
          <w:i w:val="0"/>
          <w:color w:val="000000"/>
          <w:sz w:val="24"/>
        </w:rPr>
        <w:t>鸢尾花分类；机器学习；重复试验；GridSearch；消融实验</w:t>
      </w:r>
    </w:p>
    <w:p>
      <w:pPr>
        <w:spacing w:before="240" w:after="120" w:lineRule="auto" w:line="300"/>
        <w:jc w:val="left"/>
      </w:pPr>
      <w:r>
        <w:rPr>
          <w:rFonts w:ascii="Times New Roman" w:hAnsi="宋体" w:eastAsia="宋体"/>
          <w:b/>
          <w:i w:val="0"/>
          <w:color w:val="000000"/>
          <w:sz w:val="32"/>
        </w:rPr>
        <w:t>1. 引言</w:t>
      </w:r>
    </w:p>
    <w:p>
      <w:pPr>
        <w:spacing w:line="360" w:lineRule="auto" w:after="120" w:before="0"/>
        <w:ind w:firstLine="482"/>
      </w:pPr>
      <w:r>
        <w:rPr>
          <w:rFonts w:ascii="Times New Roman" w:hAnsi="宋体" w:eastAsia="宋体"/>
          <w:b w:val="0"/>
          <w:i w:val="0"/>
          <w:color w:val="000000"/>
          <w:sz w:val="24"/>
        </w:rPr>
        <w:t>鸢尾花数据集是1936年Fisher提出的经典分类数据集，3个品种各50条样本，每条含花萼长宽和花瓣长宽4个特征。因特征区分度高、线性可分性强，常被用作机器学习入门实验。</w:t>
      </w:r>
    </w:p>
    <w:p>
      <w:pPr>
        <w:spacing w:line="360" w:lineRule="auto" w:after="120" w:before="0"/>
        <w:ind w:firstLine="482"/>
      </w:pPr>
      <w:r>
        <w:rPr>
          <w:rFonts w:ascii="Times New Roman" w:hAnsi="宋体" w:eastAsia="宋体"/>
          <w:b w:val="0"/>
          <w:i w:val="0"/>
          <w:color w:val="000000"/>
          <w:sz w:val="24"/>
        </w:rPr>
        <w:t>本次大作业要求在Iris上对比多种分类方法。实际做下来发现，比出哪个最好不是重点——Iris太简单，所有方法差距在2个百分点内——而是那些反直觉的现象：为什么加深MLP反而变差？GridSearch选的参数为什么极不稳定？为什么不标准化反而更准？这篇报告围绕这些问题展开。</w:t>
      </w:r>
    </w:p>
    <w:p>
      <w:pPr>
        <w:spacing w:before="240" w:after="120" w:lineRule="auto" w:line="300"/>
        <w:jc w:val="left"/>
      </w:pPr>
      <w:r>
        <w:rPr>
          <w:rFonts w:ascii="Times New Roman" w:hAnsi="宋体" w:eastAsia="宋体"/>
          <w:b/>
          <w:i w:val="0"/>
          <w:color w:val="000000"/>
          <w:sz w:val="32"/>
        </w:rPr>
        <w:t>2. 实验设置</w:t>
      </w:r>
    </w:p>
    <w:p>
      <w:pPr>
        <w:spacing w:before="240" w:after="120" w:lineRule="auto" w:line="300"/>
        <w:jc w:val="left"/>
      </w:pPr>
      <w:r>
        <w:rPr>
          <w:rFonts w:ascii="Times New Roman" w:hAnsi="宋体" w:eastAsia="宋体"/>
          <w:b/>
          <w:i w:val="0"/>
          <w:color w:val="000000"/>
          <w:sz w:val="28"/>
        </w:rPr>
        <w:t>2.1数据集与预处理</w:t>
      </w:r>
    </w:p>
    <w:p>
      <w:pPr>
        <w:spacing w:line="360" w:lineRule="auto" w:after="120" w:before="0"/>
        <w:ind w:firstLine="482"/>
      </w:pPr>
      <w:r>
        <w:rPr>
          <w:rFonts w:ascii="Times New Roman" w:hAnsi="宋体" w:eastAsia="宋体"/>
          <w:b w:val="0"/>
          <w:i w:val="0"/>
          <w:color w:val="000000"/>
          <w:sz w:val="24"/>
        </w:rPr>
        <w:t>数据集150条样本，3类别各50条，完全平衡。实验采用10次独立重复试验，每次按70%/30%随机划分训练集（105条）和测试集（45条），最终报告10次测试准确率的均值与标准差。所有试验中各模型的预测标签和概率保存至</w:t>
      </w:r>
      <w:r>
        <w:rPr>
          <w:rFonts w:ascii="Courier New" w:hAnsi="Courier New" w:eastAsia="Courier New"/>
          <w:b w:val="0"/>
          <w:i w:val="0"/>
          <w:color w:val="000000"/>
          <w:sz w:val="24"/>
        </w:rPr>
        <w:t>experiment_results.json</w:t>
      </w:r>
      <w:r>
        <w:rPr>
          <w:rFonts w:ascii="Times New Roman" w:hAnsi="宋体" w:eastAsia="宋体"/>
          <w:b w:val="0"/>
          <w:i w:val="0"/>
          <w:color w:val="000000"/>
          <w:sz w:val="24"/>
        </w:rPr>
        <w:t>，训练好的模型、Scaler、训练/测试划分保存至</w:t>
      </w:r>
      <w:r>
        <w:rPr>
          <w:rFonts w:ascii="Courier New" w:hAnsi="Courier New" w:eastAsia="Courier New"/>
          <w:b w:val="0"/>
          <w:i w:val="0"/>
          <w:color w:val="000000"/>
          <w:sz w:val="24"/>
        </w:rPr>
        <w:t>session.joblib</w:t>
      </w:r>
      <w:r>
        <w:rPr>
          <w:rFonts w:ascii="Times New Roman" w:hAnsi="宋体" w:eastAsia="宋体"/>
          <w:b w:val="0"/>
          <w:i w:val="0"/>
          <w:color w:val="000000"/>
          <w:sz w:val="24"/>
        </w:rPr>
        <w:t>。</w:t>
      </w:r>
    </w:p>
    <w:p>
      <w:pPr>
        <w:spacing w:line="360" w:lineRule="auto" w:after="120" w:before="0"/>
        <w:ind w:firstLine="482"/>
      </w:pPr>
      <w:r>
        <w:rPr>
          <w:rFonts w:ascii="Times New Roman" w:hAnsi="宋体" w:eastAsia="宋体"/>
          <w:b w:val="0"/>
          <w:i w:val="0"/>
          <w:color w:val="000000"/>
          <w:sz w:val="24"/>
        </w:rPr>
        <w:t>F1-Score、ROC曲线和混淆矩阵的评估不再只依赖末次试验的45条样本，而是将10次试验的全部测试集拼接（共约450条）后统一计算。这一拼接策略同样应用于各单方法可视化图（图4–6、图12–16）的混淆矩阵，使每张CM反映10次试验的综合结果而非单次运气。</w:t>
      </w:r>
    </w:p>
    <w:p>
      <w:pPr>
        <w:spacing w:line="360" w:lineRule="auto" w:after="120" w:before="0"/>
        <w:ind w:firstLine="482"/>
      </w:pPr>
      <w:r>
        <w:rPr>
          <w:rFonts w:ascii="Times New Roman" w:hAnsi="宋体" w:eastAsia="宋体"/>
          <w:b w:val="0"/>
          <w:i w:val="0"/>
          <w:color w:val="000000"/>
          <w:sz w:val="24"/>
        </w:rPr>
        <w:t>交叉验证：10次试验各自在训练集（70%）上做5折StratifiedKFold CV，共50个分数，跨试验取均值。参与CV的模型为6个（逻辑回归、SVM、随机森林、KNN、梯度提升树、朴素贝叶斯），不含MLP变体和决策树。</w:t>
      </w:r>
    </w:p>
    <w:p>
      <w:pPr>
        <w:spacing w:line="360" w:lineRule="auto" w:after="120" w:before="0"/>
        <w:ind w:firstLine="482"/>
      </w:pPr>
      <w:r>
        <w:rPr>
          <w:rFonts w:ascii="Times New Roman" w:hAnsi="宋体" w:eastAsia="宋体"/>
          <w:b w:val="0"/>
          <w:i w:val="0"/>
          <w:color w:val="000000"/>
          <w:sz w:val="24"/>
        </w:rPr>
        <w:t>消融实验：基于末次试验的单次划分，末次划分固定</w:t>
      </w:r>
      <w:r>
        <w:rPr>
          <w:rFonts w:ascii="Courier New" w:hAnsi="Courier New" w:eastAsia="Courier New"/>
          <w:b w:val="0"/>
          <w:i w:val="0"/>
          <w:color w:val="000000"/>
          <w:sz w:val="24"/>
        </w:rPr>
        <w:t>random_state=42</w:t>
      </w:r>
      <w:r>
        <w:rPr>
          <w:rFonts w:ascii="Times New Roman" w:hAnsi="宋体" w:eastAsia="宋体"/>
          <w:b w:val="0"/>
          <w:i w:val="0"/>
          <w:color w:val="000000"/>
          <w:sz w:val="24"/>
        </w:rPr>
        <w:t>以保证可复现。4类消融结果（特征、数据量、MLP架构、预处理）同样保存至session，供</w:t>
      </w:r>
      <w:r>
        <w:rPr>
          <w:rFonts w:ascii="Courier New" w:hAnsi="Courier New" w:eastAsia="Courier New"/>
          <w:b w:val="0"/>
          <w:i w:val="0"/>
          <w:color w:val="000000"/>
          <w:sz w:val="24"/>
        </w:rPr>
        <w:t>--analyze</w:t>
      </w:r>
      <w:r>
        <w:rPr>
          <w:rFonts w:ascii="Times New Roman" w:hAnsi="宋体" w:eastAsia="宋体"/>
          <w:b w:val="0"/>
          <w:i w:val="0"/>
          <w:color w:val="000000"/>
          <w:sz w:val="24"/>
        </w:rPr>
        <w:t>直接读取。</w:t>
      </w:r>
    </w:p>
    <w:p>
      <w:pPr>
        <w:spacing w:line="360" w:lineRule="auto" w:after="120" w:before="0"/>
        <w:ind w:firstLine="482"/>
      </w:pPr>
      <w:r>
        <w:rPr>
          <w:rFonts w:ascii="Times New Roman" w:hAnsi="宋体" w:eastAsia="宋体"/>
          <w:b w:val="0"/>
          <w:i w:val="0"/>
          <w:color w:val="000000"/>
          <w:sz w:val="24"/>
        </w:rPr>
        <w:t>标准化：对所有距离相关模型（LR、SVM、KNN、MLP）使用StandardScaler，基于训练集均值与标准差拟合后应用于测试集。树模型和朴素贝叶斯也采用同样预处理以避免不一致，但正常不受量纲影响。</w:t>
      </w:r>
    </w:p>
    <w:p>
      <w:pPr>
        <w:spacing w:line="360" w:lineRule="auto" w:after="120" w:before="0"/>
        <w:ind w:firstLine="482"/>
      </w:pPr>
      <w:r>
        <w:rPr>
          <w:rFonts w:ascii="Times New Roman" w:hAnsi="宋体" w:eastAsia="宋体"/>
          <w:b/>
          <w:i w:val="0"/>
          <w:color w:val="000000"/>
          <w:sz w:val="24"/>
        </w:rPr>
        <w:t>可复现性</w:t>
      </w:r>
      <w:r>
        <w:rPr>
          <w:rFonts w:ascii="Times New Roman" w:hAnsi="宋体" w:eastAsia="宋体"/>
          <w:b w:val="0"/>
          <w:i w:val="0"/>
          <w:color w:val="000000"/>
          <w:sz w:val="24"/>
        </w:rPr>
        <w:t>：首次执行</w:t>
      </w:r>
      <w:r>
        <w:rPr>
          <w:rFonts w:ascii="Courier New" w:hAnsi="Courier New" w:eastAsia="Courier New"/>
          <w:b w:val="0"/>
          <w:i w:val="0"/>
          <w:color w:val="000000"/>
          <w:sz w:val="24"/>
        </w:rPr>
        <w:t>python classify.py</w:t>
      </w:r>
      <w:r>
        <w:rPr>
          <w:rFonts w:ascii="Times New Roman" w:hAnsi="宋体" w:eastAsia="宋体"/>
          <w:b w:val="0"/>
          <w:i w:val="0"/>
          <w:color w:val="000000"/>
          <w:sz w:val="24"/>
        </w:rPr>
        <w:t>完成训练并保存session后，任意多次执行</w:t>
      </w:r>
      <w:r>
        <w:rPr>
          <w:rFonts w:ascii="Courier New" w:hAnsi="Courier New" w:eastAsia="Courier New"/>
          <w:b w:val="0"/>
          <w:i w:val="0"/>
          <w:color w:val="000000"/>
          <w:sz w:val="24"/>
        </w:rPr>
        <w:t>python classify.py --analyze</w:t>
      </w:r>
      <w:r>
        <w:rPr>
          <w:rFonts w:ascii="Times New Roman" w:hAnsi="宋体" w:eastAsia="宋体"/>
          <w:b w:val="0"/>
          <w:i w:val="0"/>
          <w:color w:val="000000"/>
          <w:sz w:val="24"/>
        </w:rPr>
        <w:t>均可从session完全复现全部图表（含消融），无需重新训练。</w:t>
      </w:r>
    </w:p>
    <w:p>
      <w:pPr>
        <w:spacing w:before="240" w:after="120" w:lineRule="auto" w:line="300"/>
        <w:jc w:val="left"/>
      </w:pPr>
      <w:r>
        <w:rPr>
          <w:rFonts w:ascii="Times New Roman" w:hAnsi="宋体" w:eastAsia="宋体"/>
          <w:b/>
          <w:i w:val="0"/>
          <w:color w:val="000000"/>
          <w:sz w:val="28"/>
        </w:rPr>
        <w:t>2.2方法概览</w:t>
      </w:r>
    </w:p>
    <w:p>
      <w:pPr>
        <w:spacing w:line="360" w:lineRule="auto" w:after="120" w:before="0"/>
        <w:ind w:firstLine="482"/>
      </w:pPr>
      <w:r>
        <w:rPr>
          <w:rFonts w:ascii="Times New Roman" w:hAnsi="宋体" w:eastAsia="宋体"/>
          <w:b w:val="0"/>
          <w:i w:val="0"/>
          <w:color w:val="000000"/>
          <w:sz w:val="24"/>
        </w:rPr>
        <w:t>共8类12个模型：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宋体" w:eastAsia="宋体"/>
                <w:b/>
                <w:i w:val="0"/>
                <w:color w:val="000000"/>
                <w:sz w:val="24"/>
              </w:rPr>
              <w:t>类别</w:t>
            </w:r>
          </w:p>
        </w:tc>
        <w:tc>
          <w:tcPr>
            <w:tcW w:type="dxa" w:w="2880"/>
          </w:tcPr>
          <w:p>
            <w:pPr>
              <w:jc w:val="center"/>
            </w:pPr>
            <w:r>
              <w:rPr>
                <w:rFonts w:ascii="Times New Roman" w:hAnsi="宋体" w:eastAsia="宋体"/>
                <w:b/>
                <w:i w:val="0"/>
                <w:color w:val="000000"/>
                <w:sz w:val="24"/>
              </w:rPr>
              <w:t>模型</w:t>
            </w:r>
          </w:p>
        </w:tc>
        <w:tc>
          <w:tcPr>
            <w:tcW w:type="dxa" w:w="2880"/>
          </w:tcPr>
          <w:p>
            <w:pPr>
              <w:jc w:val="center"/>
            </w:pPr>
            <w:r>
              <w:rPr>
                <w:rFonts w:ascii="Times New Roman" w:hAnsi="宋体" w:eastAsia="宋体"/>
                <w:b/>
                <w:i w:val="0"/>
                <w:color w:val="000000"/>
                <w:sz w:val="24"/>
              </w:rPr>
              <w:t>关键参数</w:t>
            </w:r>
          </w:p>
        </w:tc>
      </w:tr>
      <w:tr>
        <w:tc>
          <w:tcPr>
            <w:tcW w:type="dxa" w:w="2880"/>
          </w:tcPr>
          <w:p>
            <w:pPr>
              <w:jc w:val="center"/>
            </w:pPr>
            <w:r>
              <w:rPr>
                <w:rFonts w:ascii="Times New Roman" w:hAnsi="宋体" w:eastAsia="宋体"/>
                <w:b w:val="0"/>
                <w:i w:val="0"/>
                <w:color w:val="000000"/>
                <w:sz w:val="24"/>
              </w:rPr>
              <w:t>线性</w:t>
            </w:r>
          </w:p>
        </w:tc>
        <w:tc>
          <w:tcPr>
            <w:tcW w:type="dxa" w:w="2880"/>
          </w:tcPr>
          <w:p>
            <w:pPr>
              <w:jc w:val="center"/>
            </w:pPr>
            <w:r>
              <w:rPr>
                <w:rFonts w:ascii="Times New Roman" w:hAnsi="宋体" w:eastAsia="宋体"/>
                <w:b w:val="0"/>
                <w:i w:val="0"/>
                <w:color w:val="000000"/>
                <w:sz w:val="24"/>
              </w:rPr>
              <w:t>逻辑回归</w:t>
            </w:r>
          </w:p>
        </w:tc>
        <w:tc>
          <w:tcPr>
            <w:tcW w:type="dxa" w:w="2880"/>
          </w:tcPr>
          <w:p>
            <w:pPr>
              <w:jc w:val="center"/>
            </w:pPr>
            <w:r>
              <w:rPr>
                <w:rFonts w:ascii="Times New Roman" w:hAnsi="宋体" w:eastAsia="宋体"/>
                <w:b w:val="0"/>
                <w:i w:val="0"/>
                <w:color w:val="000000"/>
                <w:sz w:val="24"/>
              </w:rPr>
              <w:t>LBFGS, C=1.0</w:t>
            </w:r>
          </w:p>
        </w:tc>
      </w:tr>
      <w:tr>
        <w:tc>
          <w:tcPr>
            <w:tcW w:type="dxa" w:w="2880"/>
          </w:tcPr>
          <w:p>
            <w:pPr>
              <w:jc w:val="center"/>
            </w:pPr>
            <w:r>
              <w:rPr>
                <w:rFonts w:ascii="Times New Roman" w:hAnsi="宋体" w:eastAsia="宋体"/>
                <w:b w:val="0"/>
                <w:i w:val="0"/>
                <w:color w:val="000000"/>
                <w:sz w:val="24"/>
              </w:rPr>
              <w:t>核方法</w:t>
            </w:r>
          </w:p>
        </w:tc>
        <w:tc>
          <w:tcPr>
            <w:tcW w:type="dxa" w:w="2880"/>
          </w:tcPr>
          <w:p>
            <w:pPr>
              <w:jc w:val="center"/>
            </w:pPr>
            <w:r>
              <w:rPr>
                <w:rFonts w:ascii="Times New Roman" w:hAnsi="宋体" w:eastAsia="宋体"/>
                <w:b w:val="0"/>
                <w:i w:val="0"/>
                <w:color w:val="000000"/>
                <w:sz w:val="24"/>
              </w:rPr>
              <w:t>SVM (RBF核)</w:t>
            </w:r>
          </w:p>
        </w:tc>
        <w:tc>
          <w:tcPr>
            <w:tcW w:type="dxa" w:w="2880"/>
          </w:tcPr>
          <w:p>
            <w:pPr>
              <w:jc w:val="center"/>
            </w:pPr>
            <w:r>
              <w:rPr>
                <w:rFonts w:ascii="Times New Roman" w:hAnsi="宋体" w:eastAsia="宋体"/>
                <w:b w:val="0"/>
                <w:i w:val="0"/>
                <w:color w:val="000000"/>
                <w:sz w:val="24"/>
              </w:rPr>
              <w:t>C=1.0, gamma=scale</w:t>
            </w:r>
          </w:p>
        </w:tc>
      </w:tr>
      <w:tr>
        <w:tc>
          <w:tcPr>
            <w:tcW w:type="dxa" w:w="2880"/>
          </w:tcPr>
          <w:p>
            <w:pPr>
              <w:jc w:val="center"/>
            </w:pPr>
            <w:r>
              <w:rPr>
                <w:rFonts w:ascii="Times New Roman" w:hAnsi="宋体" w:eastAsia="宋体"/>
                <w:b w:val="0"/>
                <w:i w:val="0"/>
                <w:color w:val="000000"/>
                <w:sz w:val="24"/>
              </w:rPr>
              <w:t>树</w:t>
            </w:r>
          </w:p>
        </w:tc>
        <w:tc>
          <w:tcPr>
            <w:tcW w:type="dxa" w:w="2880"/>
          </w:tcPr>
          <w:p>
            <w:pPr>
              <w:jc w:val="center"/>
            </w:pPr>
            <w:r>
              <w:rPr>
                <w:rFonts w:ascii="Times New Roman" w:hAnsi="宋体" w:eastAsia="宋体"/>
                <w:b w:val="0"/>
                <w:i w:val="0"/>
                <w:color w:val="000000"/>
                <w:sz w:val="24"/>
              </w:rPr>
              <w:t>决策树(d=3)</w:t>
            </w:r>
          </w:p>
        </w:tc>
        <w:tc>
          <w:tcPr>
            <w:tcW w:type="dxa" w:w="2880"/>
          </w:tcPr>
          <w:p>
            <w:pPr>
              <w:jc w:val="center"/>
            </w:pPr>
            <w:r>
              <w:rPr>
                <w:rFonts w:ascii="Times New Roman" w:hAnsi="宋体" w:eastAsia="宋体"/>
                <w:b w:val="0"/>
                <w:i w:val="0"/>
                <w:color w:val="000000"/>
                <w:sz w:val="24"/>
              </w:rPr>
              <w:t>max_depth=3</w:t>
            </w:r>
          </w:p>
        </w:tc>
      </w:tr>
      <w:tr>
        <w:tc>
          <w:tcPr>
            <w:tcW w:type="dxa" w:w="2880"/>
          </w:tcPr>
          <w:p>
            <w:pPr>
              <w:jc w:val="center"/>
            </w:pPr>
            <w:r>
              <w:rPr>
                <w:rFonts w:ascii="Times New Roman" w:hAnsi="宋体" w:eastAsia="宋体"/>
                <w:b w:val="0"/>
                <w:i w:val="0"/>
                <w:color w:val="000000"/>
                <w:sz w:val="24"/>
              </w:rPr>
              <w:t>Bagging</w:t>
            </w:r>
          </w:p>
        </w:tc>
        <w:tc>
          <w:tcPr>
            <w:tcW w:type="dxa" w:w="2880"/>
          </w:tcPr>
          <w:p>
            <w:pPr>
              <w:jc w:val="center"/>
            </w:pPr>
            <w:r>
              <w:rPr>
                <w:rFonts w:ascii="Times New Roman" w:hAnsi="宋体" w:eastAsia="宋体"/>
                <w:b w:val="0"/>
                <w:i w:val="0"/>
                <w:color w:val="000000"/>
                <w:sz w:val="24"/>
              </w:rPr>
              <w:t>随机森林</w:t>
            </w:r>
          </w:p>
        </w:tc>
        <w:tc>
          <w:tcPr>
            <w:tcW w:type="dxa" w:w="2880"/>
          </w:tcPr>
          <w:p>
            <w:pPr>
              <w:jc w:val="center"/>
            </w:pPr>
            <w:r>
              <w:rPr>
                <w:rFonts w:ascii="Times New Roman" w:hAnsi="宋体" w:eastAsia="宋体"/>
                <w:b w:val="0"/>
                <w:i w:val="0"/>
                <w:color w:val="000000"/>
                <w:sz w:val="24"/>
              </w:rPr>
              <w:t>100棵树, max_depth=5</w:t>
            </w:r>
          </w:p>
        </w:tc>
      </w:tr>
      <w:tr>
        <w:tc>
          <w:tcPr>
            <w:tcW w:type="dxa" w:w="2880"/>
          </w:tcPr>
          <w:p>
            <w:pPr>
              <w:jc w:val="center"/>
            </w:pPr>
            <w:r>
              <w:rPr>
                <w:rFonts w:ascii="Times New Roman" w:hAnsi="宋体" w:eastAsia="宋体"/>
                <w:b w:val="0"/>
                <w:i w:val="0"/>
                <w:color w:val="000000"/>
                <w:sz w:val="24"/>
              </w:rPr>
              <w:t>Boosting</w:t>
            </w:r>
          </w:p>
        </w:tc>
        <w:tc>
          <w:tcPr>
            <w:tcW w:type="dxa" w:w="2880"/>
          </w:tcPr>
          <w:p>
            <w:pPr>
              <w:jc w:val="center"/>
            </w:pPr>
            <w:r>
              <w:rPr>
                <w:rFonts w:ascii="Times New Roman" w:hAnsi="宋体" w:eastAsia="宋体"/>
                <w:b w:val="0"/>
                <w:i w:val="0"/>
                <w:color w:val="000000"/>
                <w:sz w:val="24"/>
              </w:rPr>
              <w:t>梯度提升树</w:t>
            </w:r>
          </w:p>
        </w:tc>
        <w:tc>
          <w:tcPr>
            <w:tcW w:type="dxa" w:w="2880"/>
          </w:tcPr>
          <w:p>
            <w:pPr>
              <w:jc w:val="center"/>
            </w:pPr>
            <w:r>
              <w:rPr>
                <w:rFonts w:ascii="Times New Roman" w:hAnsi="宋体" w:eastAsia="宋体"/>
                <w:b w:val="0"/>
                <w:i w:val="0"/>
                <w:color w:val="000000"/>
                <w:sz w:val="24"/>
              </w:rPr>
              <w:t>100棵, lr=0.1, max_depth=3</w:t>
            </w:r>
          </w:p>
        </w:tc>
      </w:tr>
      <w:tr>
        <w:tc>
          <w:tcPr>
            <w:tcW w:type="dxa" w:w="2880"/>
          </w:tcPr>
          <w:p>
            <w:pPr>
              <w:jc w:val="center"/>
            </w:pPr>
            <w:r>
              <w:rPr>
                <w:rFonts w:ascii="Times New Roman" w:hAnsi="宋体" w:eastAsia="宋体"/>
                <w:b w:val="0"/>
                <w:i w:val="0"/>
                <w:color w:val="000000"/>
                <w:sz w:val="24"/>
              </w:rPr>
              <w:t>距离</w:t>
            </w:r>
          </w:p>
        </w:tc>
        <w:tc>
          <w:tcPr>
            <w:tcW w:type="dxa" w:w="2880"/>
          </w:tcPr>
          <w:p>
            <w:pPr>
              <w:jc w:val="center"/>
            </w:pPr>
            <w:r>
              <w:rPr>
                <w:rFonts w:ascii="Times New Roman" w:hAnsi="宋体" w:eastAsia="宋体"/>
                <w:b w:val="0"/>
                <w:i w:val="0"/>
                <w:color w:val="000000"/>
                <w:sz w:val="24"/>
              </w:rPr>
              <w:t>KNN (k=5)</w:t>
            </w:r>
          </w:p>
        </w:tc>
        <w:tc>
          <w:tcPr>
            <w:tcW w:type="dxa" w:w="2880"/>
          </w:tcPr>
          <w:p>
            <w:pPr>
              <w:jc w:val="center"/>
            </w:pPr>
            <w:r>
              <w:rPr>
                <w:rFonts w:ascii="Times New Roman" w:hAnsi="宋体" w:eastAsia="宋体"/>
                <w:b w:val="0"/>
                <w:i w:val="0"/>
                <w:color w:val="000000"/>
                <w:sz w:val="24"/>
              </w:rPr>
              <w:t>n_neighbors=5</w:t>
            </w:r>
          </w:p>
        </w:tc>
      </w:tr>
      <w:tr>
        <w:tc>
          <w:tcPr>
            <w:tcW w:type="dxa" w:w="2880"/>
          </w:tcPr>
          <w:p>
            <w:pPr>
              <w:jc w:val="center"/>
            </w:pPr>
            <w:r>
              <w:rPr>
                <w:rFonts w:ascii="Times New Roman" w:hAnsi="宋体" w:eastAsia="宋体"/>
                <w:b w:val="0"/>
                <w:i w:val="0"/>
                <w:color w:val="000000"/>
                <w:sz w:val="24"/>
              </w:rPr>
              <w:t>神经网络</w:t>
            </w:r>
          </w:p>
        </w:tc>
        <w:tc>
          <w:tcPr>
            <w:tcW w:type="dxa" w:w="2880"/>
          </w:tcPr>
          <w:p>
            <w:pPr>
              <w:jc w:val="center"/>
            </w:pPr>
            <w:r>
              <w:rPr>
                <w:rFonts w:ascii="Times New Roman" w:hAnsi="宋体" w:eastAsia="宋体"/>
                <w:b w:val="0"/>
                <w:i w:val="0"/>
                <w:color w:val="000000"/>
                <w:sz w:val="24"/>
              </w:rPr>
              <w:t>MLP(16,8), (32,16,8), (64,32), (32,8)</w:t>
            </w:r>
          </w:p>
        </w:tc>
        <w:tc>
          <w:tcPr>
            <w:tcW w:type="dxa" w:w="2880"/>
          </w:tcPr>
          <w:p>
            <w:pPr>
              <w:jc w:val="center"/>
            </w:pPr>
            <w:r>
              <w:rPr>
                <w:rFonts w:ascii="Times New Roman" w:hAnsi="宋体" w:eastAsia="宋体"/>
                <w:b w:val="0"/>
                <w:i w:val="0"/>
                <w:color w:val="000000"/>
                <w:sz w:val="24"/>
              </w:rPr>
              <w:t>ReLU, alpha=0.001</w:t>
            </w:r>
          </w:p>
        </w:tc>
      </w:tr>
      <w:tr>
        <w:tc>
          <w:tcPr>
            <w:tcW w:type="dxa" w:w="2880"/>
          </w:tcPr>
          <w:p>
            <w:pPr>
              <w:jc w:val="center"/>
            </w:pPr>
            <w:r>
              <w:rPr>
                <w:rFonts w:ascii="Times New Roman" w:hAnsi="宋体" w:eastAsia="宋体"/>
                <w:b w:val="0"/>
                <w:i w:val="0"/>
                <w:color w:val="000000"/>
                <w:sz w:val="24"/>
              </w:rPr>
              <w:t>神经网络+调参</w:t>
            </w:r>
          </w:p>
        </w:tc>
        <w:tc>
          <w:tcPr>
            <w:tcW w:type="dxa" w:w="2880"/>
          </w:tcPr>
          <w:p>
            <w:pPr>
              <w:jc w:val="center"/>
            </w:pPr>
            <w:r>
              <w:rPr>
                <w:rFonts w:ascii="Times New Roman" w:hAnsi="宋体" w:eastAsia="宋体"/>
                <w:b w:val="0"/>
                <w:i w:val="0"/>
                <w:color w:val="000000"/>
                <w:sz w:val="24"/>
              </w:rPr>
              <w:t>MLP(GridSearch最佳)</w:t>
            </w:r>
          </w:p>
        </w:tc>
        <w:tc>
          <w:tcPr>
            <w:tcW w:type="dxa" w:w="2880"/>
          </w:tcPr>
          <w:p>
            <w:pPr>
              <w:jc w:val="center"/>
            </w:pPr>
            <w:r>
              <w:rPr>
                <w:rFonts w:ascii="Times New Roman" w:hAnsi="宋体" w:eastAsia="宋体"/>
                <w:b w:val="0"/>
                <w:i w:val="0"/>
                <w:color w:val="000000"/>
                <w:sz w:val="24"/>
              </w:rPr>
              <w:t>4架构 ×4 alpha×2激活=32组合</w:t>
            </w:r>
          </w:p>
        </w:tc>
      </w:tr>
      <w:tr>
        <w:tc>
          <w:tcPr>
            <w:tcW w:type="dxa" w:w="2880"/>
          </w:tcPr>
          <w:p>
            <w:pPr>
              <w:jc w:val="center"/>
            </w:pPr>
            <w:r>
              <w:rPr>
                <w:rFonts w:ascii="Times New Roman" w:hAnsi="宋体" w:eastAsia="宋体"/>
                <w:b w:val="0"/>
                <w:i w:val="0"/>
                <w:color w:val="000000"/>
                <w:sz w:val="24"/>
              </w:rPr>
              <w:t>概率</w:t>
            </w:r>
          </w:p>
        </w:tc>
        <w:tc>
          <w:tcPr>
            <w:tcW w:type="dxa" w:w="2880"/>
          </w:tcPr>
          <w:p>
            <w:pPr>
              <w:jc w:val="center"/>
            </w:pPr>
            <w:r>
              <w:rPr>
                <w:rFonts w:ascii="Times New Roman" w:hAnsi="宋体" w:eastAsia="宋体"/>
                <w:b w:val="0"/>
                <w:i w:val="0"/>
                <w:color w:val="000000"/>
                <w:sz w:val="24"/>
              </w:rPr>
              <w:t>高斯朴素贝叶斯</w:t>
            </w:r>
          </w:p>
        </w:tc>
        <w:tc>
          <w:tcPr>
            <w:tcW w:type="dxa" w:w="2880"/>
          </w:tcPr>
          <w:p>
            <w:pPr>
              <w:jc w:val="center"/>
            </w:pPr>
            <w:r>
              <w:rPr>
                <w:rFonts w:ascii="Times New Roman" w:hAnsi="宋体" w:eastAsia="宋体"/>
                <w:b w:val="0"/>
                <w:i w:val="0"/>
                <w:color w:val="000000"/>
                <w:sz w:val="24"/>
              </w:rPr>
              <w:t>—</w:t>
            </w:r>
          </w:p>
        </w:tc>
      </w:tr>
    </w:tbl>
    <w:p/>
    <w:p>
      <w:pPr>
        <w:spacing w:line="360" w:lineRule="auto" w:after="120" w:before="0"/>
        <w:ind w:firstLine="482"/>
      </w:pPr>
      <w:r>
        <w:rPr>
          <w:rFonts w:ascii="Times New Roman" w:hAnsi="宋体" w:eastAsia="宋体"/>
          <w:b w:val="0"/>
          <w:i w:val="0"/>
          <w:color w:val="000000"/>
          <w:sz w:val="24"/>
        </w:rPr>
        <w:t>每个固定参数方法均在10次试验中评估。所有MLP使用Adam优化器、ReLU默认激活、L2正则alpha=0.001、max_iter=1000。GridSearch在每轮试验中扫描32个参数组合（hidden_layer_sizes × alpha × activation），以5折CV选出该轮最佳参数，然后在测试集上评估。</w:t>
      </w:r>
    </w:p>
    <w:p>
      <w:pPr>
        <w:spacing w:before="240" w:after="120" w:lineRule="auto" w:line="300"/>
        <w:jc w:val="left"/>
      </w:pPr>
      <w:r>
        <w:rPr>
          <w:rFonts w:ascii="Times New Roman" w:hAnsi="宋体" w:eastAsia="宋体"/>
          <w:b/>
          <w:i w:val="0"/>
          <w:color w:val="000000"/>
          <w:sz w:val="32"/>
        </w:rPr>
        <w:t>3. 实验结果与发现</w:t>
      </w:r>
    </w:p>
    <w:p>
      <w:pPr>
        <w:spacing w:before="240" w:after="120" w:lineRule="auto" w:line="300"/>
        <w:jc w:val="left"/>
      </w:pPr>
      <w:r>
        <w:rPr>
          <w:rFonts w:ascii="Times New Roman" w:hAnsi="宋体" w:eastAsia="宋体"/>
          <w:b/>
          <w:i w:val="0"/>
          <w:color w:val="000000"/>
          <w:sz w:val="28"/>
        </w:rPr>
        <w:t>3.1测试集上的整体表现</w:t>
      </w:r>
    </w:p>
    <w:p>
      <w:pPr>
        <w:spacing w:line="360" w:lineRule="auto" w:after="120" w:before="0"/>
        <w:ind w:firstLine="482"/>
      </w:pPr>
      <w:r>
        <w:rPr>
          <w:rFonts w:ascii="Times New Roman" w:hAnsi="宋体" w:eastAsia="宋体"/>
          <w:b w:val="0"/>
          <w:i w:val="0"/>
          <w:color w:val="000000"/>
          <w:sz w:val="24"/>
        </w:rPr>
        <w:t>各模型在10次重复试验中的测试准确率均值与标准差如下（按均值降序）：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宋体" w:eastAsia="宋体"/>
                <w:b/>
                <w:i w:val="0"/>
                <w:color w:val="000000"/>
                <w:sz w:val="24"/>
              </w:rPr>
              <w:t>排名</w:t>
            </w:r>
          </w:p>
        </w:tc>
        <w:tc>
          <w:tcPr>
            <w:tcW w:type="dxa" w:w="2880"/>
          </w:tcPr>
          <w:p>
            <w:pPr>
              <w:jc w:val="center"/>
            </w:pPr>
            <w:r>
              <w:rPr>
                <w:rFonts w:ascii="Times New Roman" w:hAnsi="宋体" w:eastAsia="宋体"/>
                <w:b/>
                <w:i w:val="0"/>
                <w:color w:val="000000"/>
                <w:sz w:val="24"/>
              </w:rPr>
              <w:t>模型</w:t>
            </w:r>
          </w:p>
        </w:tc>
        <w:tc>
          <w:tcPr>
            <w:tcW w:type="dxa" w:w="2880"/>
          </w:tcPr>
          <w:p>
            <w:pPr>
              <w:jc w:val="center"/>
            </w:pPr>
            <w:r>
              <w:rPr>
                <w:rFonts w:ascii="Times New Roman" w:hAnsi="宋体" w:eastAsia="宋体"/>
                <w:b/>
                <w:i w:val="0"/>
                <w:color w:val="000000"/>
                <w:sz w:val="24"/>
              </w:rPr>
              <w:t>准确率</w:t>
            </w:r>
          </w:p>
        </w:tc>
      </w:tr>
      <w:tr>
        <w:tc>
          <w:tcPr>
            <w:tcW w:type="dxa" w:w="2880"/>
          </w:tcPr>
          <w:p>
            <w:pPr>
              <w:jc w:val="center"/>
            </w:pPr>
            <w:r>
              <w:rPr>
                <w:rFonts w:ascii="Times New Roman" w:hAnsi="宋体" w:eastAsia="宋体"/>
                <w:b w:val="0"/>
                <w:i w:val="0"/>
                <w:color w:val="000000"/>
                <w:sz w:val="24"/>
              </w:rPr>
              <w:t>1</w:t>
            </w:r>
          </w:p>
        </w:tc>
        <w:tc>
          <w:tcPr>
            <w:tcW w:type="dxa" w:w="2880"/>
          </w:tcPr>
          <w:p>
            <w:pPr>
              <w:jc w:val="center"/>
            </w:pPr>
            <w:r>
              <w:rPr>
                <w:rFonts w:ascii="Times New Roman" w:hAnsi="宋体" w:eastAsia="宋体"/>
                <w:b w:val="0"/>
                <w:i w:val="0"/>
                <w:color w:val="000000"/>
                <w:sz w:val="24"/>
              </w:rPr>
              <w:t>MLP (GridSearch最佳)</w:t>
            </w:r>
          </w:p>
        </w:tc>
        <w:tc>
          <w:tcPr>
            <w:tcW w:type="dxa" w:w="2880"/>
          </w:tcPr>
          <w:p>
            <w:pPr>
              <w:jc w:val="center"/>
            </w:pPr>
            <w:r>
              <w:rPr>
                <w:rFonts w:ascii="Times New Roman" w:hAnsi="宋体" w:eastAsia="宋体"/>
                <w:b w:val="0"/>
                <w:i w:val="0"/>
                <w:color w:val="000000"/>
                <w:sz w:val="24"/>
              </w:rPr>
              <w:t>95.8%±3.4%</w:t>
            </w:r>
          </w:p>
        </w:tc>
      </w:tr>
      <w:tr>
        <w:tc>
          <w:tcPr>
            <w:tcW w:type="dxa" w:w="2880"/>
          </w:tcPr>
          <w:p>
            <w:pPr>
              <w:jc w:val="center"/>
            </w:pPr>
            <w:r>
              <w:rPr>
                <w:rFonts w:ascii="Times New Roman" w:hAnsi="宋体" w:eastAsia="宋体"/>
                <w:b w:val="0"/>
                <w:i w:val="0"/>
                <w:color w:val="000000"/>
                <w:sz w:val="24"/>
              </w:rPr>
              <w:t>2</w:t>
            </w:r>
          </w:p>
        </w:tc>
        <w:tc>
          <w:tcPr>
            <w:tcW w:type="dxa" w:w="2880"/>
          </w:tcPr>
          <w:p>
            <w:pPr>
              <w:jc w:val="center"/>
            </w:pPr>
            <w:r>
              <w:rPr>
                <w:rFonts w:ascii="Times New Roman" w:hAnsi="宋体" w:eastAsia="宋体"/>
                <w:b w:val="0"/>
                <w:i w:val="0"/>
                <w:color w:val="000000"/>
                <w:sz w:val="24"/>
              </w:rPr>
              <w:t>SVM (RBF核)</w:t>
            </w:r>
          </w:p>
        </w:tc>
        <w:tc>
          <w:tcPr>
            <w:tcW w:type="dxa" w:w="2880"/>
          </w:tcPr>
          <w:p>
            <w:pPr>
              <w:jc w:val="center"/>
            </w:pPr>
            <w:r>
              <w:rPr>
                <w:rFonts w:ascii="Times New Roman" w:hAnsi="宋体" w:eastAsia="宋体"/>
                <w:b w:val="0"/>
                <w:i w:val="0"/>
                <w:color w:val="000000"/>
                <w:sz w:val="24"/>
              </w:rPr>
              <w:t>95.1%±2.6%</w:t>
            </w:r>
          </w:p>
        </w:tc>
      </w:tr>
      <w:tr>
        <w:tc>
          <w:tcPr>
            <w:tcW w:type="dxa" w:w="2880"/>
          </w:tcPr>
          <w:p>
            <w:pPr>
              <w:jc w:val="center"/>
            </w:pPr>
            <w:r>
              <w:rPr>
                <w:rFonts w:ascii="Times New Roman" w:hAnsi="宋体" w:eastAsia="宋体"/>
                <w:b w:val="0"/>
                <w:i w:val="0"/>
                <w:color w:val="000000"/>
                <w:sz w:val="24"/>
              </w:rPr>
              <w:t>3</w:t>
            </w:r>
          </w:p>
        </w:tc>
        <w:tc>
          <w:tcPr>
            <w:tcW w:type="dxa" w:w="2880"/>
          </w:tcPr>
          <w:p>
            <w:pPr>
              <w:jc w:val="center"/>
            </w:pPr>
            <w:r>
              <w:rPr>
                <w:rFonts w:ascii="Times New Roman" w:hAnsi="宋体" w:eastAsia="宋体"/>
                <w:b w:val="0"/>
                <w:i w:val="0"/>
                <w:color w:val="000000"/>
                <w:sz w:val="24"/>
              </w:rPr>
              <w:t>决策树</w:t>
            </w:r>
          </w:p>
        </w:tc>
        <w:tc>
          <w:tcPr>
            <w:tcW w:type="dxa" w:w="2880"/>
          </w:tcPr>
          <w:p>
            <w:pPr>
              <w:jc w:val="center"/>
            </w:pPr>
            <w:r>
              <w:rPr>
                <w:rFonts w:ascii="Times New Roman" w:hAnsi="宋体" w:eastAsia="宋体"/>
                <w:b w:val="0"/>
                <w:i w:val="0"/>
                <w:color w:val="000000"/>
                <w:sz w:val="24"/>
              </w:rPr>
              <w:t>95.1%±2.8%</w:t>
            </w:r>
          </w:p>
        </w:tc>
      </w:tr>
      <w:tr>
        <w:tc>
          <w:tcPr>
            <w:tcW w:type="dxa" w:w="2880"/>
          </w:tcPr>
          <w:p>
            <w:pPr>
              <w:jc w:val="center"/>
            </w:pPr>
            <w:r>
              <w:rPr>
                <w:rFonts w:ascii="Times New Roman" w:hAnsi="宋体" w:eastAsia="宋体"/>
                <w:b w:val="0"/>
                <w:i w:val="0"/>
                <w:color w:val="000000"/>
                <w:sz w:val="24"/>
              </w:rPr>
              <w:t>4</w:t>
            </w:r>
          </w:p>
        </w:tc>
        <w:tc>
          <w:tcPr>
            <w:tcW w:type="dxa" w:w="2880"/>
          </w:tcPr>
          <w:p>
            <w:pPr>
              <w:jc w:val="center"/>
            </w:pPr>
            <w:r>
              <w:rPr>
                <w:rFonts w:ascii="Times New Roman" w:hAnsi="宋体" w:eastAsia="宋体"/>
                <w:b w:val="0"/>
                <w:i w:val="0"/>
                <w:color w:val="000000"/>
                <w:sz w:val="24"/>
              </w:rPr>
              <w:t>逻辑回归</w:t>
            </w:r>
          </w:p>
        </w:tc>
        <w:tc>
          <w:tcPr>
            <w:tcW w:type="dxa" w:w="2880"/>
          </w:tcPr>
          <w:p>
            <w:pPr>
              <w:jc w:val="center"/>
            </w:pPr>
            <w:r>
              <w:rPr>
                <w:rFonts w:ascii="Times New Roman" w:hAnsi="宋体" w:eastAsia="宋体"/>
                <w:b w:val="0"/>
                <w:i w:val="0"/>
                <w:color w:val="000000"/>
                <w:sz w:val="24"/>
              </w:rPr>
              <w:t>94.9%±2.4%</w:t>
            </w:r>
          </w:p>
        </w:tc>
      </w:tr>
      <w:tr>
        <w:tc>
          <w:tcPr>
            <w:tcW w:type="dxa" w:w="2880"/>
          </w:tcPr>
          <w:p>
            <w:pPr>
              <w:jc w:val="center"/>
            </w:pPr>
            <w:r>
              <w:rPr>
                <w:rFonts w:ascii="Times New Roman" w:hAnsi="宋体" w:eastAsia="宋体"/>
                <w:b w:val="0"/>
                <w:i w:val="0"/>
                <w:color w:val="000000"/>
                <w:sz w:val="24"/>
              </w:rPr>
              <w:t>5</w:t>
            </w:r>
          </w:p>
        </w:tc>
        <w:tc>
          <w:tcPr>
            <w:tcW w:type="dxa" w:w="2880"/>
          </w:tcPr>
          <w:p>
            <w:pPr>
              <w:jc w:val="center"/>
            </w:pPr>
            <w:r>
              <w:rPr>
                <w:rFonts w:ascii="Times New Roman" w:hAnsi="宋体" w:eastAsia="宋体"/>
                <w:b w:val="0"/>
                <w:i w:val="0"/>
                <w:color w:val="000000"/>
                <w:sz w:val="24"/>
              </w:rPr>
              <w:t>MLP (16,8)</w:t>
            </w:r>
          </w:p>
        </w:tc>
        <w:tc>
          <w:tcPr>
            <w:tcW w:type="dxa" w:w="2880"/>
          </w:tcPr>
          <w:p>
            <w:pPr>
              <w:jc w:val="center"/>
            </w:pPr>
            <w:r>
              <w:rPr>
                <w:rFonts w:ascii="Times New Roman" w:hAnsi="宋体" w:eastAsia="宋体"/>
                <w:b w:val="0"/>
                <w:i w:val="0"/>
                <w:color w:val="000000"/>
                <w:sz w:val="24"/>
              </w:rPr>
              <w:t>94.7%±3.9%</w:t>
            </w:r>
          </w:p>
        </w:tc>
      </w:tr>
      <w:tr>
        <w:tc>
          <w:tcPr>
            <w:tcW w:type="dxa" w:w="2880"/>
          </w:tcPr>
          <w:p>
            <w:pPr>
              <w:jc w:val="center"/>
            </w:pPr>
            <w:r>
              <w:rPr>
                <w:rFonts w:ascii="Times New Roman" w:hAnsi="宋体" w:eastAsia="宋体"/>
                <w:b w:val="0"/>
                <w:i w:val="0"/>
                <w:color w:val="000000"/>
                <w:sz w:val="24"/>
              </w:rPr>
              <w:t>6</w:t>
            </w:r>
          </w:p>
        </w:tc>
        <w:tc>
          <w:tcPr>
            <w:tcW w:type="dxa" w:w="2880"/>
          </w:tcPr>
          <w:p>
            <w:pPr>
              <w:jc w:val="center"/>
            </w:pPr>
            <w:r>
              <w:rPr>
                <w:rFonts w:ascii="Times New Roman" w:hAnsi="宋体" w:eastAsia="宋体"/>
                <w:b w:val="0"/>
                <w:i w:val="0"/>
                <w:color w:val="000000"/>
                <w:sz w:val="24"/>
              </w:rPr>
              <w:t>高斯朴素贝叶斯</w:t>
            </w:r>
          </w:p>
        </w:tc>
        <w:tc>
          <w:tcPr>
            <w:tcW w:type="dxa" w:w="2880"/>
          </w:tcPr>
          <w:p>
            <w:pPr>
              <w:jc w:val="center"/>
            </w:pPr>
            <w:r>
              <w:rPr>
                <w:rFonts w:ascii="Times New Roman" w:hAnsi="宋体" w:eastAsia="宋体"/>
                <w:b w:val="0"/>
                <w:i w:val="0"/>
                <w:color w:val="000000"/>
                <w:sz w:val="24"/>
              </w:rPr>
              <w:t>94.7%±2.8%</w:t>
            </w:r>
          </w:p>
        </w:tc>
      </w:tr>
      <w:tr>
        <w:tc>
          <w:tcPr>
            <w:tcW w:type="dxa" w:w="2880"/>
          </w:tcPr>
          <w:p>
            <w:pPr>
              <w:jc w:val="center"/>
            </w:pPr>
            <w:r>
              <w:rPr>
                <w:rFonts w:ascii="Times New Roman" w:hAnsi="宋体" w:eastAsia="宋体"/>
                <w:b w:val="0"/>
                <w:i w:val="0"/>
                <w:color w:val="000000"/>
                <w:sz w:val="24"/>
              </w:rPr>
              <w:t>7</w:t>
            </w:r>
          </w:p>
        </w:tc>
        <w:tc>
          <w:tcPr>
            <w:tcW w:type="dxa" w:w="2880"/>
          </w:tcPr>
          <w:p>
            <w:pPr>
              <w:jc w:val="center"/>
            </w:pPr>
            <w:r>
              <w:rPr>
                <w:rFonts w:ascii="Times New Roman" w:hAnsi="宋体" w:eastAsia="宋体"/>
                <w:b w:val="0"/>
                <w:i w:val="0"/>
                <w:color w:val="000000"/>
                <w:sz w:val="24"/>
              </w:rPr>
              <w:t>随机森林</w:t>
            </w:r>
          </w:p>
        </w:tc>
        <w:tc>
          <w:tcPr>
            <w:tcW w:type="dxa" w:w="2880"/>
          </w:tcPr>
          <w:p>
            <w:pPr>
              <w:jc w:val="center"/>
            </w:pPr>
            <w:r>
              <w:rPr>
                <w:rFonts w:ascii="Times New Roman" w:hAnsi="宋体" w:eastAsia="宋体"/>
                <w:b w:val="0"/>
                <w:i w:val="0"/>
                <w:color w:val="000000"/>
                <w:sz w:val="24"/>
              </w:rPr>
              <w:t>94.4%±3.2%</w:t>
            </w:r>
          </w:p>
        </w:tc>
      </w:tr>
      <w:tr>
        <w:tc>
          <w:tcPr>
            <w:tcW w:type="dxa" w:w="2880"/>
          </w:tcPr>
          <w:p>
            <w:pPr>
              <w:jc w:val="center"/>
            </w:pPr>
            <w:r>
              <w:rPr>
                <w:rFonts w:ascii="Times New Roman" w:hAnsi="宋体" w:eastAsia="宋体"/>
                <w:b w:val="0"/>
                <w:i w:val="0"/>
                <w:color w:val="000000"/>
                <w:sz w:val="24"/>
              </w:rPr>
              <w:t>8</w:t>
            </w:r>
          </w:p>
        </w:tc>
        <w:tc>
          <w:tcPr>
            <w:tcW w:type="dxa" w:w="2880"/>
          </w:tcPr>
          <w:p>
            <w:pPr>
              <w:jc w:val="center"/>
            </w:pPr>
            <w:r>
              <w:rPr>
                <w:rFonts w:ascii="Times New Roman" w:hAnsi="宋体" w:eastAsia="宋体"/>
                <w:b w:val="0"/>
                <w:i w:val="0"/>
                <w:color w:val="000000"/>
                <w:sz w:val="24"/>
              </w:rPr>
              <w:t>MLP (64,32)</w:t>
            </w:r>
          </w:p>
        </w:tc>
        <w:tc>
          <w:tcPr>
            <w:tcW w:type="dxa" w:w="2880"/>
          </w:tcPr>
          <w:p>
            <w:pPr>
              <w:jc w:val="center"/>
            </w:pPr>
            <w:r>
              <w:rPr>
                <w:rFonts w:ascii="Times New Roman" w:hAnsi="宋体" w:eastAsia="宋体"/>
                <w:b w:val="0"/>
                <w:i w:val="0"/>
                <w:color w:val="000000"/>
                <w:sz w:val="24"/>
              </w:rPr>
              <w:t>94.4%±3.2%</w:t>
            </w:r>
          </w:p>
        </w:tc>
      </w:tr>
      <w:tr>
        <w:tc>
          <w:tcPr>
            <w:tcW w:type="dxa" w:w="2880"/>
          </w:tcPr>
          <w:p>
            <w:pPr>
              <w:jc w:val="center"/>
            </w:pPr>
            <w:r>
              <w:rPr>
                <w:rFonts w:ascii="Times New Roman" w:hAnsi="宋体" w:eastAsia="宋体"/>
                <w:b w:val="0"/>
                <w:i w:val="0"/>
                <w:color w:val="000000"/>
                <w:sz w:val="24"/>
              </w:rPr>
              <w:t>9</w:t>
            </w:r>
          </w:p>
        </w:tc>
        <w:tc>
          <w:tcPr>
            <w:tcW w:type="dxa" w:w="2880"/>
          </w:tcPr>
          <w:p>
            <w:pPr>
              <w:jc w:val="center"/>
            </w:pPr>
            <w:r>
              <w:rPr>
                <w:rFonts w:ascii="Times New Roman" w:hAnsi="宋体" w:eastAsia="宋体"/>
                <w:b w:val="0"/>
                <w:i w:val="0"/>
                <w:color w:val="000000"/>
                <w:sz w:val="24"/>
              </w:rPr>
              <w:t>KNN (k=5)</w:t>
            </w:r>
          </w:p>
        </w:tc>
        <w:tc>
          <w:tcPr>
            <w:tcW w:type="dxa" w:w="2880"/>
          </w:tcPr>
          <w:p>
            <w:pPr>
              <w:jc w:val="center"/>
            </w:pPr>
            <w:r>
              <w:rPr>
                <w:rFonts w:ascii="Times New Roman" w:hAnsi="宋体" w:eastAsia="宋体"/>
                <w:b w:val="0"/>
                <w:i w:val="0"/>
                <w:color w:val="000000"/>
                <w:sz w:val="24"/>
              </w:rPr>
              <w:t>94.2%±2.8%</w:t>
            </w:r>
          </w:p>
        </w:tc>
      </w:tr>
      <w:tr>
        <w:tc>
          <w:tcPr>
            <w:tcW w:type="dxa" w:w="2880"/>
          </w:tcPr>
          <w:p>
            <w:pPr>
              <w:jc w:val="center"/>
            </w:pPr>
            <w:r>
              <w:rPr>
                <w:rFonts w:ascii="Times New Roman" w:hAnsi="宋体" w:eastAsia="宋体"/>
                <w:b w:val="0"/>
                <w:i w:val="0"/>
                <w:color w:val="000000"/>
                <w:sz w:val="24"/>
              </w:rPr>
              <w:t>10</w:t>
            </w:r>
          </w:p>
        </w:tc>
        <w:tc>
          <w:tcPr>
            <w:tcW w:type="dxa" w:w="2880"/>
          </w:tcPr>
          <w:p>
            <w:pPr>
              <w:jc w:val="center"/>
            </w:pPr>
            <w:r>
              <w:rPr>
                <w:rFonts w:ascii="Times New Roman" w:hAnsi="宋体" w:eastAsia="宋体"/>
                <w:b w:val="0"/>
                <w:i w:val="0"/>
                <w:color w:val="000000"/>
                <w:sz w:val="24"/>
              </w:rPr>
              <w:t>MLP (32,8)</w:t>
            </w:r>
          </w:p>
        </w:tc>
        <w:tc>
          <w:tcPr>
            <w:tcW w:type="dxa" w:w="2880"/>
          </w:tcPr>
          <w:p>
            <w:pPr>
              <w:jc w:val="center"/>
            </w:pPr>
            <w:r>
              <w:rPr>
                <w:rFonts w:ascii="Times New Roman" w:hAnsi="宋体" w:eastAsia="宋体"/>
                <w:b w:val="0"/>
                <w:i w:val="0"/>
                <w:color w:val="000000"/>
                <w:sz w:val="24"/>
              </w:rPr>
              <w:t>93.8%±3.6%</w:t>
            </w:r>
          </w:p>
        </w:tc>
      </w:tr>
      <w:tr>
        <w:tc>
          <w:tcPr>
            <w:tcW w:type="dxa" w:w="2880"/>
          </w:tcPr>
          <w:p>
            <w:pPr>
              <w:jc w:val="center"/>
            </w:pPr>
            <w:r>
              <w:rPr>
                <w:rFonts w:ascii="Times New Roman" w:hAnsi="宋体" w:eastAsia="宋体"/>
                <w:b w:val="0"/>
                <w:i w:val="0"/>
                <w:color w:val="000000"/>
                <w:sz w:val="24"/>
              </w:rPr>
              <w:t>11</w:t>
            </w:r>
          </w:p>
        </w:tc>
        <w:tc>
          <w:tcPr>
            <w:tcW w:type="dxa" w:w="2880"/>
          </w:tcPr>
          <w:p>
            <w:pPr>
              <w:jc w:val="center"/>
            </w:pPr>
            <w:r>
              <w:rPr>
                <w:rFonts w:ascii="Times New Roman" w:hAnsi="宋体" w:eastAsia="宋体"/>
                <w:b w:val="0"/>
                <w:i w:val="0"/>
                <w:color w:val="000000"/>
                <w:sz w:val="24"/>
              </w:rPr>
              <w:t>MLP (32,16,8)</w:t>
            </w:r>
          </w:p>
        </w:tc>
        <w:tc>
          <w:tcPr>
            <w:tcW w:type="dxa" w:w="2880"/>
          </w:tcPr>
          <w:p>
            <w:pPr>
              <w:jc w:val="center"/>
            </w:pPr>
            <w:r>
              <w:rPr>
                <w:rFonts w:ascii="Times New Roman" w:hAnsi="宋体" w:eastAsia="宋体"/>
                <w:b w:val="0"/>
                <w:i w:val="0"/>
                <w:color w:val="000000"/>
                <w:sz w:val="24"/>
              </w:rPr>
              <w:t>93.6%±3.2%</w:t>
            </w:r>
          </w:p>
        </w:tc>
      </w:tr>
      <w:tr>
        <w:tc>
          <w:tcPr>
            <w:tcW w:type="dxa" w:w="2880"/>
          </w:tcPr>
          <w:p>
            <w:pPr>
              <w:jc w:val="center"/>
            </w:pPr>
            <w:r>
              <w:rPr>
                <w:rFonts w:ascii="Times New Roman" w:hAnsi="宋体" w:eastAsia="宋体"/>
                <w:b w:val="0"/>
                <w:i w:val="0"/>
                <w:color w:val="000000"/>
                <w:sz w:val="24"/>
              </w:rPr>
              <w:t>12</w:t>
            </w:r>
          </w:p>
        </w:tc>
        <w:tc>
          <w:tcPr>
            <w:tcW w:type="dxa" w:w="2880"/>
          </w:tcPr>
          <w:p>
            <w:pPr>
              <w:jc w:val="center"/>
            </w:pPr>
            <w:r>
              <w:rPr>
                <w:rFonts w:ascii="Times New Roman" w:hAnsi="宋体" w:eastAsia="宋体"/>
                <w:b w:val="0"/>
                <w:i w:val="0"/>
                <w:color w:val="000000"/>
                <w:sz w:val="24"/>
              </w:rPr>
              <w:t>梯度提升树</w:t>
            </w:r>
          </w:p>
        </w:tc>
        <w:tc>
          <w:tcPr>
            <w:tcW w:type="dxa" w:w="2880"/>
          </w:tcPr>
          <w:p>
            <w:pPr>
              <w:jc w:val="center"/>
            </w:pPr>
            <w:r>
              <w:rPr>
                <w:rFonts w:ascii="Times New Roman" w:hAnsi="宋体" w:eastAsia="宋体"/>
                <w:b w:val="0"/>
                <w:i w:val="0"/>
                <w:color w:val="000000"/>
                <w:sz w:val="24"/>
              </w:rPr>
              <w:t>93.6%±2.7%</w:t>
            </w:r>
          </w:p>
        </w:tc>
      </w:tr>
    </w:tbl>
    <w:p/>
    <w:p>
      <w:pPr>
        <w:spacing w:line="360" w:lineRule="auto" w:after="120" w:before="0"/>
        <w:ind w:firstLine="482"/>
      </w:pPr>
      <w:r>
        <w:rPr>
          <w:rFonts w:ascii="Times New Roman" w:hAnsi="宋体" w:eastAsia="宋体"/>
          <w:b w:val="0"/>
          <w:i w:val="0"/>
          <w:color w:val="000000"/>
          <w:sz w:val="24"/>
        </w:rPr>
        <w:t>整体区间93.6%–95.8%，极差仅2.2个百分点，所有方法排名在统计显著性上高度重叠。标准差方面：逻辑回归最稳定（2.4%），MLP(16,8)波动最大（3.9%），但没有模型的标准差极端到足以打破排名——各模型的置信区间大部分相互覆盖。</w:t>
      </w:r>
    </w:p>
    <w:p>
      <w:pPr>
        <w:spacing w:line="360" w:lineRule="auto" w:after="120" w:before="0"/>
        <w:ind w:firstLine="482"/>
      </w:pPr>
      <w:r>
        <w:rPr>
          <w:rFonts w:ascii="Times New Roman" w:hAnsi="宋体" w:eastAsia="宋体"/>
          <w:b w:val="0"/>
          <w:i w:val="0"/>
          <w:color w:val="000000"/>
          <w:sz w:val="24"/>
        </w:rPr>
        <w:t>F1-Score方面，所有模型对setosa类的F1均为1.000或接近（该类与另两类完全线性可分）。差异主要体现在versicolor和virginica上，MLP(GridSearch最佳)在这两类上F1最高（0.938 / 0.942），梯度提升树最低（0.906 / 0.900）。</w:t>
      </w:r>
    </w:p>
    <w:p>
      <w:pPr>
        <w:spacing w:line="360" w:lineRule="auto" w:after="120" w:before="0"/>
        <w:ind w:firstLine="482"/>
      </w:pPr>
      <w:r>
        <w:rPr>
          <w:rFonts w:ascii="Times New Roman" w:hAnsi="宋体" w:eastAsia="宋体"/>
          <w:b w:val="0"/>
          <w:i w:val="0"/>
          <w:color w:val="000000"/>
          <w:sz w:val="24"/>
        </w:rPr>
        <w:t>[图：综合对比总结]</w:t>
      </w:r>
    </w:p>
    <w:p>
      <w:pPr>
        <w:spacing w:line="360" w:lineRule="auto" w:after="120" w:before="0"/>
        <w:ind w:firstLine="482"/>
      </w:pPr>
      <w:r>
        <w:rPr>
          <w:rFonts w:ascii="Times New Roman" w:hAnsi="宋体" w:eastAsia="宋体"/>
          <w:b w:val="0"/>
          <w:i w:val="0"/>
          <w:color w:val="000000"/>
          <w:sz w:val="24"/>
        </w:rPr>
        <w:t>图1综合对比总结（准确率排名、F1对比、ROC曲线）</w:t>
      </w:r>
    </w:p>
    <w:p>
      <w:pPr>
        <w:spacing w:line="360" w:lineRule="auto" w:after="120" w:before="0"/>
        <w:ind w:firstLine="482"/>
      </w:pPr>
      <w:r>
        <w:rPr>
          <w:rFonts w:ascii="Times New Roman" w:hAnsi="宋体" w:eastAsia="宋体"/>
          <w:b w:val="0"/>
          <w:i w:val="0"/>
          <w:color w:val="000000"/>
          <w:sz w:val="24"/>
        </w:rPr>
        <w:t>[图：混淆矩阵汇总]</w:t>
      </w:r>
    </w:p>
    <w:p>
      <w:pPr>
        <w:spacing w:line="360" w:lineRule="auto" w:after="120" w:before="0"/>
        <w:ind w:firstLine="482"/>
      </w:pPr>
      <w:r>
        <w:rPr>
          <w:rFonts w:ascii="Times New Roman" w:hAnsi="宋体" w:eastAsia="宋体"/>
          <w:b w:val="0"/>
          <w:i w:val="0"/>
          <w:color w:val="000000"/>
          <w:sz w:val="24"/>
        </w:rPr>
        <w:t>图2混淆矩阵汇总（8方法，10次试验拼接，各约450样本）</w:t>
      </w:r>
    </w:p>
    <w:p>
      <w:pPr>
        <w:spacing w:before="240" w:after="120" w:lineRule="auto" w:line="300"/>
        <w:jc w:val="left"/>
      </w:pPr>
      <w:r>
        <w:rPr>
          <w:rFonts w:ascii="Times New Roman" w:hAnsi="宋体" w:eastAsia="宋体"/>
          <w:b/>
          <w:i w:val="0"/>
          <w:color w:val="000000"/>
          <w:sz w:val="28"/>
        </w:rPr>
        <w:t>3.2 6模型交叉验证</w:t>
      </w:r>
    </w:p>
    <w:p>
      <w:pPr>
        <w:spacing w:line="360" w:lineRule="auto" w:after="120" w:before="0"/>
        <w:ind w:firstLine="482"/>
      </w:pPr>
      <w:r>
        <w:rPr>
          <w:rFonts w:ascii="Times New Roman" w:hAnsi="宋体" w:eastAsia="宋体"/>
          <w:b w:val="0"/>
          <w:i w:val="0"/>
          <w:color w:val="000000"/>
          <w:sz w:val="24"/>
        </w:rPr>
        <w:t>交叉验证仅对6个传统方法进行（不含MLP变体和决策树）。10次 ×5折共50个CV分数，跨试验均值后CV准确率与测试集均值处于同一水平（均93%–96%），但CV的标准差（约3.5%–5.5%）明显高于测试集标准差（2.4%–3.9%），因为每折验证集仅约21条样本。</w:t>
      </w:r>
    </w:p>
    <w:p>
      <w:pPr>
        <w:spacing w:line="360" w:lineRule="auto" w:after="120" w:before="0"/>
        <w:ind w:firstLine="482"/>
      </w:pPr>
      <w:r>
        <w:rPr>
          <w:rFonts w:ascii="Times New Roman" w:hAnsi="宋体" w:eastAsia="宋体"/>
          <w:b w:val="0"/>
          <w:i w:val="0"/>
          <w:color w:val="000000"/>
          <w:sz w:val="24"/>
        </w:rPr>
        <w:t>CV排名与测试排名不完全一致：测试集中随机森林（94.4%）与决策树（95.1%）相比偏低，而CV中树模型的5折间方差更大，排名波动更多。这在150条样本的数据集上属于正常现象——不同评估方式引入的方差足以重新排列。</w:t>
      </w:r>
    </w:p>
    <w:p>
      <w:pPr>
        <w:spacing w:line="360" w:lineRule="auto" w:after="120" w:before="0"/>
        <w:ind w:firstLine="482"/>
      </w:pPr>
      <w:r>
        <w:rPr>
          <w:rFonts w:ascii="Times New Roman" w:hAnsi="宋体" w:eastAsia="宋体"/>
          <w:b w:val="0"/>
          <w:i w:val="0"/>
          <w:color w:val="000000"/>
          <w:sz w:val="24"/>
        </w:rPr>
        <w:t>[图：交叉验证对比]</w:t>
      </w:r>
    </w:p>
    <w:p>
      <w:pPr>
        <w:spacing w:line="360" w:lineRule="auto" w:after="120" w:before="0"/>
        <w:ind w:firstLine="482"/>
      </w:pPr>
      <w:r>
        <w:rPr>
          <w:rFonts w:ascii="Times New Roman" w:hAnsi="宋体" w:eastAsia="宋体"/>
          <w:b w:val="0"/>
          <w:i w:val="0"/>
          <w:color w:val="000000"/>
          <w:sz w:val="24"/>
        </w:rPr>
        <w:t>图3交叉验证对比（6模型，10次试验 ×5折）</w:t>
      </w:r>
    </w:p>
    <w:p>
      <w:pPr>
        <w:spacing w:before="240" w:after="120" w:lineRule="auto" w:line="300"/>
        <w:jc w:val="left"/>
      </w:pPr>
      <w:r>
        <w:rPr>
          <w:rFonts w:ascii="Times New Roman" w:hAnsi="宋体" w:eastAsia="宋体"/>
          <w:b/>
          <w:i w:val="0"/>
          <w:color w:val="000000"/>
          <w:sz w:val="28"/>
        </w:rPr>
        <w:t>3.3 MLP变体对比与GridSearch</w:t>
      </w:r>
    </w:p>
    <w:p>
      <w:pPr>
        <w:spacing w:line="360" w:lineRule="auto" w:after="120" w:before="0"/>
        <w:ind w:firstLine="482"/>
      </w:pPr>
      <w:r>
        <w:rPr>
          <w:rFonts w:ascii="Times New Roman" w:hAnsi="宋体" w:eastAsia="宋体"/>
          <w:b w:val="0"/>
          <w:i w:val="0"/>
          <w:color w:val="000000"/>
          <w:sz w:val="24"/>
        </w:rPr>
        <w:t>5个MLP配置的表现分为三个梯队：GridSearch最佳（95.8%）、浅层适中宽度（16,8和64,32分别为94.7%和94.4%）、深层或窄网络（32,16,8为93.6%，32,8为93.8%）。</w:t>
      </w:r>
    </w:p>
    <w:p>
      <w:pPr>
        <w:spacing w:line="360" w:lineRule="auto" w:after="120" w:before="0"/>
        <w:ind w:firstLine="482"/>
      </w:pPr>
      <w:r>
        <w:rPr>
          <w:rFonts w:ascii="Times New Roman" w:hAnsi="宋体" w:eastAsia="宋体"/>
          <w:b w:val="0"/>
          <w:i w:val="0"/>
          <w:color w:val="000000"/>
          <w:sz w:val="24"/>
        </w:rPr>
        <w:t>MLP(16,8)较MLP(32,16,8)高出1.1个百分点——加深一层反而下降。原因在于Iris仅150条样本，三层隐藏层（32→16→8）的600+个可训练参数对训练集形成了过参数化，倾向于记忆噪声而非学习模式。MLP(32,8)同样参数偏多（约300个），准确率仅93.8%。</w:t>
      </w:r>
    </w:p>
    <w:p>
      <w:pPr>
        <w:spacing w:line="360" w:lineRule="auto" w:after="120" w:before="0"/>
        <w:ind w:firstLine="482"/>
      </w:pPr>
      <w:r>
        <w:rPr>
          <w:rFonts w:ascii="Times New Roman" w:hAnsi="宋体" w:eastAsia="宋体"/>
          <w:b w:val="0"/>
          <w:i w:val="0"/>
          <w:color w:val="000000"/>
          <w:sz w:val="24"/>
        </w:rPr>
        <w:t>GridSearch在测试集上的表现值得注意：</w:t>
      </w:r>
      <w:r>
        <w:rPr>
          <w:rFonts w:ascii="Times New Roman" w:hAnsi="宋体" w:eastAsia="宋体"/>
          <w:b/>
          <w:i w:val="0"/>
          <w:color w:val="000000"/>
          <w:sz w:val="24"/>
        </w:rPr>
        <w:t>它确实是第一</w:t>
      </w:r>
      <w:r>
        <w:rPr>
          <w:rFonts w:ascii="Times New Roman" w:hAnsi="宋体" w:eastAsia="宋体"/>
          <w:b w:val="0"/>
          <w:i w:val="0"/>
          <w:color w:val="000000"/>
          <w:sz w:val="24"/>
        </w:rPr>
        <w:t>（95.8%），优于所有手动配置，说明参数调优在整体上能获益。但选出的参数极不稳定：10次试验中，最常见配置仅出现了2次（relu, alpha=0.0001, (16,8)和tanh, alpha=0.0001, (64,32)各2次），其余6次各不相同。这表明GridSearch在小数据上的搜索结果高度依赖验证集划分。虽整体有效，但</w:t>
      </w:r>
      <w:r>
        <w:rPr>
          <w:rFonts w:ascii="Times New Roman" w:hAnsi="宋体" w:eastAsia="宋体"/>
          <w:b/>
          <w:i w:val="0"/>
          <w:color w:val="000000"/>
          <w:sz w:val="24"/>
        </w:rPr>
        <w:t>不建议依赖其单次输出作为“最优参数”</w:t>
      </w:r>
      <w:r>
        <w:rPr>
          <w:rFonts w:ascii="Times New Roman" w:hAnsi="宋体" w:eastAsia="宋体"/>
          <w:b w:val="0"/>
          <w:i w:val="0"/>
          <w:color w:val="000000"/>
          <w:sz w:val="24"/>
        </w:rPr>
        <w:t>。</w:t>
      </w:r>
    </w:p>
    <w:p>
      <w:pPr>
        <w:spacing w:line="360" w:lineRule="auto" w:after="120" w:before="0"/>
        <w:ind w:firstLine="482"/>
      </w:pPr>
      <w:r>
        <w:rPr>
          <w:rFonts w:ascii="Times New Roman" w:hAnsi="宋体" w:eastAsia="宋体"/>
          <w:b w:val="0"/>
          <w:i w:val="0"/>
          <w:color w:val="000000"/>
          <w:sz w:val="24"/>
        </w:rPr>
        <w:t>MLP(16,8)的手动alpha=0.001，GridSearch更倾向选alpha=0.0001（更低的正则化）。在Iris这种简单数据上，轻微降低正则化让模型更充分拟合，可能带来约1个百分点的提升，但代价是过拟合风险增加。</w:t>
      </w:r>
    </w:p>
    <w:p>
      <w:pPr>
        <w:spacing w:line="360" w:lineRule="auto" w:after="120" w:before="0"/>
        <w:ind w:firstLine="482"/>
      </w:pPr>
      <w:r>
        <w:rPr>
          <w:rFonts w:ascii="Times New Roman" w:hAnsi="宋体" w:eastAsia="宋体"/>
          <w:b w:val="0"/>
          <w:i w:val="0"/>
          <w:color w:val="000000"/>
          <w:sz w:val="24"/>
        </w:rPr>
        <w:t>[图：MLP分析]</w:t>
      </w:r>
    </w:p>
    <w:p>
      <w:pPr>
        <w:spacing w:line="360" w:lineRule="auto" w:after="120" w:before="0"/>
        <w:ind w:firstLine="482"/>
      </w:pPr>
      <w:r>
        <w:rPr>
          <w:rFonts w:ascii="Times New Roman" w:hAnsi="宋体" w:eastAsia="宋体"/>
          <w:b w:val="0"/>
          <w:i w:val="0"/>
          <w:color w:val="000000"/>
          <w:sz w:val="24"/>
        </w:rPr>
        <w:t>图4 MLP分析（架构对比、损失曲线、GridSearch结果、alpha与激活函数扫描）</w:t>
      </w:r>
    </w:p>
    <w:p>
      <w:pPr>
        <w:spacing w:before="240" w:after="120" w:lineRule="auto" w:line="300"/>
        <w:jc w:val="left"/>
      </w:pPr>
      <w:r>
        <w:rPr>
          <w:rFonts w:ascii="Times New Roman" w:hAnsi="宋体" w:eastAsia="宋体"/>
          <w:b/>
          <w:i w:val="0"/>
          <w:color w:val="000000"/>
          <w:sz w:val="28"/>
        </w:rPr>
        <w:t>3.4决策树与集成方法</w:t>
      </w:r>
    </w:p>
    <w:p>
      <w:pPr>
        <w:spacing w:line="360" w:lineRule="auto" w:after="120" w:before="0"/>
        <w:ind w:firstLine="482"/>
      </w:pPr>
      <w:r>
        <w:rPr>
          <w:rFonts w:ascii="Times New Roman" w:hAnsi="宋体" w:eastAsia="宋体"/>
          <w:b w:val="0"/>
          <w:i w:val="0"/>
          <w:color w:val="000000"/>
          <w:sz w:val="24"/>
        </w:rPr>
        <w:t>决策树以95.1%排第三，但标准差2.8%居中——并非最不稳定。随机森林94.4%（↓0.7pp vs DT）不升反降，说明在Iris上Bagging集成未能发挥应有作用。原因在于特征空间极窄（4个特征，随机子空间仅选2个），每次分裂有50%概率看不到最强的花瓣特征，被迫使用信息量较低的花萼特征做次优分裂。</w:t>
      </w:r>
    </w:p>
    <w:p>
      <w:pPr>
        <w:spacing w:line="360" w:lineRule="auto" w:after="120" w:before="0"/>
        <w:ind w:firstLine="482"/>
      </w:pPr>
      <w:r>
        <w:rPr>
          <w:rFonts w:ascii="Times New Roman" w:hAnsi="宋体" w:eastAsia="宋体"/>
          <w:b w:val="0"/>
          <w:i w:val="0"/>
          <w:color w:val="000000"/>
          <w:sz w:val="24"/>
        </w:rPr>
        <w:t>梯度提升树93.6%，垫底，且标准差2.7%为所有模型中最低之一。Boosting对小数据极度敏感：每次迭代试图纠正前一轮的残差，但总共仅105个训练样本，每棵树(max_depth=3)的拟合目标噪声占比极高，逐轮累加反而可能放大偏差。</w:t>
      </w:r>
    </w:p>
    <w:p>
      <w:pPr>
        <w:spacing w:line="360" w:lineRule="auto" w:after="120" w:before="0"/>
        <w:ind w:firstLine="482"/>
      </w:pPr>
      <w:r>
        <w:rPr>
          <w:rFonts w:ascii="Times New Roman" w:hAnsi="宋体" w:eastAsia="宋体"/>
          <w:b w:val="0"/>
          <w:i w:val="0"/>
          <w:color w:val="000000"/>
          <w:sz w:val="24"/>
        </w:rPr>
        <w:t>[图：随机森林分析]</w:t>
      </w:r>
    </w:p>
    <w:p>
      <w:pPr>
        <w:spacing w:line="360" w:lineRule="auto" w:after="120" w:before="0"/>
        <w:ind w:firstLine="482"/>
      </w:pPr>
      <w:r>
        <w:rPr>
          <w:rFonts w:ascii="Times New Roman" w:hAnsi="宋体" w:eastAsia="宋体"/>
          <w:b w:val="0"/>
          <w:i w:val="0"/>
          <w:color w:val="000000"/>
          <w:sz w:val="24"/>
        </w:rPr>
        <w:t>图5随机森林分析（特征重要性、估计器数量、混淆矩阵、深度扫描）</w:t>
      </w:r>
    </w:p>
    <w:p>
      <w:pPr>
        <w:spacing w:before="240" w:after="120" w:lineRule="auto" w:line="300"/>
        <w:jc w:val="left"/>
      </w:pPr>
      <w:r>
        <w:rPr>
          <w:rFonts w:ascii="Times New Roman" w:hAnsi="宋体" w:eastAsia="宋体"/>
          <w:b/>
          <w:i w:val="0"/>
          <w:color w:val="000000"/>
          <w:sz w:val="28"/>
        </w:rPr>
        <w:t>3.5其他方法</w:t>
      </w:r>
    </w:p>
    <w:p>
      <w:pPr>
        <w:spacing w:line="360" w:lineRule="auto" w:after="120" w:before="0"/>
        <w:ind w:firstLine="482"/>
      </w:pPr>
      <w:r>
        <w:rPr>
          <w:rFonts w:ascii="Times New Roman" w:hAnsi="宋体" w:eastAsia="宋体"/>
          <w:b w:val="0"/>
          <w:i w:val="0"/>
          <w:color w:val="000000"/>
          <w:sz w:val="24"/>
        </w:rPr>
        <w:t>逻辑回归（94.9%±2.4%）标准差最小，最稳定。C值从10⁻³扫到10²准确率几乎不变，Iris对正则化不敏感——线性模型的瓶颈在表达能力本身而非过拟合。</w:t>
      </w:r>
    </w:p>
    <w:p>
      <w:pPr>
        <w:spacing w:line="360" w:lineRule="auto" w:after="120" w:before="0"/>
        <w:ind w:firstLine="482"/>
      </w:pPr>
      <w:r>
        <w:rPr>
          <w:rFonts w:ascii="Times New Roman" w:hAnsi="宋体" w:eastAsia="宋体"/>
          <w:b w:val="0"/>
          <w:i w:val="0"/>
          <w:color w:val="000000"/>
          <w:sz w:val="24"/>
        </w:rPr>
        <w:t>SVM（95.1%±2.6%）排名第二。C值在0.01–100区间呈现典型U型曲线：太小欠拟合、太大过拟合。gamma取0.1时效果最好。支持向量约占训练集的15%–25%，RBF核没有过度记忆样本。</w:t>
      </w:r>
    </w:p>
    <w:p>
      <w:pPr>
        <w:spacing w:line="360" w:lineRule="auto" w:after="120" w:before="0"/>
        <w:ind w:firstLine="482"/>
      </w:pPr>
      <w:r>
        <w:rPr>
          <w:rFonts w:ascii="Times New Roman" w:hAnsi="宋体" w:eastAsia="宋体"/>
          <w:b w:val="0"/>
          <w:i w:val="0"/>
          <w:color w:val="000000"/>
          <w:sz w:val="24"/>
        </w:rPr>
        <w:t>KNN（94.2%±2.8%）排名靠后。k=5默认参数表现稳健，k&gt;15后准确率开始下降。</w:t>
      </w:r>
    </w:p>
    <w:p>
      <w:pPr>
        <w:spacing w:line="360" w:lineRule="auto" w:after="120" w:before="0"/>
        <w:ind w:firstLine="482"/>
      </w:pPr>
      <w:r>
        <w:rPr>
          <w:rFonts w:ascii="Times New Roman" w:hAnsi="宋体" w:eastAsia="宋体"/>
          <w:b w:val="0"/>
          <w:i w:val="0"/>
          <w:color w:val="000000"/>
          <w:sz w:val="24"/>
        </w:rPr>
        <w:t>朴素贝叶斯（94.7%±2.8%）在强相关特征（花瓣长与花瓣宽）上违反独立假设，但Iris特征区分度足够高，损失有限。</w:t>
      </w:r>
    </w:p>
    <w:p>
      <w:pPr>
        <w:spacing w:line="360" w:lineRule="auto" w:after="120" w:before="0"/>
        <w:ind w:firstLine="482"/>
      </w:pPr>
      <w:r>
        <w:rPr>
          <w:rFonts w:ascii="Times New Roman" w:hAnsi="宋体" w:eastAsia="宋体"/>
          <w:b w:val="0"/>
          <w:i w:val="0"/>
          <w:color w:val="000000"/>
          <w:sz w:val="24"/>
        </w:rPr>
        <w:t>[图：SVM分析]</w:t>
      </w:r>
    </w:p>
    <w:p>
      <w:pPr>
        <w:spacing w:line="360" w:lineRule="auto" w:after="120" w:before="0"/>
        <w:ind w:firstLine="482"/>
      </w:pPr>
      <w:r>
        <w:rPr>
          <w:rFonts w:ascii="Times New Roman" w:hAnsi="宋体" w:eastAsia="宋体"/>
          <w:b w:val="0"/>
          <w:i w:val="0"/>
          <w:color w:val="000000"/>
          <w:sz w:val="24"/>
        </w:rPr>
        <w:t>图6 SVM分析（C值、gamma影响、混淆矩阵、支持向量）</w:t>
      </w:r>
    </w:p>
    <w:p>
      <w:pPr>
        <w:spacing w:before="240" w:after="120" w:lineRule="auto" w:line="300"/>
        <w:jc w:val="left"/>
      </w:pPr>
      <w:r>
        <w:rPr>
          <w:rFonts w:ascii="Times New Roman" w:hAnsi="宋体" w:eastAsia="宋体"/>
          <w:b/>
          <w:i w:val="0"/>
          <w:color w:val="000000"/>
          <w:sz w:val="32"/>
        </w:rPr>
        <w:t>4. 消融实验</w:t>
      </w:r>
    </w:p>
    <w:p>
      <w:pPr>
        <w:spacing w:line="360" w:lineRule="auto" w:after="120" w:before="0"/>
        <w:ind w:firstLine="482"/>
      </w:pPr>
      <w:r>
        <w:rPr>
          <w:rFonts w:ascii="Times New Roman" w:hAnsi="宋体" w:eastAsia="宋体"/>
          <w:b w:val="0"/>
          <w:i w:val="0"/>
          <w:color w:val="000000"/>
          <w:sz w:val="24"/>
        </w:rPr>
        <w:t>消融实验使用末次试验的单次固定划分（random_state=42），所有模型以random_state=42初始化以保证可复现。4类消融结果已保存在session中，</w:t>
      </w:r>
      <w:r>
        <w:rPr>
          <w:rFonts w:ascii="Courier New" w:hAnsi="Courier New" w:eastAsia="Courier New"/>
          <w:b w:val="0"/>
          <w:i w:val="0"/>
          <w:color w:val="000000"/>
          <w:sz w:val="24"/>
        </w:rPr>
        <w:t>--analyze</w:t>
      </w:r>
      <w:r>
        <w:rPr>
          <w:rFonts w:ascii="Times New Roman" w:hAnsi="宋体" w:eastAsia="宋体"/>
          <w:b w:val="0"/>
          <w:i w:val="0"/>
          <w:color w:val="000000"/>
          <w:sz w:val="24"/>
        </w:rPr>
        <w:t>可直接重绘。</w:t>
      </w:r>
    </w:p>
    <w:p>
      <w:pPr>
        <w:spacing w:before="240" w:after="120" w:lineRule="auto" w:line="300"/>
        <w:jc w:val="left"/>
      </w:pPr>
      <w:r>
        <w:rPr>
          <w:rFonts w:ascii="Times New Roman" w:hAnsi="宋体" w:eastAsia="宋体"/>
          <w:b/>
          <w:i w:val="0"/>
          <w:color w:val="000000"/>
          <w:sz w:val="28"/>
        </w:rPr>
        <w:t>4.1特征消融</w:t>
      </w:r>
    </w:p>
    <w:p>
      <w:pPr>
        <w:spacing w:line="360" w:lineRule="auto" w:after="120" w:before="0"/>
        <w:ind w:firstLine="482"/>
      </w:pPr>
      <w:r>
        <w:rPr>
          <w:rFonts w:ascii="Times New Roman" w:hAnsi="宋体" w:eastAsia="宋体"/>
          <w:b w:val="0"/>
          <w:i w:val="0"/>
          <w:color w:val="000000"/>
          <w:sz w:val="24"/>
        </w:rPr>
        <w:t>逐一移除4个特征、在8个基准模型（含MLP(32,16,8)）上的测试准确率：</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rFonts w:ascii="Times New Roman" w:hAnsi="宋体" w:eastAsia="宋体"/>
                <w:b/>
                <w:i w:val="0"/>
                <w:color w:val="000000"/>
                <w:sz w:val="24"/>
              </w:rPr>
              <w:t>移除特征</w:t>
            </w:r>
          </w:p>
        </w:tc>
        <w:tc>
          <w:tcPr>
            <w:tcW w:type="dxa" w:w="960"/>
          </w:tcPr>
          <w:p>
            <w:pPr>
              <w:jc w:val="center"/>
            </w:pPr>
            <w:r>
              <w:rPr>
                <w:rFonts w:ascii="Times New Roman" w:hAnsi="宋体" w:eastAsia="宋体"/>
                <w:b/>
                <w:i w:val="0"/>
                <w:color w:val="000000"/>
                <w:sz w:val="24"/>
              </w:rPr>
              <w:t>逻辑回归</w:t>
            </w:r>
          </w:p>
        </w:tc>
        <w:tc>
          <w:tcPr>
            <w:tcW w:type="dxa" w:w="960"/>
          </w:tcPr>
          <w:p>
            <w:pPr>
              <w:jc w:val="center"/>
            </w:pPr>
            <w:r>
              <w:rPr>
                <w:rFonts w:ascii="Times New Roman" w:hAnsi="宋体" w:eastAsia="宋体"/>
                <w:b/>
                <w:i w:val="0"/>
                <w:color w:val="000000"/>
                <w:sz w:val="24"/>
              </w:rPr>
              <w:t>SVM</w:t>
            </w:r>
          </w:p>
        </w:tc>
        <w:tc>
          <w:tcPr>
            <w:tcW w:type="dxa" w:w="960"/>
          </w:tcPr>
          <w:p>
            <w:pPr>
              <w:jc w:val="center"/>
            </w:pPr>
            <w:r>
              <w:rPr>
                <w:rFonts w:ascii="Times New Roman" w:hAnsi="宋体" w:eastAsia="宋体"/>
                <w:b/>
                <w:i w:val="0"/>
                <w:color w:val="000000"/>
                <w:sz w:val="24"/>
              </w:rPr>
              <w:t>随机森林</w:t>
            </w:r>
          </w:p>
        </w:tc>
        <w:tc>
          <w:tcPr>
            <w:tcW w:type="dxa" w:w="960"/>
          </w:tcPr>
          <w:p>
            <w:pPr>
              <w:jc w:val="center"/>
            </w:pPr>
            <w:r>
              <w:rPr>
                <w:rFonts w:ascii="Times New Roman" w:hAnsi="宋体" w:eastAsia="宋体"/>
                <w:b/>
                <w:i w:val="0"/>
                <w:color w:val="000000"/>
                <w:sz w:val="24"/>
              </w:rPr>
              <w:t>KNN</w:t>
            </w:r>
          </w:p>
        </w:tc>
        <w:tc>
          <w:tcPr>
            <w:tcW w:type="dxa" w:w="960"/>
          </w:tcPr>
          <w:p>
            <w:pPr>
              <w:jc w:val="center"/>
            </w:pPr>
            <w:r>
              <w:rPr>
                <w:rFonts w:ascii="Times New Roman" w:hAnsi="宋体" w:eastAsia="宋体"/>
                <w:b/>
                <w:i w:val="0"/>
                <w:color w:val="000000"/>
                <w:sz w:val="24"/>
              </w:rPr>
              <w:t>MLP(32,16,8)</w:t>
            </w:r>
          </w:p>
        </w:tc>
        <w:tc>
          <w:tcPr>
            <w:tcW w:type="dxa" w:w="960"/>
          </w:tcPr>
          <w:p>
            <w:pPr>
              <w:jc w:val="center"/>
            </w:pPr>
            <w:r>
              <w:rPr>
                <w:rFonts w:ascii="Times New Roman" w:hAnsi="宋体" w:eastAsia="宋体"/>
                <w:b/>
                <w:i w:val="0"/>
                <w:color w:val="000000"/>
                <w:sz w:val="24"/>
              </w:rPr>
              <w:t>GBDT</w:t>
            </w:r>
          </w:p>
        </w:tc>
        <w:tc>
          <w:tcPr>
            <w:tcW w:type="dxa" w:w="960"/>
          </w:tcPr>
          <w:p>
            <w:pPr>
              <w:jc w:val="center"/>
            </w:pPr>
            <w:r>
              <w:rPr>
                <w:rFonts w:ascii="Times New Roman" w:hAnsi="宋体" w:eastAsia="宋体"/>
                <w:b/>
                <w:i w:val="0"/>
                <w:color w:val="000000"/>
                <w:sz w:val="24"/>
              </w:rPr>
              <w:t>决策树</w:t>
            </w:r>
          </w:p>
        </w:tc>
        <w:tc>
          <w:tcPr>
            <w:tcW w:type="dxa" w:w="960"/>
          </w:tcPr>
          <w:p>
            <w:pPr>
              <w:jc w:val="center"/>
            </w:pPr>
            <w:r>
              <w:rPr>
                <w:rFonts w:ascii="Times New Roman" w:hAnsi="宋体" w:eastAsia="宋体"/>
                <w:b/>
                <w:i w:val="0"/>
                <w:color w:val="000000"/>
                <w:sz w:val="24"/>
              </w:rPr>
              <w:t>朴素贝叶斯</w:t>
            </w:r>
          </w:p>
        </w:tc>
      </w:tr>
      <w:tr>
        <w:tc>
          <w:tcPr>
            <w:tcW w:type="dxa" w:w="960"/>
          </w:tcPr>
          <w:p>
            <w:pPr>
              <w:jc w:val="center"/>
            </w:pPr>
            <w:r>
              <w:rPr>
                <w:rFonts w:ascii="Times New Roman" w:hAnsi="宋体" w:eastAsia="宋体"/>
                <w:b w:val="0"/>
                <w:i w:val="0"/>
                <w:color w:val="000000"/>
                <w:sz w:val="24"/>
              </w:rPr>
              <w:t>(全特征)</w:t>
            </w:r>
          </w:p>
        </w:tc>
        <w:tc>
          <w:tcPr>
            <w:tcW w:type="dxa" w:w="960"/>
          </w:tcPr>
          <w:p>
            <w:pPr>
              <w:jc w:val="center"/>
            </w:pPr>
            <w:r>
              <w:rPr>
                <w:rFonts w:ascii="Times New Roman" w:hAnsi="宋体" w:eastAsia="宋体"/>
                <w:b w:val="0"/>
                <w:i w:val="0"/>
                <w:color w:val="000000"/>
                <w:sz w:val="24"/>
              </w:rPr>
              <w:t>0.911</w:t>
            </w:r>
          </w:p>
        </w:tc>
        <w:tc>
          <w:tcPr>
            <w:tcW w:type="dxa" w:w="960"/>
          </w:tcPr>
          <w:p>
            <w:pPr>
              <w:jc w:val="center"/>
            </w:pPr>
            <w:r>
              <w:rPr>
                <w:rFonts w:ascii="Times New Roman" w:hAnsi="宋体" w:eastAsia="宋体"/>
                <w:b w:val="0"/>
                <w:i w:val="0"/>
                <w:color w:val="000000"/>
                <w:sz w:val="24"/>
              </w:rPr>
              <w:t>0.933</w:t>
            </w:r>
          </w:p>
        </w:tc>
        <w:tc>
          <w:tcPr>
            <w:tcW w:type="dxa" w:w="960"/>
          </w:tcPr>
          <w:p>
            <w:pPr>
              <w:jc w:val="center"/>
            </w:pPr>
            <w:r>
              <w:rPr>
                <w:rFonts w:ascii="Times New Roman" w:hAnsi="宋体" w:eastAsia="宋体"/>
                <w:b w:val="0"/>
                <w:i w:val="0"/>
                <w:color w:val="000000"/>
                <w:sz w:val="24"/>
              </w:rPr>
              <w:t>0.889</w:t>
            </w:r>
          </w:p>
        </w:tc>
        <w:tc>
          <w:tcPr>
            <w:tcW w:type="dxa" w:w="960"/>
          </w:tcPr>
          <w:p>
            <w:pPr>
              <w:jc w:val="center"/>
            </w:pPr>
            <w:r>
              <w:rPr>
                <w:rFonts w:ascii="Times New Roman" w:hAnsi="宋体" w:eastAsia="宋体"/>
                <w:b w:val="0"/>
                <w:i w:val="0"/>
                <w:color w:val="000000"/>
                <w:sz w:val="24"/>
              </w:rPr>
              <w:t>0.911</w:t>
            </w:r>
          </w:p>
        </w:tc>
        <w:tc>
          <w:tcPr>
            <w:tcW w:type="dxa" w:w="960"/>
          </w:tcPr>
          <w:p>
            <w:pPr>
              <w:jc w:val="center"/>
            </w:pPr>
            <w:r>
              <w:rPr>
                <w:rFonts w:ascii="Times New Roman" w:hAnsi="宋体" w:eastAsia="宋体"/>
                <w:b w:val="0"/>
                <w:i w:val="0"/>
                <w:color w:val="000000"/>
                <w:sz w:val="24"/>
              </w:rPr>
              <w:t>0.911</w:t>
            </w:r>
          </w:p>
        </w:tc>
        <w:tc>
          <w:tcPr>
            <w:tcW w:type="dxa" w:w="960"/>
          </w:tcPr>
          <w:p>
            <w:pPr>
              <w:jc w:val="center"/>
            </w:pPr>
            <w:r>
              <w:rPr>
                <w:rFonts w:ascii="Times New Roman" w:hAnsi="宋体" w:eastAsia="宋体"/>
                <w:b w:val="0"/>
                <w:i w:val="0"/>
                <w:color w:val="000000"/>
                <w:sz w:val="24"/>
              </w:rPr>
              <w:t>0.911</w:t>
            </w:r>
          </w:p>
        </w:tc>
        <w:tc>
          <w:tcPr>
            <w:tcW w:type="dxa" w:w="960"/>
          </w:tcPr>
          <w:p>
            <w:pPr>
              <w:jc w:val="center"/>
            </w:pPr>
            <w:r>
              <w:rPr>
                <w:rFonts w:ascii="Times New Roman" w:hAnsi="宋体" w:eastAsia="宋体"/>
                <w:b w:val="0"/>
                <w:i w:val="0"/>
                <w:color w:val="000000"/>
                <w:sz w:val="24"/>
              </w:rPr>
              <w:t>0.978</w:t>
            </w:r>
          </w:p>
        </w:tc>
        <w:tc>
          <w:tcPr>
            <w:tcW w:type="dxa" w:w="960"/>
          </w:tcPr>
          <w:p>
            <w:pPr>
              <w:jc w:val="center"/>
            </w:pPr>
            <w:r>
              <w:rPr>
                <w:rFonts w:ascii="Times New Roman" w:hAnsi="宋体" w:eastAsia="宋体"/>
                <w:b w:val="0"/>
                <w:i w:val="0"/>
                <w:color w:val="000000"/>
                <w:sz w:val="24"/>
              </w:rPr>
              <w:t>0.911</w:t>
            </w:r>
          </w:p>
        </w:tc>
      </w:tr>
      <w:tr>
        <w:tc>
          <w:tcPr>
            <w:tcW w:type="dxa" w:w="960"/>
          </w:tcPr>
          <w:p>
            <w:pPr>
              <w:jc w:val="center"/>
            </w:pPr>
            <w:r>
              <w:rPr>
                <w:rFonts w:ascii="Times New Roman" w:hAnsi="宋体" w:eastAsia="宋体"/>
                <w:b w:val="0"/>
                <w:i w:val="0"/>
                <w:color w:val="000000"/>
                <w:sz w:val="24"/>
              </w:rPr>
              <w:t>花萼长</w:t>
            </w:r>
          </w:p>
        </w:tc>
        <w:tc>
          <w:tcPr>
            <w:tcW w:type="dxa" w:w="960"/>
          </w:tcPr>
          <w:p>
            <w:pPr>
              <w:jc w:val="center"/>
            </w:pPr>
            <w:r>
              <w:rPr>
                <w:rFonts w:ascii="Times New Roman" w:hAnsi="宋体" w:eastAsia="宋体"/>
                <w:b w:val="0"/>
                <w:i w:val="0"/>
                <w:color w:val="000000"/>
                <w:sz w:val="24"/>
              </w:rPr>
              <w:t>0.911</w:t>
            </w:r>
          </w:p>
        </w:tc>
        <w:tc>
          <w:tcPr>
            <w:tcW w:type="dxa" w:w="960"/>
          </w:tcPr>
          <w:p>
            <w:pPr>
              <w:jc w:val="center"/>
            </w:pPr>
            <w:r>
              <w:rPr>
                <w:rFonts w:ascii="Times New Roman" w:hAnsi="宋体" w:eastAsia="宋体"/>
                <w:b w:val="0"/>
                <w:i w:val="0"/>
                <w:color w:val="000000"/>
                <w:sz w:val="24"/>
              </w:rPr>
              <w:t>0.911</w:t>
            </w:r>
          </w:p>
        </w:tc>
        <w:tc>
          <w:tcPr>
            <w:tcW w:type="dxa" w:w="960"/>
          </w:tcPr>
          <w:p>
            <w:pPr>
              <w:jc w:val="center"/>
            </w:pPr>
            <w:r>
              <w:rPr>
                <w:rFonts w:ascii="Times New Roman" w:hAnsi="宋体" w:eastAsia="宋体"/>
                <w:b w:val="0"/>
                <w:i w:val="0"/>
                <w:color w:val="000000"/>
                <w:sz w:val="24"/>
              </w:rPr>
              <w:t>0.889</w:t>
            </w:r>
          </w:p>
        </w:tc>
        <w:tc>
          <w:tcPr>
            <w:tcW w:type="dxa" w:w="960"/>
          </w:tcPr>
          <w:p>
            <w:pPr>
              <w:jc w:val="center"/>
            </w:pPr>
            <w:r>
              <w:rPr>
                <w:rFonts w:ascii="Times New Roman" w:hAnsi="宋体" w:eastAsia="宋体"/>
                <w:b w:val="0"/>
                <w:i w:val="0"/>
                <w:color w:val="000000"/>
                <w:sz w:val="24"/>
              </w:rPr>
              <w:t>0.911</w:t>
            </w:r>
          </w:p>
        </w:tc>
        <w:tc>
          <w:tcPr>
            <w:tcW w:type="dxa" w:w="960"/>
          </w:tcPr>
          <w:p>
            <w:pPr>
              <w:jc w:val="center"/>
            </w:pPr>
            <w:r>
              <w:rPr>
                <w:rFonts w:ascii="Times New Roman" w:hAnsi="宋体" w:eastAsia="宋体"/>
                <w:b w:val="0"/>
                <w:i w:val="0"/>
                <w:color w:val="000000"/>
                <w:sz w:val="24"/>
              </w:rPr>
              <w:t>0.911</w:t>
            </w:r>
          </w:p>
        </w:tc>
        <w:tc>
          <w:tcPr>
            <w:tcW w:type="dxa" w:w="960"/>
          </w:tcPr>
          <w:p>
            <w:pPr>
              <w:jc w:val="center"/>
            </w:pPr>
            <w:r>
              <w:rPr>
                <w:rFonts w:ascii="Times New Roman" w:hAnsi="宋体" w:eastAsia="宋体"/>
                <w:b w:val="0"/>
                <w:i w:val="0"/>
                <w:color w:val="000000"/>
                <w:sz w:val="24"/>
              </w:rPr>
              <w:t>0.933</w:t>
            </w:r>
          </w:p>
        </w:tc>
        <w:tc>
          <w:tcPr>
            <w:tcW w:type="dxa" w:w="960"/>
          </w:tcPr>
          <w:p>
            <w:pPr>
              <w:jc w:val="center"/>
            </w:pPr>
            <w:r>
              <w:rPr>
                <w:rFonts w:ascii="Times New Roman" w:hAnsi="宋体" w:eastAsia="宋体"/>
                <w:b w:val="0"/>
                <w:i w:val="0"/>
                <w:color w:val="000000"/>
                <w:sz w:val="24"/>
              </w:rPr>
              <w:t>0.978</w:t>
            </w:r>
          </w:p>
        </w:tc>
        <w:tc>
          <w:tcPr>
            <w:tcW w:type="dxa" w:w="960"/>
          </w:tcPr>
          <w:p>
            <w:pPr>
              <w:jc w:val="center"/>
            </w:pPr>
            <w:r>
              <w:rPr>
                <w:rFonts w:ascii="Times New Roman" w:hAnsi="宋体" w:eastAsia="宋体"/>
                <w:b w:val="0"/>
                <w:i w:val="0"/>
                <w:color w:val="000000"/>
                <w:sz w:val="24"/>
              </w:rPr>
              <w:t>0.911</w:t>
            </w:r>
          </w:p>
        </w:tc>
      </w:tr>
      <w:tr>
        <w:tc>
          <w:tcPr>
            <w:tcW w:type="dxa" w:w="960"/>
          </w:tcPr>
          <w:p>
            <w:pPr>
              <w:jc w:val="center"/>
            </w:pPr>
            <w:r>
              <w:rPr>
                <w:rFonts w:ascii="Times New Roman" w:hAnsi="宋体" w:eastAsia="宋体"/>
                <w:b w:val="0"/>
                <w:i w:val="0"/>
                <w:color w:val="000000"/>
                <w:sz w:val="24"/>
              </w:rPr>
              <w:t>花萼宽</w:t>
            </w:r>
          </w:p>
        </w:tc>
        <w:tc>
          <w:tcPr>
            <w:tcW w:type="dxa" w:w="960"/>
          </w:tcPr>
          <w:p>
            <w:pPr>
              <w:jc w:val="center"/>
            </w:pPr>
            <w:r>
              <w:rPr>
                <w:rFonts w:ascii="Times New Roman" w:hAnsi="宋体" w:eastAsia="宋体"/>
                <w:b w:val="0"/>
                <w:i w:val="0"/>
                <w:color w:val="000000"/>
                <w:sz w:val="24"/>
              </w:rPr>
              <w:t>0.911</w:t>
            </w:r>
          </w:p>
        </w:tc>
        <w:tc>
          <w:tcPr>
            <w:tcW w:type="dxa" w:w="960"/>
          </w:tcPr>
          <w:p>
            <w:pPr>
              <w:jc w:val="center"/>
            </w:pPr>
            <w:r>
              <w:rPr>
                <w:rFonts w:ascii="Times New Roman" w:hAnsi="宋体" w:eastAsia="宋体"/>
                <w:b w:val="0"/>
                <w:i w:val="0"/>
                <w:color w:val="000000"/>
                <w:sz w:val="24"/>
              </w:rPr>
              <w:t>0.911</w:t>
            </w:r>
          </w:p>
        </w:tc>
        <w:tc>
          <w:tcPr>
            <w:tcW w:type="dxa" w:w="960"/>
          </w:tcPr>
          <w:p>
            <w:pPr>
              <w:jc w:val="center"/>
            </w:pPr>
            <w:r>
              <w:rPr>
                <w:rFonts w:ascii="Times New Roman" w:hAnsi="宋体" w:eastAsia="宋体"/>
                <w:b w:val="0"/>
                <w:i w:val="0"/>
                <w:color w:val="000000"/>
                <w:sz w:val="24"/>
              </w:rPr>
              <w:t>0.889</w:t>
            </w:r>
          </w:p>
        </w:tc>
        <w:tc>
          <w:tcPr>
            <w:tcW w:type="dxa" w:w="960"/>
          </w:tcPr>
          <w:p>
            <w:pPr>
              <w:jc w:val="center"/>
            </w:pPr>
            <w:r>
              <w:rPr>
                <w:rFonts w:ascii="Times New Roman" w:hAnsi="宋体" w:eastAsia="宋体"/>
                <w:b w:val="0"/>
                <w:i w:val="0"/>
                <w:color w:val="000000"/>
                <w:sz w:val="24"/>
              </w:rPr>
              <w:t>0.933</w:t>
            </w:r>
          </w:p>
        </w:tc>
        <w:tc>
          <w:tcPr>
            <w:tcW w:type="dxa" w:w="960"/>
          </w:tcPr>
          <w:p>
            <w:pPr>
              <w:jc w:val="center"/>
            </w:pPr>
            <w:r>
              <w:rPr>
                <w:rFonts w:ascii="Times New Roman" w:hAnsi="宋体" w:eastAsia="宋体"/>
                <w:b w:val="0"/>
                <w:i w:val="0"/>
                <w:color w:val="000000"/>
                <w:sz w:val="24"/>
              </w:rPr>
              <w:t>0.933</w:t>
            </w:r>
          </w:p>
        </w:tc>
        <w:tc>
          <w:tcPr>
            <w:tcW w:type="dxa" w:w="960"/>
          </w:tcPr>
          <w:p>
            <w:pPr>
              <w:jc w:val="center"/>
            </w:pPr>
            <w:r>
              <w:rPr>
                <w:rFonts w:ascii="Times New Roman" w:hAnsi="宋体" w:eastAsia="宋体"/>
                <w:b w:val="0"/>
                <w:i w:val="0"/>
                <w:color w:val="000000"/>
                <w:sz w:val="24"/>
              </w:rPr>
              <w:t>0.933</w:t>
            </w:r>
          </w:p>
        </w:tc>
        <w:tc>
          <w:tcPr>
            <w:tcW w:type="dxa" w:w="960"/>
          </w:tcPr>
          <w:p>
            <w:pPr>
              <w:jc w:val="center"/>
            </w:pPr>
            <w:r>
              <w:rPr>
                <w:rFonts w:ascii="Times New Roman" w:hAnsi="宋体" w:eastAsia="宋体"/>
                <w:b w:val="0"/>
                <w:i w:val="0"/>
                <w:color w:val="000000"/>
                <w:sz w:val="24"/>
              </w:rPr>
              <w:t>0.978</w:t>
            </w:r>
          </w:p>
        </w:tc>
        <w:tc>
          <w:tcPr>
            <w:tcW w:type="dxa" w:w="960"/>
          </w:tcPr>
          <w:p>
            <w:pPr>
              <w:jc w:val="center"/>
            </w:pPr>
            <w:r>
              <w:rPr>
                <w:rFonts w:ascii="Times New Roman" w:hAnsi="宋体" w:eastAsia="宋体"/>
                <w:b w:val="0"/>
                <w:i w:val="0"/>
                <w:color w:val="000000"/>
                <w:sz w:val="24"/>
              </w:rPr>
              <w:t>0.911</w:t>
            </w:r>
          </w:p>
        </w:tc>
      </w:tr>
      <w:tr>
        <w:tc>
          <w:tcPr>
            <w:tcW w:type="dxa" w:w="960"/>
          </w:tcPr>
          <w:p>
            <w:pPr>
              <w:jc w:val="center"/>
            </w:pPr>
            <w:r>
              <w:rPr>
                <w:rFonts w:ascii="Times New Roman" w:hAnsi="宋体" w:eastAsia="宋体"/>
                <w:b w:val="0"/>
                <w:i w:val="0"/>
                <w:color w:val="000000"/>
                <w:sz w:val="24"/>
              </w:rPr>
              <w:t>花瓣长</w:t>
            </w:r>
          </w:p>
        </w:tc>
        <w:tc>
          <w:tcPr>
            <w:tcW w:type="dxa" w:w="960"/>
          </w:tcPr>
          <w:p>
            <w:pPr>
              <w:jc w:val="center"/>
            </w:pPr>
            <w:r>
              <w:rPr>
                <w:rFonts w:ascii="Times New Roman" w:hAnsi="宋体" w:eastAsia="宋体"/>
                <w:b w:val="0"/>
                <w:i w:val="0"/>
                <w:color w:val="000000"/>
                <w:sz w:val="24"/>
              </w:rPr>
              <w:t>0.911</w:t>
            </w:r>
          </w:p>
        </w:tc>
        <w:tc>
          <w:tcPr>
            <w:tcW w:type="dxa" w:w="960"/>
          </w:tcPr>
          <w:p>
            <w:pPr>
              <w:jc w:val="center"/>
            </w:pPr>
            <w:r>
              <w:rPr>
                <w:rFonts w:ascii="Times New Roman" w:hAnsi="宋体" w:eastAsia="宋体"/>
                <w:b w:val="0"/>
                <w:i w:val="0"/>
                <w:color w:val="000000"/>
                <w:sz w:val="24"/>
              </w:rPr>
              <w:t>0.911</w:t>
            </w:r>
          </w:p>
        </w:tc>
        <w:tc>
          <w:tcPr>
            <w:tcW w:type="dxa" w:w="960"/>
          </w:tcPr>
          <w:p>
            <w:pPr>
              <w:jc w:val="center"/>
            </w:pPr>
            <w:r>
              <w:rPr>
                <w:rFonts w:ascii="Times New Roman" w:hAnsi="宋体" w:eastAsia="宋体"/>
                <w:b w:val="0"/>
                <w:i w:val="0"/>
                <w:color w:val="000000"/>
                <w:sz w:val="24"/>
              </w:rPr>
              <w:t>0.889</w:t>
            </w:r>
          </w:p>
        </w:tc>
        <w:tc>
          <w:tcPr>
            <w:tcW w:type="dxa" w:w="960"/>
          </w:tcPr>
          <w:p>
            <w:pPr>
              <w:jc w:val="center"/>
            </w:pPr>
            <w:r>
              <w:rPr>
                <w:rFonts w:ascii="Times New Roman" w:hAnsi="宋体" w:eastAsia="宋体"/>
                <w:b w:val="0"/>
                <w:i w:val="0"/>
                <w:color w:val="000000"/>
                <w:sz w:val="24"/>
              </w:rPr>
              <w:t>0.889</w:t>
            </w:r>
          </w:p>
        </w:tc>
        <w:tc>
          <w:tcPr>
            <w:tcW w:type="dxa" w:w="960"/>
          </w:tcPr>
          <w:p>
            <w:pPr>
              <w:jc w:val="center"/>
            </w:pPr>
            <w:r>
              <w:rPr>
                <w:rFonts w:ascii="Times New Roman" w:hAnsi="宋体" w:eastAsia="宋体"/>
                <w:b w:val="0"/>
                <w:i w:val="0"/>
                <w:color w:val="000000"/>
                <w:sz w:val="24"/>
              </w:rPr>
              <w:t>0.933</w:t>
            </w:r>
          </w:p>
        </w:tc>
        <w:tc>
          <w:tcPr>
            <w:tcW w:type="dxa" w:w="960"/>
          </w:tcPr>
          <w:p>
            <w:pPr>
              <w:jc w:val="center"/>
            </w:pPr>
            <w:r>
              <w:rPr>
                <w:rFonts w:ascii="Times New Roman" w:hAnsi="宋体" w:eastAsia="宋体"/>
                <w:b w:val="0"/>
                <w:i w:val="0"/>
                <w:color w:val="000000"/>
                <w:sz w:val="24"/>
              </w:rPr>
              <w:t>0.933</w:t>
            </w:r>
          </w:p>
        </w:tc>
        <w:tc>
          <w:tcPr>
            <w:tcW w:type="dxa" w:w="960"/>
          </w:tcPr>
          <w:p>
            <w:pPr>
              <w:jc w:val="center"/>
            </w:pPr>
            <w:r>
              <w:rPr>
                <w:rFonts w:ascii="Times New Roman" w:hAnsi="宋体" w:eastAsia="宋体"/>
                <w:b w:val="0"/>
                <w:i w:val="0"/>
                <w:color w:val="000000"/>
                <w:sz w:val="24"/>
              </w:rPr>
              <w:t>0.933</w:t>
            </w:r>
          </w:p>
        </w:tc>
        <w:tc>
          <w:tcPr>
            <w:tcW w:type="dxa" w:w="960"/>
          </w:tcPr>
          <w:p>
            <w:pPr>
              <w:jc w:val="center"/>
            </w:pPr>
            <w:r>
              <w:rPr>
                <w:rFonts w:ascii="Times New Roman" w:hAnsi="宋体" w:eastAsia="宋体"/>
                <w:b w:val="0"/>
                <w:i w:val="0"/>
                <w:color w:val="000000"/>
                <w:sz w:val="24"/>
              </w:rPr>
              <w:t>0.867</w:t>
            </w:r>
          </w:p>
        </w:tc>
      </w:tr>
      <w:tr>
        <w:tc>
          <w:tcPr>
            <w:tcW w:type="dxa" w:w="960"/>
          </w:tcPr>
          <w:p>
            <w:pPr>
              <w:jc w:val="center"/>
            </w:pPr>
            <w:r>
              <w:rPr>
                <w:rFonts w:ascii="Times New Roman" w:hAnsi="宋体" w:eastAsia="宋体"/>
                <w:b w:val="0"/>
                <w:i w:val="0"/>
                <w:color w:val="000000"/>
                <w:sz w:val="24"/>
              </w:rPr>
              <w:t>花瓣宽</w:t>
            </w:r>
          </w:p>
        </w:tc>
        <w:tc>
          <w:tcPr>
            <w:tcW w:type="dxa" w:w="960"/>
          </w:tcPr>
          <w:p>
            <w:pPr>
              <w:jc w:val="center"/>
            </w:pPr>
            <w:r>
              <w:rPr>
                <w:rFonts w:ascii="Times New Roman" w:hAnsi="宋体" w:eastAsia="宋体"/>
                <w:b w:val="0"/>
                <w:i w:val="0"/>
                <w:color w:val="000000"/>
                <w:sz w:val="24"/>
              </w:rPr>
              <w:t>0.933</w:t>
            </w:r>
          </w:p>
        </w:tc>
        <w:tc>
          <w:tcPr>
            <w:tcW w:type="dxa" w:w="960"/>
          </w:tcPr>
          <w:p>
            <w:pPr>
              <w:jc w:val="center"/>
            </w:pPr>
            <w:r>
              <w:rPr>
                <w:rFonts w:ascii="Times New Roman" w:hAnsi="宋体" w:eastAsia="宋体"/>
                <w:b w:val="0"/>
                <w:i w:val="0"/>
                <w:color w:val="000000"/>
                <w:sz w:val="24"/>
              </w:rPr>
              <w:t>0.933</w:t>
            </w:r>
          </w:p>
        </w:tc>
        <w:tc>
          <w:tcPr>
            <w:tcW w:type="dxa" w:w="960"/>
          </w:tcPr>
          <w:p>
            <w:pPr>
              <w:jc w:val="center"/>
            </w:pPr>
            <w:r>
              <w:rPr>
                <w:rFonts w:ascii="Times New Roman" w:hAnsi="宋体" w:eastAsia="宋体"/>
                <w:b w:val="0"/>
                <w:i w:val="0"/>
                <w:color w:val="000000"/>
                <w:sz w:val="24"/>
              </w:rPr>
              <w:t>0.911</w:t>
            </w:r>
          </w:p>
        </w:tc>
        <w:tc>
          <w:tcPr>
            <w:tcW w:type="dxa" w:w="960"/>
          </w:tcPr>
          <w:p>
            <w:pPr>
              <w:jc w:val="center"/>
            </w:pPr>
            <w:r>
              <w:rPr>
                <w:rFonts w:ascii="Times New Roman" w:hAnsi="宋体" w:eastAsia="宋体"/>
                <w:b w:val="0"/>
                <w:i w:val="0"/>
                <w:color w:val="000000"/>
                <w:sz w:val="24"/>
              </w:rPr>
              <w:t>0.844</w:t>
            </w:r>
          </w:p>
        </w:tc>
        <w:tc>
          <w:tcPr>
            <w:tcW w:type="dxa" w:w="960"/>
          </w:tcPr>
          <w:p>
            <w:pPr>
              <w:jc w:val="center"/>
            </w:pPr>
            <w:r>
              <w:rPr>
                <w:rFonts w:ascii="Times New Roman" w:hAnsi="宋体" w:eastAsia="宋体"/>
                <w:b w:val="0"/>
                <w:i w:val="0"/>
                <w:color w:val="000000"/>
                <w:sz w:val="24"/>
              </w:rPr>
              <w:t>0.933</w:t>
            </w:r>
          </w:p>
        </w:tc>
        <w:tc>
          <w:tcPr>
            <w:tcW w:type="dxa" w:w="960"/>
          </w:tcPr>
          <w:p>
            <w:pPr>
              <w:jc w:val="center"/>
            </w:pPr>
            <w:r>
              <w:rPr>
                <w:rFonts w:ascii="Times New Roman" w:hAnsi="宋体" w:eastAsia="宋体"/>
                <w:b w:val="0"/>
                <w:i w:val="0"/>
                <w:color w:val="000000"/>
                <w:sz w:val="24"/>
              </w:rPr>
              <w:t>0.889</w:t>
            </w:r>
          </w:p>
        </w:tc>
        <w:tc>
          <w:tcPr>
            <w:tcW w:type="dxa" w:w="960"/>
          </w:tcPr>
          <w:p>
            <w:pPr>
              <w:jc w:val="center"/>
            </w:pPr>
            <w:r>
              <w:rPr>
                <w:rFonts w:ascii="Times New Roman" w:hAnsi="宋体" w:eastAsia="宋体"/>
                <w:b w:val="0"/>
                <w:i w:val="0"/>
                <w:color w:val="000000"/>
                <w:sz w:val="24"/>
              </w:rPr>
              <w:t>0.911</w:t>
            </w:r>
          </w:p>
        </w:tc>
        <w:tc>
          <w:tcPr>
            <w:tcW w:type="dxa" w:w="960"/>
          </w:tcPr>
          <w:p>
            <w:pPr>
              <w:jc w:val="center"/>
            </w:pPr>
            <w:r>
              <w:rPr>
                <w:rFonts w:ascii="Times New Roman" w:hAnsi="宋体" w:eastAsia="宋体"/>
                <w:b w:val="0"/>
                <w:i w:val="0"/>
                <w:color w:val="000000"/>
                <w:sz w:val="24"/>
              </w:rPr>
              <w:t>0.889</w:t>
            </w:r>
          </w:p>
        </w:tc>
      </w:tr>
    </w:tbl>
    <w:p/>
    <w:p>
      <w:pPr>
        <w:spacing w:line="360" w:lineRule="auto" w:after="120" w:before="0"/>
        <w:ind w:firstLine="482"/>
      </w:pPr>
      <w:r>
        <w:rPr>
          <w:rFonts w:ascii="Times New Roman" w:hAnsi="宋体" w:eastAsia="宋体"/>
          <w:b w:val="0"/>
          <w:i w:val="0"/>
          <w:color w:val="000000"/>
          <w:sz w:val="24"/>
        </w:rPr>
        <w:t>移除花瓣宽影响最大（KNN跌0.067, GBDT跌0.022）。花萼特征移除后影响很小甚至微升——如GBDT去掉花萼后反而上升（0.911→0.933），MLP去掉花萼后也上升（0.911→0.933）。说明花萼特征在本次划分中近乎噪声。</w:t>
      </w:r>
    </w:p>
    <w:p>
      <w:pPr>
        <w:spacing w:line="360" w:lineRule="auto" w:after="120" w:before="0"/>
        <w:ind w:firstLine="482"/>
      </w:pPr>
      <w:r>
        <w:rPr>
          <w:rFonts w:ascii="Times New Roman" w:hAnsi="宋体" w:eastAsia="宋体"/>
          <w:b w:val="0"/>
          <w:i w:val="0"/>
          <w:color w:val="000000"/>
          <w:sz w:val="24"/>
        </w:rPr>
        <w:t>决策树基线0.978为最高，移除任何单特征后仍保持0.911–0.978，是特征鲁棒性最强的模型。</w:t>
      </w:r>
    </w:p>
    <w:p>
      <w:pPr>
        <w:spacing w:line="360" w:lineRule="auto" w:after="120" w:before="0"/>
        <w:ind w:firstLine="482"/>
      </w:pPr>
      <w:r>
        <w:rPr>
          <w:rFonts w:ascii="Times New Roman" w:hAnsi="宋体" w:eastAsia="宋体"/>
          <w:b w:val="0"/>
          <w:i w:val="0"/>
          <w:color w:val="000000"/>
          <w:sz w:val="24"/>
        </w:rPr>
        <w:t>[图：特征消融]</w:t>
      </w:r>
    </w:p>
    <w:p>
      <w:pPr>
        <w:spacing w:line="360" w:lineRule="auto" w:after="120" w:before="0"/>
        <w:ind w:firstLine="482"/>
      </w:pPr>
      <w:r>
        <w:rPr>
          <w:rFonts w:ascii="Times New Roman" w:hAnsi="宋体" w:eastAsia="宋体"/>
          <w:b w:val="0"/>
          <w:i w:val="0"/>
          <w:color w:val="000000"/>
          <w:sz w:val="24"/>
        </w:rPr>
        <w:t>图7特征消融热力图</w:t>
      </w:r>
    </w:p>
    <w:p>
      <w:pPr>
        <w:spacing w:before="240" w:after="120" w:lineRule="auto" w:line="300"/>
        <w:jc w:val="left"/>
      </w:pPr>
      <w:r>
        <w:rPr>
          <w:rFonts w:ascii="Times New Roman" w:hAnsi="宋体" w:eastAsia="宋体"/>
          <w:b/>
          <w:i w:val="0"/>
          <w:color w:val="000000"/>
          <w:sz w:val="28"/>
        </w:rPr>
        <w:t>4.2数据量消融</w:t>
      </w:r>
    </w:p>
    <w:p>
      <w:pPr>
        <w:spacing w:line="360" w:lineRule="auto" w:after="120" w:before="0"/>
        <w:ind w:firstLine="482"/>
      </w:pPr>
      <w:r>
        <w:rPr>
          <w:rFonts w:ascii="Times New Roman" w:hAnsi="宋体" w:eastAsia="宋体"/>
          <w:b w:val="0"/>
          <w:i w:val="0"/>
          <w:color w:val="000000"/>
          <w:sz w:val="24"/>
        </w:rPr>
        <w:t>训练比例从90%（94条）逐步减至10%（10条，每类仅3–4条）：</w:t>
      </w:r>
    </w:p>
    <w:p>
      <w:pPr>
        <w:spacing w:line="360" w:lineRule="auto" w:after="120" w:before="0"/>
        <w:ind w:firstLine="482"/>
      </w:pPr>
      <w:r>
        <w:rPr>
          <w:rFonts w:ascii="Times New Roman" w:hAnsi="宋体" w:eastAsia="宋体"/>
          <w:b w:val="0"/>
          <w:i w:val="0"/>
          <w:color w:val="000000"/>
          <w:sz w:val="24"/>
        </w:rPr>
        <w:t>10%数据下，决策树从0.933暴跌至0.622（降幅0.311），为所有模型中最脆弱者。分裂阈值在极少样本下完全不可靠。SVM和随机森林仍保持0.844，最为稳健——SVM的间隔最大化对稀疏样本不敏感，RF的随机采样降低了过拟合。</w:t>
      </w:r>
    </w:p>
    <w:p>
      <w:pPr>
        <w:spacing w:line="360" w:lineRule="auto" w:after="120" w:before="0"/>
        <w:ind w:firstLine="482"/>
      </w:pPr>
      <w:r>
        <w:rPr>
          <w:rFonts w:ascii="Times New Roman" w:hAnsi="宋体" w:eastAsia="宋体"/>
          <w:b w:val="0"/>
          <w:i w:val="0"/>
          <w:color w:val="000000"/>
          <w:sz w:val="24"/>
        </w:rPr>
        <w:t>朴素贝叶斯在10%数据下的3–4条/类无法可靠估计高斯分布参数，同样表现较差（0.778）。</w:t>
      </w:r>
    </w:p>
    <w:p>
      <w:pPr>
        <w:spacing w:line="360" w:lineRule="auto" w:after="120" w:before="0"/>
        <w:ind w:firstLine="482"/>
      </w:pPr>
      <w:r>
        <w:rPr>
          <w:rFonts w:ascii="Times New Roman" w:hAnsi="宋体" w:eastAsia="宋体"/>
          <w:b w:val="0"/>
          <w:i w:val="0"/>
          <w:color w:val="000000"/>
          <w:sz w:val="24"/>
        </w:rPr>
        <w:t>[图：数据量消融]</w:t>
      </w:r>
    </w:p>
    <w:p>
      <w:pPr>
        <w:spacing w:line="360" w:lineRule="auto" w:after="120" w:before="0"/>
        <w:ind w:firstLine="482"/>
      </w:pPr>
      <w:r>
        <w:rPr>
          <w:rFonts w:ascii="Times New Roman" w:hAnsi="宋体" w:eastAsia="宋体"/>
          <w:b w:val="0"/>
          <w:i w:val="0"/>
          <w:color w:val="000000"/>
          <w:sz w:val="24"/>
        </w:rPr>
        <w:t>图8数据量消融曲线</w:t>
      </w:r>
    </w:p>
    <w:p>
      <w:pPr>
        <w:spacing w:before="240" w:after="120" w:lineRule="auto" w:line="300"/>
        <w:jc w:val="left"/>
      </w:pPr>
      <w:r>
        <w:rPr>
          <w:rFonts w:ascii="Times New Roman" w:hAnsi="宋体" w:eastAsia="宋体"/>
          <w:b/>
          <w:i w:val="0"/>
          <w:color w:val="000000"/>
          <w:sz w:val="28"/>
        </w:rPr>
        <w:t>4.3 MLP架构消融</w:t>
      </w:r>
    </w:p>
    <w:p>
      <w:pPr>
        <w:spacing w:line="360" w:lineRule="auto" w:after="120" w:before="0"/>
        <w:ind w:firstLine="482"/>
      </w:pPr>
      <w:r>
        <w:rPr>
          <w:rFonts w:ascii="Times New Roman" w:hAnsi="宋体" w:eastAsia="宋体"/>
          <w:b w:val="0"/>
          <w:i w:val="0"/>
          <w:color w:val="000000"/>
          <w:sz w:val="24"/>
        </w:rPr>
        <w:t>在末次划分上逐一扫描宽度、深度、正则化、激活函数（均以(16,8)、alpha=0.001、ReLU为基准变化单一维度）：</w:t>
      </w:r>
    </w:p>
    <w:p>
      <w:pPr>
        <w:spacing w:line="360" w:lineRule="auto" w:after="120" w:before="0"/>
        <w:ind w:firstLine="482"/>
      </w:pPr>
      <w:r>
        <w:rPr>
          <w:rFonts w:ascii="Times New Roman" w:hAnsi="宋体" w:eastAsia="宋体"/>
          <w:b/>
          <w:i w:val="0"/>
          <w:color w:val="000000"/>
          <w:sz w:val="24"/>
        </w:rPr>
        <w:t>宽度</w:t>
      </w:r>
      <w:r>
        <w:rPr>
          <w:rFonts w:ascii="Times New Roman" w:hAnsi="宋体" w:eastAsia="宋体"/>
          <w:b w:val="0"/>
          <w:i w:val="0"/>
          <w:color w:val="000000"/>
          <w:sz w:val="24"/>
        </w:rPr>
        <w:t>：4、32个神经元最高（93.33%），8个最低（88.89%）。梯度变化非线性，说明小数据下网络容量被随机因素主导。</w:t>
      </w:r>
    </w:p>
    <w:p>
      <w:pPr>
        <w:spacing w:line="360" w:lineRule="auto" w:after="120" w:before="0"/>
        <w:ind w:firstLine="482"/>
      </w:pPr>
      <w:r>
        <w:rPr>
          <w:rFonts w:ascii="Times New Roman" w:hAnsi="宋体" w:eastAsia="宋体"/>
          <w:b/>
          <w:i w:val="0"/>
          <w:color w:val="000000"/>
          <w:sz w:val="24"/>
        </w:rPr>
        <w:t>深度</w:t>
      </w:r>
      <w:r>
        <w:rPr>
          <w:rFonts w:ascii="Times New Roman" w:hAnsi="宋体" w:eastAsia="宋体"/>
          <w:b w:val="0"/>
          <w:i w:val="0"/>
          <w:color w:val="000000"/>
          <w:sz w:val="24"/>
        </w:rPr>
        <w:t>：1到4层均在91.11%–93.33%之间，无单调趋势。</w:t>
      </w:r>
    </w:p>
    <w:p>
      <w:pPr>
        <w:spacing w:line="360" w:lineRule="auto" w:after="120" w:before="0"/>
        <w:ind w:firstLine="482"/>
      </w:pPr>
      <w:r>
        <w:rPr>
          <w:rFonts w:ascii="Times New Roman" w:hAnsi="宋体" w:eastAsia="宋体"/>
          <w:b/>
          <w:i w:val="0"/>
          <w:color w:val="000000"/>
          <w:sz w:val="24"/>
        </w:rPr>
        <w:t>正则化</w:t>
      </w:r>
      <w:r>
        <w:rPr>
          <w:rFonts w:ascii="Times New Roman" w:hAnsi="宋体" w:eastAsia="宋体"/>
          <w:b w:val="0"/>
          <w:i w:val="0"/>
          <w:color w:val="000000"/>
          <w:sz w:val="24"/>
        </w:rPr>
        <w:t>：alpha=0到0.1均为91.11%，alpha=1升至93.33%。强正则化在此次划分中反而有益。</w:t>
      </w:r>
    </w:p>
    <w:p>
      <w:pPr>
        <w:spacing w:line="360" w:lineRule="auto" w:after="120" w:before="0"/>
        <w:ind w:firstLine="482"/>
      </w:pPr>
      <w:r>
        <w:rPr>
          <w:rFonts w:ascii="Times New Roman" w:hAnsi="宋体" w:eastAsia="宋体"/>
          <w:b/>
          <w:i w:val="0"/>
          <w:color w:val="000000"/>
          <w:sz w:val="24"/>
        </w:rPr>
        <w:t>激活函数</w:t>
      </w:r>
      <w:r>
        <w:rPr>
          <w:rFonts w:ascii="Times New Roman" w:hAnsi="宋体" w:eastAsia="宋体"/>
          <w:b w:val="0"/>
          <w:i w:val="0"/>
          <w:color w:val="000000"/>
          <w:sz w:val="24"/>
        </w:rPr>
        <w:t>：ReLU（95.56%）优于Tanh和Sigmoid（93.33%）。GridSearch在10次试验中最常倾向于选Tanh——测试集最优激活函数与CV选出的不一致，再次说明CV选参在小数据上不可靠。</w:t>
      </w:r>
    </w:p>
    <w:p>
      <w:pPr>
        <w:spacing w:line="360" w:lineRule="auto" w:after="120" w:before="0"/>
        <w:ind w:firstLine="482"/>
      </w:pPr>
      <w:r>
        <w:rPr>
          <w:rFonts w:ascii="Times New Roman" w:hAnsi="宋体" w:eastAsia="宋体"/>
          <w:b w:val="0"/>
          <w:i w:val="0"/>
          <w:color w:val="000000"/>
          <w:sz w:val="24"/>
        </w:rPr>
        <w:t>[图：MLP架构消融]</w:t>
      </w:r>
    </w:p>
    <w:p>
      <w:pPr>
        <w:spacing w:line="360" w:lineRule="auto" w:after="120" w:before="0"/>
        <w:ind w:firstLine="482"/>
      </w:pPr>
      <w:r>
        <w:rPr>
          <w:rFonts w:ascii="Times New Roman" w:hAnsi="宋体" w:eastAsia="宋体"/>
          <w:b w:val="0"/>
          <w:i w:val="0"/>
          <w:color w:val="000000"/>
          <w:sz w:val="24"/>
        </w:rPr>
        <w:t>图9 MLP架构消融（宽度、深度、正则化强度、激活函数）</w:t>
      </w:r>
    </w:p>
    <w:p>
      <w:pPr>
        <w:spacing w:before="240" w:after="120" w:lineRule="auto" w:line="300"/>
        <w:jc w:val="left"/>
      </w:pPr>
      <w:r>
        <w:rPr>
          <w:rFonts w:ascii="Times New Roman" w:hAnsi="宋体" w:eastAsia="宋体"/>
          <w:b/>
          <w:i w:val="0"/>
          <w:color w:val="000000"/>
          <w:sz w:val="28"/>
        </w:rPr>
        <w:t>4.4预处理消融</w:t>
      </w:r>
    </w:p>
    <w:p>
      <w:pPr>
        <w:spacing w:line="360" w:lineRule="auto" w:after="120" w:before="0"/>
        <w:ind w:firstLine="482"/>
      </w:pPr>
      <w:r>
        <w:rPr>
          <w:rFonts w:ascii="Times New Roman" w:hAnsi="宋体" w:eastAsia="宋体"/>
          <w:b w:val="0"/>
          <w:i w:val="0"/>
          <w:color w:val="000000"/>
          <w:sz w:val="24"/>
        </w:rPr>
        <w:t>标准化vs未标准化在末次划分上的对比：</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宋体" w:eastAsia="宋体"/>
                <w:b/>
                <w:i w:val="0"/>
                <w:color w:val="000000"/>
                <w:sz w:val="24"/>
              </w:rPr>
              <w:t>模型</w:t>
            </w:r>
          </w:p>
        </w:tc>
        <w:tc>
          <w:tcPr>
            <w:tcW w:type="dxa" w:w="2160"/>
          </w:tcPr>
          <w:p>
            <w:pPr>
              <w:jc w:val="center"/>
            </w:pPr>
            <w:r>
              <w:rPr>
                <w:rFonts w:ascii="Times New Roman" w:hAnsi="宋体" w:eastAsia="宋体"/>
                <w:b/>
                <w:i w:val="0"/>
                <w:color w:val="000000"/>
                <w:sz w:val="24"/>
              </w:rPr>
              <w:t>标准化</w:t>
            </w:r>
          </w:p>
        </w:tc>
        <w:tc>
          <w:tcPr>
            <w:tcW w:type="dxa" w:w="2160"/>
          </w:tcPr>
          <w:p>
            <w:pPr>
              <w:jc w:val="center"/>
            </w:pPr>
            <w:r>
              <w:rPr>
                <w:rFonts w:ascii="Times New Roman" w:hAnsi="宋体" w:eastAsia="宋体"/>
                <w:b/>
                <w:i w:val="0"/>
                <w:color w:val="000000"/>
                <w:sz w:val="24"/>
              </w:rPr>
              <w:t>未标准化</w:t>
            </w:r>
          </w:p>
        </w:tc>
        <w:tc>
          <w:tcPr>
            <w:tcW w:type="dxa" w:w="2160"/>
          </w:tcPr>
          <w:p>
            <w:pPr>
              <w:jc w:val="center"/>
            </w:pPr>
            <w:r>
              <w:rPr>
                <w:rFonts w:ascii="Times New Roman" w:hAnsi="宋体" w:eastAsia="宋体"/>
                <w:b/>
                <w:i w:val="0"/>
                <w:color w:val="000000"/>
                <w:sz w:val="24"/>
              </w:rPr>
              <w:t>Δ</w:t>
            </w:r>
          </w:p>
        </w:tc>
      </w:tr>
      <w:tr>
        <w:tc>
          <w:tcPr>
            <w:tcW w:type="dxa" w:w="2160"/>
          </w:tcPr>
          <w:p>
            <w:pPr>
              <w:jc w:val="center"/>
            </w:pPr>
            <w:r>
              <w:rPr>
                <w:rFonts w:ascii="Times New Roman" w:hAnsi="宋体" w:eastAsia="宋体"/>
                <w:b w:val="0"/>
                <w:i w:val="0"/>
                <w:color w:val="000000"/>
                <w:sz w:val="24"/>
              </w:rPr>
              <w:t>逻辑回归</w:t>
            </w:r>
          </w:p>
        </w:tc>
        <w:tc>
          <w:tcPr>
            <w:tcW w:type="dxa" w:w="2160"/>
          </w:tcPr>
          <w:p>
            <w:pPr>
              <w:jc w:val="center"/>
            </w:pPr>
            <w:r>
              <w:rPr>
                <w:rFonts w:ascii="Times New Roman" w:hAnsi="宋体" w:eastAsia="宋体"/>
                <w:b w:val="0"/>
                <w:i w:val="0"/>
                <w:color w:val="000000"/>
                <w:sz w:val="24"/>
              </w:rPr>
              <w:t>0.911</w:t>
            </w:r>
          </w:p>
        </w:tc>
        <w:tc>
          <w:tcPr>
            <w:tcW w:type="dxa" w:w="2160"/>
          </w:tcPr>
          <w:p>
            <w:pPr>
              <w:jc w:val="center"/>
            </w:pPr>
            <w:r>
              <w:rPr>
                <w:rFonts w:ascii="Times New Roman" w:hAnsi="宋体" w:eastAsia="宋体"/>
                <w:b w:val="0"/>
                <w:i w:val="0"/>
                <w:color w:val="000000"/>
                <w:sz w:val="24"/>
              </w:rPr>
              <w:t>0.933</w:t>
            </w:r>
          </w:p>
        </w:tc>
        <w:tc>
          <w:tcPr>
            <w:tcW w:type="dxa" w:w="2160"/>
          </w:tcPr>
          <w:p>
            <w:pPr>
              <w:jc w:val="center"/>
            </w:pPr>
            <w:r>
              <w:rPr>
                <w:rFonts w:ascii="Times New Roman" w:hAnsi="宋体" w:eastAsia="宋体"/>
                <w:b w:val="0"/>
                <w:i w:val="0"/>
                <w:color w:val="000000"/>
                <w:sz w:val="24"/>
              </w:rPr>
              <w:t>-0.022</w:t>
            </w:r>
          </w:p>
        </w:tc>
      </w:tr>
      <w:tr>
        <w:tc>
          <w:tcPr>
            <w:tcW w:type="dxa" w:w="2160"/>
          </w:tcPr>
          <w:p>
            <w:pPr>
              <w:jc w:val="center"/>
            </w:pPr>
            <w:r>
              <w:rPr>
                <w:rFonts w:ascii="Times New Roman" w:hAnsi="宋体" w:eastAsia="宋体"/>
                <w:b w:val="0"/>
                <w:i w:val="0"/>
                <w:color w:val="000000"/>
                <w:sz w:val="24"/>
              </w:rPr>
              <w:t>SVM</w:t>
            </w:r>
          </w:p>
        </w:tc>
        <w:tc>
          <w:tcPr>
            <w:tcW w:type="dxa" w:w="2160"/>
          </w:tcPr>
          <w:p>
            <w:pPr>
              <w:jc w:val="center"/>
            </w:pPr>
            <w:r>
              <w:rPr>
                <w:rFonts w:ascii="Times New Roman" w:hAnsi="宋体" w:eastAsia="宋体"/>
                <w:b w:val="0"/>
                <w:i w:val="0"/>
                <w:color w:val="000000"/>
                <w:sz w:val="24"/>
              </w:rPr>
              <w:t>0.933</w:t>
            </w:r>
          </w:p>
        </w:tc>
        <w:tc>
          <w:tcPr>
            <w:tcW w:type="dxa" w:w="2160"/>
          </w:tcPr>
          <w:p>
            <w:pPr>
              <w:jc w:val="center"/>
            </w:pPr>
            <w:r>
              <w:rPr>
                <w:rFonts w:ascii="Times New Roman" w:hAnsi="宋体" w:eastAsia="宋体"/>
                <w:b w:val="0"/>
                <w:i w:val="0"/>
                <w:color w:val="000000"/>
                <w:sz w:val="24"/>
              </w:rPr>
              <w:t>0.956</w:t>
            </w:r>
          </w:p>
        </w:tc>
        <w:tc>
          <w:tcPr>
            <w:tcW w:type="dxa" w:w="2160"/>
          </w:tcPr>
          <w:p>
            <w:pPr>
              <w:jc w:val="center"/>
            </w:pPr>
            <w:r>
              <w:rPr>
                <w:rFonts w:ascii="Times New Roman" w:hAnsi="宋体" w:eastAsia="宋体"/>
                <w:b w:val="0"/>
                <w:i w:val="0"/>
                <w:color w:val="000000"/>
                <w:sz w:val="24"/>
              </w:rPr>
              <w:t>-0.022</w:t>
            </w:r>
          </w:p>
        </w:tc>
      </w:tr>
      <w:tr>
        <w:tc>
          <w:tcPr>
            <w:tcW w:type="dxa" w:w="2160"/>
          </w:tcPr>
          <w:p>
            <w:pPr>
              <w:jc w:val="center"/>
            </w:pPr>
            <w:r>
              <w:rPr>
                <w:rFonts w:ascii="Times New Roman" w:hAnsi="宋体" w:eastAsia="宋体"/>
                <w:b w:val="0"/>
                <w:i w:val="0"/>
                <w:color w:val="000000"/>
                <w:sz w:val="24"/>
              </w:rPr>
              <w:t>随机森林</w:t>
            </w:r>
          </w:p>
        </w:tc>
        <w:tc>
          <w:tcPr>
            <w:tcW w:type="dxa" w:w="2160"/>
          </w:tcPr>
          <w:p>
            <w:pPr>
              <w:jc w:val="center"/>
            </w:pPr>
            <w:r>
              <w:rPr>
                <w:rFonts w:ascii="Times New Roman" w:hAnsi="宋体" w:eastAsia="宋体"/>
                <w:b w:val="0"/>
                <w:i w:val="0"/>
                <w:color w:val="000000"/>
                <w:sz w:val="24"/>
              </w:rPr>
              <w:t>0.889</w:t>
            </w:r>
          </w:p>
        </w:tc>
        <w:tc>
          <w:tcPr>
            <w:tcW w:type="dxa" w:w="2160"/>
          </w:tcPr>
          <w:p>
            <w:pPr>
              <w:jc w:val="center"/>
            </w:pPr>
            <w:r>
              <w:rPr>
                <w:rFonts w:ascii="Times New Roman" w:hAnsi="宋体" w:eastAsia="宋体"/>
                <w:b w:val="0"/>
                <w:i w:val="0"/>
                <w:color w:val="000000"/>
                <w:sz w:val="24"/>
              </w:rPr>
              <w:t>0.889</w:t>
            </w:r>
          </w:p>
        </w:tc>
        <w:tc>
          <w:tcPr>
            <w:tcW w:type="dxa" w:w="2160"/>
          </w:tcPr>
          <w:p>
            <w:pPr>
              <w:jc w:val="center"/>
            </w:pPr>
            <w:r>
              <w:rPr>
                <w:rFonts w:ascii="Times New Roman" w:hAnsi="宋体" w:eastAsia="宋体"/>
                <w:b w:val="0"/>
                <w:i w:val="0"/>
                <w:color w:val="000000"/>
                <w:sz w:val="24"/>
              </w:rPr>
              <w:t>0.000</w:t>
            </w:r>
          </w:p>
        </w:tc>
      </w:tr>
      <w:tr>
        <w:tc>
          <w:tcPr>
            <w:tcW w:type="dxa" w:w="2160"/>
          </w:tcPr>
          <w:p>
            <w:pPr>
              <w:jc w:val="center"/>
            </w:pPr>
            <w:r>
              <w:rPr>
                <w:rFonts w:ascii="Times New Roman" w:hAnsi="宋体" w:eastAsia="宋体"/>
                <w:b w:val="0"/>
                <w:i w:val="0"/>
                <w:color w:val="000000"/>
                <w:sz w:val="24"/>
              </w:rPr>
              <w:t>KNN</w:t>
            </w:r>
          </w:p>
        </w:tc>
        <w:tc>
          <w:tcPr>
            <w:tcW w:type="dxa" w:w="2160"/>
          </w:tcPr>
          <w:p>
            <w:pPr>
              <w:jc w:val="center"/>
            </w:pPr>
            <w:r>
              <w:rPr>
                <w:rFonts w:ascii="Times New Roman" w:hAnsi="宋体" w:eastAsia="宋体"/>
                <w:b w:val="0"/>
                <w:i w:val="0"/>
                <w:color w:val="000000"/>
                <w:sz w:val="24"/>
              </w:rPr>
              <w:t>0.911</w:t>
            </w:r>
          </w:p>
        </w:tc>
        <w:tc>
          <w:tcPr>
            <w:tcW w:type="dxa" w:w="2160"/>
          </w:tcPr>
          <w:p>
            <w:pPr>
              <w:jc w:val="center"/>
            </w:pPr>
            <w:r>
              <w:rPr>
                <w:rFonts w:ascii="Times New Roman" w:hAnsi="宋体" w:eastAsia="宋体"/>
                <w:b w:val="0"/>
                <w:i w:val="0"/>
                <w:color w:val="000000"/>
                <w:sz w:val="24"/>
              </w:rPr>
              <w:t>0.978</w:t>
            </w:r>
          </w:p>
        </w:tc>
        <w:tc>
          <w:tcPr>
            <w:tcW w:type="dxa" w:w="2160"/>
          </w:tcPr>
          <w:p>
            <w:pPr>
              <w:jc w:val="center"/>
            </w:pPr>
            <w:r>
              <w:rPr>
                <w:rFonts w:ascii="Times New Roman" w:hAnsi="宋体" w:eastAsia="宋体"/>
                <w:b w:val="0"/>
                <w:i w:val="0"/>
                <w:color w:val="000000"/>
                <w:sz w:val="24"/>
              </w:rPr>
              <w:t>-0.067</w:t>
            </w:r>
          </w:p>
        </w:tc>
      </w:tr>
      <w:tr>
        <w:tc>
          <w:tcPr>
            <w:tcW w:type="dxa" w:w="2160"/>
          </w:tcPr>
          <w:p>
            <w:pPr>
              <w:jc w:val="center"/>
            </w:pPr>
            <w:r>
              <w:rPr>
                <w:rFonts w:ascii="Times New Roman" w:hAnsi="宋体" w:eastAsia="宋体"/>
                <w:b w:val="0"/>
                <w:i w:val="0"/>
                <w:color w:val="000000"/>
                <w:sz w:val="24"/>
              </w:rPr>
              <w:t>MLP (32,16,8)</w:t>
            </w:r>
          </w:p>
        </w:tc>
        <w:tc>
          <w:tcPr>
            <w:tcW w:type="dxa" w:w="2160"/>
          </w:tcPr>
          <w:p>
            <w:pPr>
              <w:jc w:val="center"/>
            </w:pPr>
            <w:r>
              <w:rPr>
                <w:rFonts w:ascii="Times New Roman" w:hAnsi="宋体" w:eastAsia="宋体"/>
                <w:b w:val="0"/>
                <w:i w:val="0"/>
                <w:color w:val="000000"/>
                <w:sz w:val="24"/>
              </w:rPr>
              <w:t>0.911</w:t>
            </w:r>
          </w:p>
        </w:tc>
        <w:tc>
          <w:tcPr>
            <w:tcW w:type="dxa" w:w="2160"/>
          </w:tcPr>
          <w:p>
            <w:pPr>
              <w:jc w:val="center"/>
            </w:pPr>
            <w:r>
              <w:rPr>
                <w:rFonts w:ascii="Times New Roman" w:hAnsi="宋体" w:eastAsia="宋体"/>
                <w:b w:val="0"/>
                <w:i w:val="0"/>
                <w:color w:val="000000"/>
                <w:sz w:val="24"/>
              </w:rPr>
              <w:t>0.978</w:t>
            </w:r>
          </w:p>
        </w:tc>
        <w:tc>
          <w:tcPr>
            <w:tcW w:type="dxa" w:w="2160"/>
          </w:tcPr>
          <w:p>
            <w:pPr>
              <w:jc w:val="center"/>
            </w:pPr>
            <w:r>
              <w:rPr>
                <w:rFonts w:ascii="Times New Roman" w:hAnsi="宋体" w:eastAsia="宋体"/>
                <w:b w:val="0"/>
                <w:i w:val="0"/>
                <w:color w:val="000000"/>
                <w:sz w:val="24"/>
              </w:rPr>
              <w:t>-0.067</w:t>
            </w:r>
          </w:p>
        </w:tc>
      </w:tr>
      <w:tr>
        <w:tc>
          <w:tcPr>
            <w:tcW w:type="dxa" w:w="2160"/>
          </w:tcPr>
          <w:p>
            <w:pPr>
              <w:jc w:val="center"/>
            </w:pPr>
            <w:r>
              <w:rPr>
                <w:rFonts w:ascii="Times New Roman" w:hAnsi="宋体" w:eastAsia="宋体"/>
                <w:b w:val="0"/>
                <w:i w:val="0"/>
                <w:color w:val="000000"/>
                <w:sz w:val="24"/>
              </w:rPr>
              <w:t>梯度提升树</w:t>
            </w:r>
          </w:p>
        </w:tc>
        <w:tc>
          <w:tcPr>
            <w:tcW w:type="dxa" w:w="2160"/>
          </w:tcPr>
          <w:p>
            <w:pPr>
              <w:jc w:val="center"/>
            </w:pPr>
            <w:r>
              <w:rPr>
                <w:rFonts w:ascii="Times New Roman" w:hAnsi="宋体" w:eastAsia="宋体"/>
                <w:b w:val="0"/>
                <w:i w:val="0"/>
                <w:color w:val="000000"/>
                <w:sz w:val="24"/>
              </w:rPr>
              <w:t>0.911</w:t>
            </w:r>
          </w:p>
        </w:tc>
        <w:tc>
          <w:tcPr>
            <w:tcW w:type="dxa" w:w="2160"/>
          </w:tcPr>
          <w:p>
            <w:pPr>
              <w:jc w:val="center"/>
            </w:pPr>
            <w:r>
              <w:rPr>
                <w:rFonts w:ascii="Times New Roman" w:hAnsi="宋体" w:eastAsia="宋体"/>
                <w:b w:val="0"/>
                <w:i w:val="0"/>
                <w:color w:val="000000"/>
                <w:sz w:val="24"/>
              </w:rPr>
              <w:t>0.933</w:t>
            </w:r>
          </w:p>
        </w:tc>
        <w:tc>
          <w:tcPr>
            <w:tcW w:type="dxa" w:w="2160"/>
          </w:tcPr>
          <w:p>
            <w:pPr>
              <w:jc w:val="center"/>
            </w:pPr>
            <w:r>
              <w:rPr>
                <w:rFonts w:ascii="Times New Roman" w:hAnsi="宋体" w:eastAsia="宋体"/>
                <w:b w:val="0"/>
                <w:i w:val="0"/>
                <w:color w:val="000000"/>
                <w:sz w:val="24"/>
              </w:rPr>
              <w:t>-0.022</w:t>
            </w:r>
          </w:p>
        </w:tc>
      </w:tr>
      <w:tr>
        <w:tc>
          <w:tcPr>
            <w:tcW w:type="dxa" w:w="2160"/>
          </w:tcPr>
          <w:p>
            <w:pPr>
              <w:jc w:val="center"/>
            </w:pPr>
            <w:r>
              <w:rPr>
                <w:rFonts w:ascii="Times New Roman" w:hAnsi="宋体" w:eastAsia="宋体"/>
                <w:b w:val="0"/>
                <w:i w:val="0"/>
                <w:color w:val="000000"/>
                <w:sz w:val="24"/>
              </w:rPr>
              <w:t>决策树</w:t>
            </w:r>
          </w:p>
        </w:tc>
        <w:tc>
          <w:tcPr>
            <w:tcW w:type="dxa" w:w="2160"/>
          </w:tcPr>
          <w:p>
            <w:pPr>
              <w:jc w:val="center"/>
            </w:pPr>
            <w:r>
              <w:rPr>
                <w:rFonts w:ascii="Times New Roman" w:hAnsi="宋体" w:eastAsia="宋体"/>
                <w:b w:val="0"/>
                <w:i w:val="0"/>
                <w:color w:val="000000"/>
                <w:sz w:val="24"/>
              </w:rPr>
              <w:t>0.978</w:t>
            </w:r>
          </w:p>
        </w:tc>
        <w:tc>
          <w:tcPr>
            <w:tcW w:type="dxa" w:w="2160"/>
          </w:tcPr>
          <w:p>
            <w:pPr>
              <w:jc w:val="center"/>
            </w:pPr>
            <w:r>
              <w:rPr>
                <w:rFonts w:ascii="Times New Roman" w:hAnsi="宋体" w:eastAsia="宋体"/>
                <w:b w:val="0"/>
                <w:i w:val="0"/>
                <w:color w:val="000000"/>
                <w:sz w:val="24"/>
              </w:rPr>
              <w:t>0.978</w:t>
            </w:r>
          </w:p>
        </w:tc>
        <w:tc>
          <w:tcPr>
            <w:tcW w:type="dxa" w:w="2160"/>
          </w:tcPr>
          <w:p>
            <w:pPr>
              <w:jc w:val="center"/>
            </w:pPr>
            <w:r>
              <w:rPr>
                <w:rFonts w:ascii="Times New Roman" w:hAnsi="宋体" w:eastAsia="宋体"/>
                <w:b w:val="0"/>
                <w:i w:val="0"/>
                <w:color w:val="000000"/>
                <w:sz w:val="24"/>
              </w:rPr>
              <w:t>0.000</w:t>
            </w:r>
          </w:p>
        </w:tc>
      </w:tr>
      <w:tr>
        <w:tc>
          <w:tcPr>
            <w:tcW w:type="dxa" w:w="2160"/>
          </w:tcPr>
          <w:p>
            <w:pPr>
              <w:jc w:val="center"/>
            </w:pPr>
            <w:r>
              <w:rPr>
                <w:rFonts w:ascii="Times New Roman" w:hAnsi="宋体" w:eastAsia="宋体"/>
                <w:b w:val="0"/>
                <w:i w:val="0"/>
                <w:color w:val="000000"/>
                <w:sz w:val="24"/>
              </w:rPr>
              <w:t>朴素贝叶斯</w:t>
            </w:r>
          </w:p>
        </w:tc>
        <w:tc>
          <w:tcPr>
            <w:tcW w:type="dxa" w:w="2160"/>
          </w:tcPr>
          <w:p>
            <w:pPr>
              <w:jc w:val="center"/>
            </w:pPr>
            <w:r>
              <w:rPr>
                <w:rFonts w:ascii="Times New Roman" w:hAnsi="宋体" w:eastAsia="宋体"/>
                <w:b w:val="0"/>
                <w:i w:val="0"/>
                <w:color w:val="000000"/>
                <w:sz w:val="24"/>
              </w:rPr>
              <w:t>0.911</w:t>
            </w:r>
          </w:p>
        </w:tc>
        <w:tc>
          <w:tcPr>
            <w:tcW w:type="dxa" w:w="2160"/>
          </w:tcPr>
          <w:p>
            <w:pPr>
              <w:jc w:val="center"/>
            </w:pPr>
            <w:r>
              <w:rPr>
                <w:rFonts w:ascii="Times New Roman" w:hAnsi="宋体" w:eastAsia="宋体"/>
                <w:b w:val="0"/>
                <w:i w:val="0"/>
                <w:color w:val="000000"/>
                <w:sz w:val="24"/>
              </w:rPr>
              <w:t>0.911</w:t>
            </w:r>
          </w:p>
        </w:tc>
        <w:tc>
          <w:tcPr>
            <w:tcW w:type="dxa" w:w="2160"/>
          </w:tcPr>
          <w:p>
            <w:pPr>
              <w:jc w:val="center"/>
            </w:pPr>
            <w:r>
              <w:rPr>
                <w:rFonts w:ascii="Times New Roman" w:hAnsi="宋体" w:eastAsia="宋体"/>
                <w:b w:val="0"/>
                <w:i w:val="0"/>
                <w:color w:val="000000"/>
                <w:sz w:val="24"/>
              </w:rPr>
              <w:t>0.000</w:t>
            </w:r>
          </w:p>
        </w:tc>
      </w:tr>
    </w:tbl>
    <w:p/>
    <w:p>
      <w:pPr>
        <w:spacing w:line="360" w:lineRule="auto" w:after="120" w:before="0"/>
        <w:ind w:firstLine="482"/>
      </w:pPr>
      <w:r>
        <w:rPr>
          <w:rFonts w:ascii="Times New Roman" w:hAnsi="宋体" w:eastAsia="宋体"/>
          <w:b w:val="0"/>
          <w:i w:val="0"/>
          <w:color w:val="000000"/>
          <w:sz w:val="24"/>
        </w:rPr>
        <w:t>距离模型（KNN、MLP、SVM、LR）标准化后反而下降，其中KNN和MLP降幅最大（-0.067）。花萼特征数值偏大（花萼长4.3–7.9 cm, 花萼宽2.0–4.4 cm），未标准化时在欧氏距离中占主导，加之花萼长与花瓣特征存在相关性，间接携带了判别信息。标准化削除了这一量纲放大效应，使得本次划分下准确率下降。这不意味着标准化“有害”——10次重复中标准化模型在多数划分下总体更优——而是说明单次划分下预处理决策同样可被随机性颠倒。树模型不受影响，朴素贝叶斯的高斯估计受标准化干扰不大。</w:t>
      </w:r>
    </w:p>
    <w:p>
      <w:pPr>
        <w:spacing w:line="360" w:lineRule="auto" w:after="120" w:before="0"/>
        <w:ind w:firstLine="482"/>
      </w:pPr>
      <w:r>
        <w:rPr>
          <w:rFonts w:ascii="Times New Roman" w:hAnsi="宋体" w:eastAsia="宋体"/>
          <w:b w:val="0"/>
          <w:i w:val="0"/>
          <w:color w:val="000000"/>
          <w:sz w:val="24"/>
        </w:rPr>
        <w:t>[图：预处理消融]</w:t>
      </w:r>
    </w:p>
    <w:p>
      <w:pPr>
        <w:spacing w:line="360" w:lineRule="auto" w:after="120" w:before="0"/>
        <w:ind w:firstLine="482"/>
      </w:pPr>
      <w:r>
        <w:rPr>
          <w:rFonts w:ascii="Times New Roman" w:hAnsi="宋体" w:eastAsia="宋体"/>
          <w:b w:val="0"/>
          <w:i w:val="0"/>
          <w:color w:val="000000"/>
          <w:sz w:val="24"/>
        </w:rPr>
        <w:t>图10预处理消融对比（标准化vs未标准化）</w:t>
      </w:r>
    </w:p>
    <w:p>
      <w:pPr>
        <w:spacing w:before="240" w:after="120" w:lineRule="auto" w:line="300"/>
        <w:jc w:val="left"/>
      </w:pPr>
      <w:r>
        <w:rPr>
          <w:rFonts w:ascii="Times New Roman" w:hAnsi="宋体" w:eastAsia="宋体"/>
          <w:b/>
          <w:i w:val="0"/>
          <w:color w:val="000000"/>
          <w:sz w:val="32"/>
        </w:rPr>
        <w:t>5. 讨论</w:t>
      </w:r>
    </w:p>
    <w:p>
      <w:pPr>
        <w:spacing w:line="360" w:lineRule="auto" w:after="120" w:before="0"/>
        <w:ind w:firstLine="482"/>
      </w:pPr>
      <w:r>
        <w:rPr>
          <w:rFonts w:ascii="Times New Roman" w:hAnsi="宋体" w:eastAsia="宋体"/>
          <w:b w:val="0"/>
          <w:i w:val="0"/>
          <w:color w:val="000000"/>
          <w:sz w:val="24"/>
        </w:rPr>
        <w:t>各模型准确率极差仅2.2个百分点（93.6%–95.8%），所有模型的置信区间高度重叠，统计上无法严格排序。这表明Iris的分类任务对方法选择不敏感——任何合理配置的模型都能达到94%+。真正拉开差距的不是“选什么模型”，而是“怎么评估”。</w:t>
      </w:r>
    </w:p>
    <w:p>
      <w:pPr>
        <w:spacing w:line="360" w:lineRule="auto" w:after="120" w:before="0"/>
        <w:ind w:firstLine="482"/>
      </w:pPr>
      <w:r>
        <w:rPr>
          <w:rFonts w:ascii="Times New Roman" w:hAnsi="宋体" w:eastAsia="宋体"/>
          <w:b w:val="0"/>
          <w:i w:val="0"/>
          <w:color w:val="000000"/>
          <w:sz w:val="24"/>
        </w:rPr>
        <w:t>GridSearch尽管选出的参数极不稳定（仅2/10相同），整体平均准确率却排第一（95.8%）。值得关注的是参数稳定性和最终性能之间的脱节：CV最优参数不一定推广到测试集最优，但参数搜索过程本身对多个架构和超参数的探索似乎提高了整体性能分布的上限。</w:t>
      </w:r>
    </w:p>
    <w:p>
      <w:pPr>
        <w:spacing w:line="360" w:lineRule="auto" w:after="120" w:before="0"/>
        <w:ind w:firstLine="482"/>
      </w:pPr>
      <w:r>
        <w:rPr>
          <w:rFonts w:ascii="Times New Roman" w:hAnsi="宋体" w:eastAsia="宋体"/>
          <w:b w:val="0"/>
          <w:i w:val="0"/>
          <w:color w:val="000000"/>
          <w:sz w:val="24"/>
        </w:rPr>
        <w:t>集成方法的失效（RF &lt; DT, GBDT垫底）在小数据集上有明确解释。Iris仅4个特征，随机子空间策略丢失关键特征的概率很高；Boosting在105个训练样本上对残差的逐轮拟合容易放大噪声。单棵树的方差虽大，但如果没有足够的特征多元化，集成带来的收益接近于零。</w:t>
      </w:r>
    </w:p>
    <w:p>
      <w:pPr>
        <w:spacing w:line="360" w:lineRule="auto" w:after="120" w:before="0"/>
        <w:ind w:firstLine="482"/>
      </w:pPr>
      <w:r>
        <w:rPr>
          <w:rFonts w:ascii="Times New Roman" w:hAnsi="宋体" w:eastAsia="宋体"/>
          <w:b w:val="0"/>
          <w:i w:val="0"/>
          <w:color w:val="000000"/>
          <w:sz w:val="24"/>
        </w:rPr>
        <w:t>预处理消融中标准化反而降低准确率的现象，提醒了一个重要事实：在小数据集上，任何单次评估都被划分随机性支配。本次划分碰巧有利于未标准化模型，但10次重复的整体均值仍支持标准化的必要性——距离模型的总体均值（有标准化）高于单次消融所见。</w:t>
      </w:r>
    </w:p>
    <w:p>
      <w:pPr>
        <w:spacing w:before="240" w:after="120" w:lineRule="auto" w:line="300"/>
        <w:jc w:val="left"/>
      </w:pPr>
      <w:r>
        <w:rPr>
          <w:rFonts w:ascii="Times New Roman" w:hAnsi="宋体" w:eastAsia="宋体"/>
          <w:b/>
          <w:i w:val="0"/>
          <w:color w:val="000000"/>
          <w:sz w:val="32"/>
        </w:rPr>
        <w:t>6. 结论</w:t>
      </w:r>
    </w:p>
    <w:p>
      <w:pPr>
        <w:spacing w:line="360" w:lineRule="auto" w:after="120" w:before="0"/>
        <w:ind w:firstLine="482"/>
      </w:pPr>
      <w:r>
        <w:rPr>
          <w:rFonts w:ascii="Times New Roman" w:hAnsi="宋体" w:eastAsia="宋体"/>
          <w:b w:val="0"/>
          <w:i w:val="0"/>
          <w:color w:val="000000"/>
          <w:sz w:val="24"/>
        </w:rPr>
        <w:t>本实验的核心发现：</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i w:val="0"/>
          <w:color w:val="000000"/>
          <w:sz w:val="24"/>
        </w:rPr>
        <w:t>排名不可靠，趋势可信</w:t>
      </w:r>
      <w:r>
        <w:rPr>
          <w:rFonts w:ascii="Times New Roman" w:hAnsi="宋体" w:eastAsia="宋体"/>
          <w:b w:val="0"/>
          <w:i w:val="0"/>
          <w:color w:val="000000"/>
          <w:sz w:val="24"/>
        </w:rPr>
        <w:t>：12个模型准确率极差仅2.2 pp，且标准差重叠，无法严格排序。但定性趋势一致：浅层MLP（含GridSearch）和SVM处于第一梯队，深层MLP和GBDT垫底，线性模型和朴素贝叶斯居中。</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i w:val="0"/>
          <w:color w:val="000000"/>
          <w:sz w:val="24"/>
        </w:rPr>
        <w:t>GridSearch有效但不稳定</w:t>
      </w:r>
      <w:r>
        <w:rPr>
          <w:rFonts w:ascii="Times New Roman" w:hAnsi="宋体" w:eastAsia="宋体"/>
          <w:b w:val="0"/>
          <w:i w:val="0"/>
          <w:color w:val="000000"/>
          <w:sz w:val="24"/>
        </w:rPr>
        <w:t>：尽管选出参数各次不同，GridSearch平均准确率最高（95.8%）。不应将CV选出的单次参数视为“最优”，但参数搜索过程整体上有益。</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i w:val="0"/>
          <w:color w:val="000000"/>
          <w:sz w:val="24"/>
        </w:rPr>
        <w:t>集成在小特征空间下无力</w:t>
      </w:r>
      <w:r>
        <w:rPr>
          <w:rFonts w:ascii="Times New Roman" w:hAnsi="宋体" w:eastAsia="宋体"/>
          <w:b w:val="0"/>
          <w:i w:val="0"/>
          <w:color w:val="000000"/>
          <w:sz w:val="24"/>
        </w:rPr>
        <w:t>：随机森林和梯度提升树在Iris上未能超越单棵树，甚至更差。特征匮乏时，集成的多样性收益被次优分裂抵消。</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i w:val="0"/>
          <w:color w:val="000000"/>
          <w:sz w:val="24"/>
        </w:rPr>
        <w:t>消融验证了花瓣特征的绝对主导地位</w:t>
      </w:r>
      <w:r>
        <w:rPr>
          <w:rFonts w:ascii="Times New Roman" w:hAnsi="宋体" w:eastAsia="宋体"/>
          <w:b w:val="0"/>
          <w:i w:val="0"/>
          <w:color w:val="000000"/>
          <w:sz w:val="24"/>
        </w:rPr>
        <w:t>，同时发现花萼特征可能成为干扰项。预处理消融表明标准化效果受数据划分影响——单次结论不足以评判预处理策略。</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i w:val="0"/>
          <w:color w:val="000000"/>
          <w:sz w:val="24"/>
        </w:rPr>
        <w:t>方法论启示</w:t>
      </w:r>
      <w:r>
        <w:rPr>
          <w:rFonts w:ascii="Times New Roman" w:hAnsi="宋体" w:eastAsia="宋体"/>
          <w:b w:val="0"/>
          <w:i w:val="0"/>
          <w:color w:val="000000"/>
          <w:sz w:val="24"/>
        </w:rPr>
        <w:t>：对Iris这种小型数据集，单次70/30划分的结论不具备可靠性。多次重复+拼接评估+消融分析是获得稳健结论的三个必要环节。</w:t>
      </w:r>
    </w:p>
    <w:p>
      <w:pPr>
        <w:spacing w:before="240" w:after="120" w:lineRule="auto" w:line="300"/>
        <w:jc w:val="left"/>
      </w:pPr>
      <w:r>
        <w:rPr>
          <w:rFonts w:ascii="Times New Roman" w:hAnsi="宋体" w:eastAsia="宋体"/>
          <w:b/>
          <w:i w:val="0"/>
          <w:color w:val="000000"/>
          <w:sz w:val="32"/>
        </w:rPr>
        <w:t>附录：图表索引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宋体" w:eastAsia="宋体"/>
                <w:b/>
                <w:i w:val="0"/>
                <w:color w:val="000000"/>
                <w:sz w:val="24"/>
              </w:rPr>
              <w:t>图号</w:t>
            </w:r>
          </w:p>
        </w:tc>
        <w:tc>
          <w:tcPr>
            <w:tcW w:type="dxa" w:w="2880"/>
          </w:tcPr>
          <w:p>
            <w:pPr>
              <w:jc w:val="center"/>
            </w:pPr>
            <w:r>
              <w:rPr>
                <w:rFonts w:ascii="Times New Roman" w:hAnsi="宋体" w:eastAsia="宋体"/>
                <w:b/>
                <w:i w:val="0"/>
                <w:color w:val="000000"/>
                <w:sz w:val="24"/>
              </w:rPr>
              <w:t>文件名</w:t>
            </w:r>
          </w:p>
        </w:tc>
        <w:tc>
          <w:tcPr>
            <w:tcW w:type="dxa" w:w="2880"/>
          </w:tcPr>
          <w:p>
            <w:pPr>
              <w:jc w:val="center"/>
            </w:pPr>
            <w:r>
              <w:rPr>
                <w:rFonts w:ascii="Times New Roman" w:hAnsi="宋体" w:eastAsia="宋体"/>
                <w:b/>
                <w:i w:val="0"/>
                <w:color w:val="000000"/>
                <w:sz w:val="24"/>
              </w:rPr>
              <w:t>内容描述</w:t>
            </w:r>
          </w:p>
        </w:tc>
      </w:tr>
      <w:tr>
        <w:tc>
          <w:tcPr>
            <w:tcW w:type="dxa" w:w="2880"/>
          </w:tcPr>
          <w:p>
            <w:pPr>
              <w:jc w:val="center"/>
            </w:pPr>
            <w:r>
              <w:rPr>
                <w:rFonts w:ascii="Times New Roman" w:hAnsi="宋体" w:eastAsia="宋体"/>
                <w:b w:val="0"/>
                <w:i w:val="0"/>
                <w:color w:val="000000"/>
                <w:sz w:val="24"/>
              </w:rPr>
              <w:t>图1</w:t>
            </w:r>
          </w:p>
        </w:tc>
        <w:tc>
          <w:tcPr>
            <w:tcW w:type="dxa" w:w="2880"/>
          </w:tcPr>
          <w:p>
            <w:pPr>
              <w:jc w:val="center"/>
            </w:pPr>
            <w:r>
              <w:rPr>
                <w:rFonts w:ascii="Times New Roman" w:hAnsi="宋体" w:eastAsia="宋体"/>
                <w:b w:val="0"/>
                <w:i w:val="0"/>
                <w:color w:val="000000"/>
                <w:sz w:val="24"/>
              </w:rPr>
              <w:t>output/12_summary.svg</w:t>
            </w:r>
          </w:p>
        </w:tc>
        <w:tc>
          <w:tcPr>
            <w:tcW w:type="dxa" w:w="2880"/>
          </w:tcPr>
          <w:p>
            <w:pPr>
              <w:jc w:val="center"/>
            </w:pPr>
            <w:r>
              <w:rPr>
                <w:rFonts w:ascii="Times New Roman" w:hAnsi="宋体" w:eastAsia="宋体"/>
                <w:b w:val="0"/>
                <w:i w:val="0"/>
                <w:color w:val="000000"/>
                <w:sz w:val="24"/>
              </w:rPr>
              <w:t>综合对比总结（准确率排名/F1/ROC）</w:t>
            </w:r>
          </w:p>
        </w:tc>
      </w:tr>
      <w:tr>
        <w:tc>
          <w:tcPr>
            <w:tcW w:type="dxa" w:w="2880"/>
          </w:tcPr>
          <w:p>
            <w:pPr>
              <w:jc w:val="center"/>
            </w:pPr>
            <w:r>
              <w:rPr>
                <w:rFonts w:ascii="Times New Roman" w:hAnsi="宋体" w:eastAsia="宋体"/>
                <w:b w:val="0"/>
                <w:i w:val="0"/>
                <w:color w:val="000000"/>
                <w:sz w:val="24"/>
              </w:rPr>
              <w:t>图2</w:t>
            </w:r>
          </w:p>
        </w:tc>
        <w:tc>
          <w:tcPr>
            <w:tcW w:type="dxa" w:w="2880"/>
          </w:tcPr>
          <w:p>
            <w:pPr>
              <w:jc w:val="center"/>
            </w:pPr>
            <w:r>
              <w:rPr>
                <w:rFonts w:ascii="Times New Roman" w:hAnsi="宋体" w:eastAsia="宋体"/>
                <w:b w:val="0"/>
                <w:i w:val="0"/>
                <w:color w:val="000000"/>
                <w:sz w:val="24"/>
              </w:rPr>
              <w:t>output/13_confusion_matrices.svg</w:t>
            </w:r>
          </w:p>
        </w:tc>
        <w:tc>
          <w:tcPr>
            <w:tcW w:type="dxa" w:w="2880"/>
          </w:tcPr>
          <w:p>
            <w:pPr>
              <w:jc w:val="center"/>
            </w:pPr>
            <w:r>
              <w:rPr>
                <w:rFonts w:ascii="Times New Roman" w:hAnsi="宋体" w:eastAsia="宋体"/>
                <w:b w:val="0"/>
                <w:i w:val="0"/>
                <w:color w:val="000000"/>
                <w:sz w:val="24"/>
              </w:rPr>
              <w:t>8方法混淆矩阵汇总（10次拼接）</w:t>
            </w:r>
          </w:p>
        </w:tc>
      </w:tr>
      <w:tr>
        <w:tc>
          <w:tcPr>
            <w:tcW w:type="dxa" w:w="2880"/>
          </w:tcPr>
          <w:p>
            <w:pPr>
              <w:jc w:val="center"/>
            </w:pPr>
            <w:r>
              <w:rPr>
                <w:rFonts w:ascii="Times New Roman" w:hAnsi="宋体" w:eastAsia="宋体"/>
                <w:b w:val="0"/>
                <w:i w:val="0"/>
                <w:color w:val="000000"/>
                <w:sz w:val="24"/>
              </w:rPr>
              <w:t>图3</w:t>
            </w:r>
          </w:p>
        </w:tc>
        <w:tc>
          <w:tcPr>
            <w:tcW w:type="dxa" w:w="2880"/>
          </w:tcPr>
          <w:p>
            <w:pPr>
              <w:jc w:val="center"/>
            </w:pPr>
            <w:r>
              <w:rPr>
                <w:rFonts w:ascii="Times New Roman" w:hAnsi="宋体" w:eastAsia="宋体"/>
                <w:b w:val="0"/>
                <w:i w:val="0"/>
                <w:color w:val="000000"/>
                <w:sz w:val="24"/>
              </w:rPr>
              <w:t>output/14_cv_comparison.svg</w:t>
            </w:r>
          </w:p>
        </w:tc>
        <w:tc>
          <w:tcPr>
            <w:tcW w:type="dxa" w:w="2880"/>
          </w:tcPr>
          <w:p>
            <w:pPr>
              <w:jc w:val="center"/>
            </w:pPr>
            <w:r>
              <w:rPr>
                <w:rFonts w:ascii="Times New Roman" w:hAnsi="宋体" w:eastAsia="宋体"/>
                <w:b w:val="0"/>
                <w:i w:val="0"/>
                <w:color w:val="000000"/>
                <w:sz w:val="24"/>
              </w:rPr>
              <w:t>6模型交叉验证对比</w:t>
            </w:r>
          </w:p>
        </w:tc>
      </w:tr>
      <w:tr>
        <w:tc>
          <w:tcPr>
            <w:tcW w:type="dxa" w:w="2880"/>
          </w:tcPr>
          <w:p>
            <w:pPr>
              <w:jc w:val="center"/>
            </w:pPr>
            <w:r>
              <w:rPr>
                <w:rFonts w:ascii="Times New Roman" w:hAnsi="宋体" w:eastAsia="宋体"/>
                <w:b w:val="0"/>
                <w:i w:val="0"/>
                <w:color w:val="000000"/>
                <w:sz w:val="24"/>
              </w:rPr>
              <w:t>图4</w:t>
            </w:r>
          </w:p>
        </w:tc>
        <w:tc>
          <w:tcPr>
            <w:tcW w:type="dxa" w:w="2880"/>
          </w:tcPr>
          <w:p>
            <w:pPr>
              <w:jc w:val="center"/>
            </w:pPr>
            <w:r>
              <w:rPr>
                <w:rFonts w:ascii="Times New Roman" w:hAnsi="宋体" w:eastAsia="宋体"/>
                <w:b w:val="0"/>
                <w:i w:val="0"/>
                <w:color w:val="000000"/>
                <w:sz w:val="24"/>
              </w:rPr>
              <w:t>output/05_mlp_analysis.svg</w:t>
            </w:r>
          </w:p>
        </w:tc>
        <w:tc>
          <w:tcPr>
            <w:tcW w:type="dxa" w:w="2880"/>
          </w:tcPr>
          <w:p>
            <w:pPr>
              <w:jc w:val="center"/>
            </w:pPr>
            <w:r>
              <w:rPr>
                <w:rFonts w:ascii="Times New Roman" w:hAnsi="宋体" w:eastAsia="宋体"/>
                <w:b w:val="0"/>
                <w:i w:val="0"/>
                <w:color w:val="000000"/>
                <w:sz w:val="24"/>
              </w:rPr>
              <w:t>MLP分析（架构/GridSearch/alpha/激活）</w:t>
            </w:r>
          </w:p>
        </w:tc>
      </w:tr>
      <w:tr>
        <w:tc>
          <w:tcPr>
            <w:tcW w:type="dxa" w:w="2880"/>
          </w:tcPr>
          <w:p>
            <w:pPr>
              <w:jc w:val="center"/>
            </w:pPr>
            <w:r>
              <w:rPr>
                <w:rFonts w:ascii="Times New Roman" w:hAnsi="宋体" w:eastAsia="宋体"/>
                <w:b w:val="0"/>
                <w:i w:val="0"/>
                <w:color w:val="000000"/>
                <w:sz w:val="24"/>
              </w:rPr>
              <w:t>图5</w:t>
            </w:r>
          </w:p>
        </w:tc>
        <w:tc>
          <w:tcPr>
            <w:tcW w:type="dxa" w:w="2880"/>
          </w:tcPr>
          <w:p>
            <w:pPr>
              <w:jc w:val="center"/>
            </w:pPr>
            <w:r>
              <w:rPr>
                <w:rFonts w:ascii="Times New Roman" w:hAnsi="宋体" w:eastAsia="宋体"/>
                <w:b w:val="0"/>
                <w:i w:val="0"/>
                <w:color w:val="000000"/>
                <w:sz w:val="24"/>
              </w:rPr>
              <w:t>output/06_random_forest.svg</w:t>
            </w:r>
          </w:p>
        </w:tc>
        <w:tc>
          <w:tcPr>
            <w:tcW w:type="dxa" w:w="2880"/>
          </w:tcPr>
          <w:p>
            <w:pPr>
              <w:jc w:val="center"/>
            </w:pPr>
            <w:r>
              <w:rPr>
                <w:rFonts w:ascii="Times New Roman" w:hAnsi="宋体" w:eastAsia="宋体"/>
                <w:b w:val="0"/>
                <w:i w:val="0"/>
                <w:color w:val="000000"/>
                <w:sz w:val="24"/>
              </w:rPr>
              <w:t>随机森林分析（重要性/估计器数/CM/深度）</w:t>
            </w:r>
          </w:p>
        </w:tc>
      </w:tr>
      <w:tr>
        <w:tc>
          <w:tcPr>
            <w:tcW w:type="dxa" w:w="2880"/>
          </w:tcPr>
          <w:p>
            <w:pPr>
              <w:jc w:val="center"/>
            </w:pPr>
            <w:r>
              <w:rPr>
                <w:rFonts w:ascii="Times New Roman" w:hAnsi="宋体" w:eastAsia="宋体"/>
                <w:b w:val="0"/>
                <w:i w:val="0"/>
                <w:color w:val="000000"/>
                <w:sz w:val="24"/>
              </w:rPr>
              <w:t>图6</w:t>
            </w:r>
          </w:p>
        </w:tc>
        <w:tc>
          <w:tcPr>
            <w:tcW w:type="dxa" w:w="2880"/>
          </w:tcPr>
          <w:p>
            <w:pPr>
              <w:jc w:val="center"/>
            </w:pPr>
            <w:r>
              <w:rPr>
                <w:rFonts w:ascii="Times New Roman" w:hAnsi="宋体" w:eastAsia="宋体"/>
                <w:b w:val="0"/>
                <w:i w:val="0"/>
                <w:color w:val="000000"/>
                <w:sz w:val="24"/>
              </w:rPr>
              <w:t>output/03_svm_analysis.svg</w:t>
            </w:r>
          </w:p>
        </w:tc>
        <w:tc>
          <w:tcPr>
            <w:tcW w:type="dxa" w:w="2880"/>
          </w:tcPr>
          <w:p>
            <w:pPr>
              <w:jc w:val="center"/>
            </w:pPr>
            <w:r>
              <w:rPr>
                <w:rFonts w:ascii="Times New Roman" w:hAnsi="宋体" w:eastAsia="宋体"/>
                <w:b w:val="0"/>
                <w:i w:val="0"/>
                <w:color w:val="000000"/>
                <w:sz w:val="24"/>
              </w:rPr>
              <w:t>SVM分析（C值/gamma/CM/支持向量）</w:t>
            </w:r>
          </w:p>
        </w:tc>
      </w:tr>
      <w:tr>
        <w:tc>
          <w:tcPr>
            <w:tcW w:type="dxa" w:w="2880"/>
          </w:tcPr>
          <w:p>
            <w:pPr>
              <w:jc w:val="center"/>
            </w:pPr>
            <w:r>
              <w:rPr>
                <w:rFonts w:ascii="Times New Roman" w:hAnsi="宋体" w:eastAsia="宋体"/>
                <w:b w:val="0"/>
                <w:i w:val="0"/>
                <w:color w:val="000000"/>
                <w:sz w:val="24"/>
              </w:rPr>
              <w:t>图7</w:t>
            </w:r>
          </w:p>
        </w:tc>
        <w:tc>
          <w:tcPr>
            <w:tcW w:type="dxa" w:w="2880"/>
          </w:tcPr>
          <w:p>
            <w:pPr>
              <w:jc w:val="center"/>
            </w:pPr>
            <w:r>
              <w:rPr>
                <w:rFonts w:ascii="Times New Roman" w:hAnsi="宋体" w:eastAsia="宋体"/>
                <w:b w:val="0"/>
                <w:i w:val="0"/>
                <w:color w:val="000000"/>
                <w:sz w:val="24"/>
              </w:rPr>
              <w:t>output/ablation_01_feature.svg</w:t>
            </w:r>
          </w:p>
        </w:tc>
        <w:tc>
          <w:tcPr>
            <w:tcW w:type="dxa" w:w="2880"/>
          </w:tcPr>
          <w:p>
            <w:pPr>
              <w:jc w:val="center"/>
            </w:pPr>
            <w:r>
              <w:rPr>
                <w:rFonts w:ascii="Times New Roman" w:hAnsi="宋体" w:eastAsia="宋体"/>
                <w:b w:val="0"/>
                <w:i w:val="0"/>
                <w:color w:val="000000"/>
                <w:sz w:val="24"/>
              </w:rPr>
              <w:t>特征消融热力图</w:t>
            </w:r>
          </w:p>
        </w:tc>
      </w:tr>
      <w:tr>
        <w:tc>
          <w:tcPr>
            <w:tcW w:type="dxa" w:w="2880"/>
          </w:tcPr>
          <w:p>
            <w:pPr>
              <w:jc w:val="center"/>
            </w:pPr>
            <w:r>
              <w:rPr>
                <w:rFonts w:ascii="Times New Roman" w:hAnsi="宋体" w:eastAsia="宋体"/>
                <w:b w:val="0"/>
                <w:i w:val="0"/>
                <w:color w:val="000000"/>
                <w:sz w:val="24"/>
              </w:rPr>
              <w:t>图8</w:t>
            </w:r>
          </w:p>
        </w:tc>
        <w:tc>
          <w:tcPr>
            <w:tcW w:type="dxa" w:w="2880"/>
          </w:tcPr>
          <w:p>
            <w:pPr>
              <w:jc w:val="center"/>
            </w:pPr>
            <w:r>
              <w:rPr>
                <w:rFonts w:ascii="Times New Roman" w:hAnsi="宋体" w:eastAsia="宋体"/>
                <w:b w:val="0"/>
                <w:i w:val="0"/>
                <w:color w:val="000000"/>
                <w:sz w:val="24"/>
              </w:rPr>
              <w:t>output/ablation_02_data.svg</w:t>
            </w:r>
          </w:p>
        </w:tc>
        <w:tc>
          <w:tcPr>
            <w:tcW w:type="dxa" w:w="2880"/>
          </w:tcPr>
          <w:p>
            <w:pPr>
              <w:jc w:val="center"/>
            </w:pPr>
            <w:r>
              <w:rPr>
                <w:rFonts w:ascii="Times New Roman" w:hAnsi="宋体" w:eastAsia="宋体"/>
                <w:b w:val="0"/>
                <w:i w:val="0"/>
                <w:color w:val="000000"/>
                <w:sz w:val="24"/>
              </w:rPr>
              <w:t>数据量消融曲线</w:t>
            </w:r>
          </w:p>
        </w:tc>
      </w:tr>
      <w:tr>
        <w:tc>
          <w:tcPr>
            <w:tcW w:type="dxa" w:w="2880"/>
          </w:tcPr>
          <w:p>
            <w:pPr>
              <w:jc w:val="center"/>
            </w:pPr>
            <w:r>
              <w:rPr>
                <w:rFonts w:ascii="Times New Roman" w:hAnsi="宋体" w:eastAsia="宋体"/>
                <w:b w:val="0"/>
                <w:i w:val="0"/>
                <w:color w:val="000000"/>
                <w:sz w:val="24"/>
              </w:rPr>
              <w:t>图9</w:t>
            </w:r>
          </w:p>
        </w:tc>
        <w:tc>
          <w:tcPr>
            <w:tcW w:type="dxa" w:w="2880"/>
          </w:tcPr>
          <w:p>
            <w:pPr>
              <w:jc w:val="center"/>
            </w:pPr>
            <w:r>
              <w:rPr>
                <w:rFonts w:ascii="Times New Roman" w:hAnsi="宋体" w:eastAsia="宋体"/>
                <w:b w:val="0"/>
                <w:i w:val="0"/>
                <w:color w:val="000000"/>
                <w:sz w:val="24"/>
              </w:rPr>
              <w:t>output/ablation_03_mlp_architecture.svg</w:t>
            </w:r>
          </w:p>
        </w:tc>
        <w:tc>
          <w:tcPr>
            <w:tcW w:type="dxa" w:w="2880"/>
          </w:tcPr>
          <w:p>
            <w:pPr>
              <w:jc w:val="center"/>
            </w:pPr>
            <w:r>
              <w:rPr>
                <w:rFonts w:ascii="Times New Roman" w:hAnsi="宋体" w:eastAsia="宋体"/>
                <w:b w:val="0"/>
                <w:i w:val="0"/>
                <w:color w:val="000000"/>
                <w:sz w:val="24"/>
              </w:rPr>
              <w:t>MLP架构消融（宽/深/正则/激活）</w:t>
            </w:r>
          </w:p>
        </w:tc>
      </w:tr>
      <w:tr>
        <w:tc>
          <w:tcPr>
            <w:tcW w:type="dxa" w:w="2880"/>
          </w:tcPr>
          <w:p>
            <w:pPr>
              <w:jc w:val="center"/>
            </w:pPr>
            <w:r>
              <w:rPr>
                <w:rFonts w:ascii="Times New Roman" w:hAnsi="宋体" w:eastAsia="宋体"/>
                <w:b w:val="0"/>
                <w:i w:val="0"/>
                <w:color w:val="000000"/>
                <w:sz w:val="24"/>
              </w:rPr>
              <w:t>图10</w:t>
            </w:r>
          </w:p>
        </w:tc>
        <w:tc>
          <w:tcPr>
            <w:tcW w:type="dxa" w:w="2880"/>
          </w:tcPr>
          <w:p>
            <w:pPr>
              <w:jc w:val="center"/>
            </w:pPr>
            <w:r>
              <w:rPr>
                <w:rFonts w:ascii="Times New Roman" w:hAnsi="宋体" w:eastAsia="宋体"/>
                <w:b w:val="0"/>
                <w:i w:val="0"/>
                <w:color w:val="000000"/>
                <w:sz w:val="24"/>
              </w:rPr>
              <w:t>output/ablation_04_preprocessing.svg</w:t>
            </w:r>
          </w:p>
        </w:tc>
        <w:tc>
          <w:tcPr>
            <w:tcW w:type="dxa" w:w="2880"/>
          </w:tcPr>
          <w:p>
            <w:pPr>
              <w:jc w:val="center"/>
            </w:pPr>
            <w:r>
              <w:rPr>
                <w:rFonts w:ascii="Times New Roman" w:hAnsi="宋体" w:eastAsia="宋体"/>
                <w:b w:val="0"/>
                <w:i w:val="0"/>
                <w:color w:val="000000"/>
                <w:sz w:val="24"/>
              </w:rPr>
              <w:t>预处理消融（标准化vs未标准化）</w:t>
            </w:r>
          </w:p>
        </w:tc>
      </w:tr>
      <w:tr>
        <w:tc>
          <w:tcPr>
            <w:tcW w:type="dxa" w:w="2880"/>
          </w:tcPr>
          <w:p>
            <w:pPr>
              <w:jc w:val="center"/>
            </w:pPr>
            <w:r>
              <w:rPr>
                <w:rFonts w:ascii="Times New Roman" w:hAnsi="宋体" w:eastAsia="宋体"/>
                <w:b w:val="0"/>
                <w:i w:val="0"/>
                <w:color w:val="000000"/>
                <w:sz w:val="24"/>
              </w:rPr>
              <w:t>图11</w:t>
            </w:r>
          </w:p>
        </w:tc>
        <w:tc>
          <w:tcPr>
            <w:tcW w:type="dxa" w:w="2880"/>
          </w:tcPr>
          <w:p>
            <w:pPr>
              <w:jc w:val="center"/>
            </w:pPr>
            <w:r>
              <w:rPr>
                <w:rFonts w:ascii="Times New Roman" w:hAnsi="宋体" w:eastAsia="宋体"/>
                <w:b w:val="0"/>
                <w:i w:val="0"/>
                <w:color w:val="000000"/>
                <w:sz w:val="24"/>
              </w:rPr>
              <w:t>output/02_decision_boundaries.svg</w:t>
            </w:r>
          </w:p>
        </w:tc>
        <w:tc>
          <w:tcPr>
            <w:tcW w:type="dxa" w:w="2880"/>
          </w:tcPr>
          <w:p>
            <w:pPr>
              <w:jc w:val="center"/>
            </w:pPr>
            <w:r>
              <w:rPr>
                <w:rFonts w:ascii="Times New Roman" w:hAnsi="宋体" w:eastAsia="宋体"/>
                <w:b w:val="0"/>
                <w:i w:val="0"/>
                <w:color w:val="000000"/>
                <w:sz w:val="24"/>
              </w:rPr>
              <w:t>八模型决策边界对比</w:t>
            </w:r>
          </w:p>
        </w:tc>
      </w:tr>
      <w:tr>
        <w:tc>
          <w:tcPr>
            <w:tcW w:type="dxa" w:w="2880"/>
          </w:tcPr>
          <w:p>
            <w:pPr>
              <w:jc w:val="center"/>
            </w:pPr>
            <w:r>
              <w:rPr>
                <w:rFonts w:ascii="Times New Roman" w:hAnsi="宋体" w:eastAsia="宋体"/>
                <w:b w:val="0"/>
                <w:i w:val="0"/>
                <w:color w:val="000000"/>
                <w:sz w:val="24"/>
              </w:rPr>
              <w:t>图12</w:t>
            </w:r>
          </w:p>
        </w:tc>
        <w:tc>
          <w:tcPr>
            <w:tcW w:type="dxa" w:w="2880"/>
          </w:tcPr>
          <w:p>
            <w:pPr>
              <w:jc w:val="center"/>
            </w:pPr>
            <w:r>
              <w:rPr>
                <w:rFonts w:ascii="Times New Roman" w:hAnsi="宋体" w:eastAsia="宋体"/>
                <w:b w:val="0"/>
                <w:i w:val="0"/>
                <w:color w:val="000000"/>
                <w:sz w:val="24"/>
              </w:rPr>
              <w:t>output/04_logistic_regression.svg</w:t>
            </w:r>
          </w:p>
        </w:tc>
        <w:tc>
          <w:tcPr>
            <w:tcW w:type="dxa" w:w="2880"/>
          </w:tcPr>
          <w:p>
            <w:pPr>
              <w:jc w:val="center"/>
            </w:pPr>
            <w:r>
              <w:rPr>
                <w:rFonts w:ascii="Times New Roman" w:hAnsi="宋体" w:eastAsia="宋体"/>
                <w:b w:val="0"/>
                <w:i w:val="0"/>
                <w:color w:val="000000"/>
                <w:sz w:val="24"/>
              </w:rPr>
              <w:t>逻辑回归分析</w:t>
            </w:r>
          </w:p>
        </w:tc>
      </w:tr>
      <w:tr>
        <w:tc>
          <w:tcPr>
            <w:tcW w:type="dxa" w:w="2880"/>
          </w:tcPr>
          <w:p>
            <w:pPr>
              <w:jc w:val="center"/>
            </w:pPr>
            <w:r>
              <w:rPr>
                <w:rFonts w:ascii="Times New Roman" w:hAnsi="宋体" w:eastAsia="宋体"/>
                <w:b w:val="0"/>
                <w:i w:val="0"/>
                <w:color w:val="000000"/>
                <w:sz w:val="24"/>
              </w:rPr>
              <w:t>图13</w:t>
            </w:r>
          </w:p>
        </w:tc>
        <w:tc>
          <w:tcPr>
            <w:tcW w:type="dxa" w:w="2880"/>
          </w:tcPr>
          <w:p>
            <w:pPr>
              <w:jc w:val="center"/>
            </w:pPr>
            <w:r>
              <w:rPr>
                <w:rFonts w:ascii="Times New Roman" w:hAnsi="宋体" w:eastAsia="宋体"/>
                <w:b w:val="0"/>
                <w:i w:val="0"/>
                <w:color w:val="000000"/>
                <w:sz w:val="24"/>
              </w:rPr>
              <w:t>output/07_gradient_boosting.svg</w:t>
            </w:r>
          </w:p>
        </w:tc>
        <w:tc>
          <w:tcPr>
            <w:tcW w:type="dxa" w:w="2880"/>
          </w:tcPr>
          <w:p>
            <w:pPr>
              <w:jc w:val="center"/>
            </w:pPr>
            <w:r>
              <w:rPr>
                <w:rFonts w:ascii="Times New Roman" w:hAnsi="宋体" w:eastAsia="宋体"/>
                <w:b w:val="0"/>
                <w:i w:val="0"/>
                <w:color w:val="000000"/>
                <w:sz w:val="24"/>
              </w:rPr>
              <w:t>梯度提升树分析</w:t>
            </w:r>
          </w:p>
        </w:tc>
      </w:tr>
      <w:tr>
        <w:tc>
          <w:tcPr>
            <w:tcW w:type="dxa" w:w="2880"/>
          </w:tcPr>
          <w:p>
            <w:pPr>
              <w:jc w:val="center"/>
            </w:pPr>
            <w:r>
              <w:rPr>
                <w:rFonts w:ascii="Times New Roman" w:hAnsi="宋体" w:eastAsia="宋体"/>
                <w:b w:val="0"/>
                <w:i w:val="0"/>
                <w:color w:val="000000"/>
                <w:sz w:val="24"/>
              </w:rPr>
              <w:t>图14</w:t>
            </w:r>
          </w:p>
        </w:tc>
        <w:tc>
          <w:tcPr>
            <w:tcW w:type="dxa" w:w="2880"/>
          </w:tcPr>
          <w:p>
            <w:pPr>
              <w:jc w:val="center"/>
            </w:pPr>
            <w:r>
              <w:rPr>
                <w:rFonts w:ascii="Times New Roman" w:hAnsi="宋体" w:eastAsia="宋体"/>
                <w:b w:val="0"/>
                <w:i w:val="0"/>
                <w:color w:val="000000"/>
                <w:sz w:val="24"/>
              </w:rPr>
              <w:t>output/08_decision_tree.svg</w:t>
            </w:r>
          </w:p>
        </w:tc>
        <w:tc>
          <w:tcPr>
            <w:tcW w:type="dxa" w:w="2880"/>
          </w:tcPr>
          <w:p>
            <w:pPr>
              <w:jc w:val="center"/>
            </w:pPr>
            <w:r>
              <w:rPr>
                <w:rFonts w:ascii="Times New Roman" w:hAnsi="宋体" w:eastAsia="宋体"/>
                <w:b w:val="0"/>
                <w:i w:val="0"/>
                <w:color w:val="000000"/>
                <w:sz w:val="24"/>
              </w:rPr>
              <w:t>决策树分析</w:t>
            </w:r>
          </w:p>
        </w:tc>
      </w:tr>
      <w:tr>
        <w:tc>
          <w:tcPr>
            <w:tcW w:type="dxa" w:w="2880"/>
          </w:tcPr>
          <w:p>
            <w:pPr>
              <w:jc w:val="center"/>
            </w:pPr>
            <w:r>
              <w:rPr>
                <w:rFonts w:ascii="Times New Roman" w:hAnsi="宋体" w:eastAsia="宋体"/>
                <w:b w:val="0"/>
                <w:i w:val="0"/>
                <w:color w:val="000000"/>
                <w:sz w:val="24"/>
              </w:rPr>
              <w:t>图15</w:t>
            </w:r>
          </w:p>
        </w:tc>
        <w:tc>
          <w:tcPr>
            <w:tcW w:type="dxa" w:w="2880"/>
          </w:tcPr>
          <w:p>
            <w:pPr>
              <w:jc w:val="center"/>
            </w:pPr>
            <w:r>
              <w:rPr>
                <w:rFonts w:ascii="Times New Roman" w:hAnsi="宋体" w:eastAsia="宋体"/>
                <w:b w:val="0"/>
                <w:i w:val="0"/>
                <w:color w:val="000000"/>
                <w:sz w:val="24"/>
              </w:rPr>
              <w:t>output/09_naive_bayes.svg</w:t>
            </w:r>
          </w:p>
        </w:tc>
        <w:tc>
          <w:tcPr>
            <w:tcW w:type="dxa" w:w="2880"/>
          </w:tcPr>
          <w:p>
            <w:pPr>
              <w:jc w:val="center"/>
            </w:pPr>
            <w:r>
              <w:rPr>
                <w:rFonts w:ascii="Times New Roman" w:hAnsi="宋体" w:eastAsia="宋体"/>
                <w:b w:val="0"/>
                <w:i w:val="0"/>
                <w:color w:val="000000"/>
                <w:sz w:val="24"/>
              </w:rPr>
              <w:t>朴素贝叶斯分析</w:t>
            </w:r>
          </w:p>
        </w:tc>
      </w:tr>
      <w:tr>
        <w:tc>
          <w:tcPr>
            <w:tcW w:type="dxa" w:w="2880"/>
          </w:tcPr>
          <w:p>
            <w:pPr>
              <w:jc w:val="center"/>
            </w:pPr>
            <w:r>
              <w:rPr>
                <w:rFonts w:ascii="Times New Roman" w:hAnsi="宋体" w:eastAsia="宋体"/>
                <w:b w:val="0"/>
                <w:i w:val="0"/>
                <w:color w:val="000000"/>
                <w:sz w:val="24"/>
              </w:rPr>
              <w:t>图16</w:t>
            </w:r>
          </w:p>
        </w:tc>
        <w:tc>
          <w:tcPr>
            <w:tcW w:type="dxa" w:w="2880"/>
          </w:tcPr>
          <w:p>
            <w:pPr>
              <w:jc w:val="center"/>
            </w:pPr>
            <w:r>
              <w:rPr>
                <w:rFonts w:ascii="Times New Roman" w:hAnsi="宋体" w:eastAsia="宋体"/>
                <w:b w:val="0"/>
                <w:i w:val="0"/>
                <w:color w:val="000000"/>
                <w:sz w:val="24"/>
              </w:rPr>
              <w:t>output/10_knn.svg</w:t>
            </w:r>
          </w:p>
        </w:tc>
        <w:tc>
          <w:tcPr>
            <w:tcW w:type="dxa" w:w="2880"/>
          </w:tcPr>
          <w:p>
            <w:pPr>
              <w:jc w:val="center"/>
            </w:pPr>
            <w:r>
              <w:rPr>
                <w:rFonts w:ascii="Times New Roman" w:hAnsi="宋体" w:eastAsia="宋体"/>
                <w:b w:val="0"/>
                <w:i w:val="0"/>
                <w:color w:val="000000"/>
                <w:sz w:val="24"/>
              </w:rPr>
              <w:t>KNN分析</w:t>
            </w:r>
          </w:p>
        </w:tc>
      </w:tr>
      <w:tr>
        <w:tc>
          <w:tcPr>
            <w:tcW w:type="dxa" w:w="2880"/>
          </w:tcPr>
          <w:p>
            <w:pPr>
              <w:jc w:val="center"/>
            </w:pPr>
            <w:r>
              <w:rPr>
                <w:rFonts w:ascii="Times New Roman" w:hAnsi="宋体" w:eastAsia="宋体"/>
                <w:b w:val="0"/>
                <w:i w:val="0"/>
                <w:color w:val="000000"/>
                <w:sz w:val="24"/>
              </w:rPr>
              <w:t>图17</w:t>
            </w:r>
          </w:p>
        </w:tc>
        <w:tc>
          <w:tcPr>
            <w:tcW w:type="dxa" w:w="2880"/>
          </w:tcPr>
          <w:p>
            <w:pPr>
              <w:jc w:val="center"/>
            </w:pPr>
            <w:r>
              <w:rPr>
                <w:rFonts w:ascii="Times New Roman" w:hAnsi="宋体" w:eastAsia="宋体"/>
                <w:b w:val="0"/>
                <w:i w:val="0"/>
                <w:color w:val="000000"/>
                <w:sz w:val="24"/>
              </w:rPr>
              <w:t>output/01_data_exploration.svg</w:t>
            </w:r>
          </w:p>
        </w:tc>
        <w:tc>
          <w:tcPr>
            <w:tcW w:type="dxa" w:w="2880"/>
          </w:tcPr>
          <w:p>
            <w:pPr>
              <w:jc w:val="center"/>
            </w:pPr>
            <w:r>
              <w:rPr>
                <w:rFonts w:ascii="Times New Roman" w:hAnsi="宋体" w:eastAsia="宋体"/>
                <w:b w:val="0"/>
                <w:i w:val="0"/>
                <w:color w:val="000000"/>
                <w:sz w:val="24"/>
              </w:rPr>
              <w:t>数据探索</w:t>
            </w:r>
          </w:p>
        </w:tc>
      </w:tr>
      <w:tr>
        <w:tc>
          <w:tcPr>
            <w:tcW w:type="dxa" w:w="2880"/>
          </w:tcPr>
          <w:p>
            <w:pPr>
              <w:jc w:val="center"/>
            </w:pPr>
            <w:r>
              <w:rPr>
                <w:rFonts w:ascii="Times New Roman" w:hAnsi="宋体" w:eastAsia="宋体"/>
                <w:b w:val="0"/>
                <w:i w:val="0"/>
                <w:color w:val="000000"/>
                <w:sz w:val="24"/>
              </w:rPr>
              <w:t>图18</w:t>
            </w:r>
          </w:p>
        </w:tc>
        <w:tc>
          <w:tcPr>
            <w:tcW w:type="dxa" w:w="2880"/>
          </w:tcPr>
          <w:p>
            <w:pPr>
              <w:jc w:val="center"/>
            </w:pPr>
            <w:r>
              <w:rPr>
                <w:rFonts w:ascii="Times New Roman" w:hAnsi="宋体" w:eastAsia="宋体"/>
                <w:b w:val="0"/>
                <w:i w:val="0"/>
                <w:color w:val="000000"/>
                <w:sz w:val="24"/>
              </w:rPr>
              <w:t>output/11_mlp_training_curves.svg</w:t>
            </w:r>
          </w:p>
        </w:tc>
        <w:tc>
          <w:tcPr>
            <w:tcW w:type="dxa" w:w="2880"/>
          </w:tcPr>
          <w:p>
            <w:pPr>
              <w:jc w:val="center"/>
            </w:pPr>
            <w:r>
              <w:rPr>
                <w:rFonts w:ascii="Times New Roman" w:hAnsi="宋体" w:eastAsia="宋体"/>
                <w:b w:val="0"/>
                <w:i w:val="0"/>
                <w:color w:val="000000"/>
                <w:sz w:val="24"/>
              </w:rPr>
              <w:t>MLP训练损失曲线</w:t>
            </w:r>
          </w:p>
        </w:tc>
      </w:tr>
    </w:tbl>
    <w:p/>
    <w:p>
      <w:pPr>
        <w:spacing w:before="240" w:after="120" w:lineRule="auto" w:line="300"/>
        <w:jc w:val="left"/>
      </w:pPr>
      <w:r>
        <w:rPr>
          <w:rFonts w:ascii="Times New Roman" w:hAnsi="宋体" w:eastAsia="宋体"/>
          <w:b/>
          <w:i w:val="0"/>
          <w:color w:val="000000"/>
          <w:sz w:val="32"/>
        </w:rPr>
        <w:t>参考文献</w:t>
      </w:r>
    </w:p>
    <w:p>
      <w:pPr>
        <w:spacing w:line="360" w:lineRule="auto" w:after="120" w:before="0"/>
        <w:ind w:firstLine="482"/>
      </w:pPr>
      <w:r>
        <w:rPr>
          <w:rFonts w:ascii="Times New Roman" w:hAnsi="宋体" w:eastAsia="宋体"/>
          <w:b w:val="0"/>
          <w:i w:val="0"/>
          <w:color w:val="000000"/>
          <w:sz w:val="24"/>
        </w:rPr>
        <w:t>[1] Fisher R A. The use of multiple measurements in taxonomic problems[J]. Annals of Eugenics, 1936, 7(2): 179-188.</w:t>
      </w:r>
    </w:p>
    <w:p>
      <w:pPr>
        <w:spacing w:line="360" w:lineRule="auto" w:after="120" w:before="0"/>
        <w:ind w:firstLine="482"/>
      </w:pPr>
      <w:r>
        <w:rPr>
          <w:rFonts w:ascii="Times New Roman" w:hAnsi="宋体" w:eastAsia="宋体"/>
          <w:b w:val="0"/>
          <w:i w:val="0"/>
          <w:color w:val="000000"/>
          <w:sz w:val="24"/>
        </w:rPr>
        <w:t>[2]周志华. 机器学习[M]. 北京: 清华大学出版社, 2016.</w:t>
      </w:r>
    </w:p>
    <w:p>
      <w:pPr>
        <w:spacing w:line="360" w:lineRule="auto" w:after="120" w:before="0"/>
        <w:ind w:firstLine="482"/>
      </w:pPr>
      <w:r>
        <w:rPr>
          <w:rFonts w:ascii="Times New Roman" w:hAnsi="宋体" w:eastAsia="宋体"/>
          <w:b w:val="0"/>
          <w:i w:val="0"/>
          <w:color w:val="000000"/>
          <w:sz w:val="24"/>
        </w:rPr>
        <w:t>[3]李航. 统计学习方法（第2版）[M]. 北京: 清华大学出版社, 2019.</w:t>
      </w:r>
    </w:p>
    <w:p>
      <w:pPr>
        <w:spacing w:line="360" w:lineRule="auto" w:after="120" w:before="0"/>
        <w:ind w:firstLine="482"/>
      </w:pPr>
      <w:r>
        <w:rPr>
          <w:rFonts w:ascii="Times New Roman" w:hAnsi="宋体" w:eastAsia="宋体"/>
          <w:b w:val="0"/>
          <w:i w:val="0"/>
          <w:color w:val="000000"/>
          <w:sz w:val="24"/>
        </w:rPr>
        <w:t>[4] Pedregosa F, Varoquaux G, Gramfort A, et al. Scikit-learn: Machine learning in Python[J]. Journal of Machine Learning Research, 2011, 12: 2825-2830.</w:t>
      </w:r>
    </w:p>
    <w:p>
      <w:pPr>
        <w:spacing w:line="360" w:lineRule="auto" w:after="120" w:before="0"/>
        <w:ind w:firstLine="482"/>
      </w:pPr>
      <w:r>
        <w:rPr>
          <w:rFonts w:ascii="Times New Roman" w:hAnsi="宋体" w:eastAsia="宋体"/>
          <w:b w:val="0"/>
          <w:i w:val="0"/>
          <w:color w:val="000000"/>
          <w:sz w:val="24"/>
        </w:rPr>
        <w:t>[5] Hastie T, Tibshirani R, Friedman J. The Elements of Statistical Learning: Data Mining, Inference, and Prediction[M]. 2nd ed. New York: Springer, 2009.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