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9E32E4">
      <w:pPr>
        <w:keepNext w:val="0"/>
        <w:keepLines w:val="0"/>
        <w:pageBreakBefore w:val="0"/>
        <w:widowControl w:val="0"/>
        <w:kinsoku/>
        <w:wordWrap/>
        <w:overflowPunct/>
        <w:topLinePunct w:val="0"/>
        <w:autoSpaceDE/>
        <w:autoSpaceDN/>
        <w:bidi w:val="0"/>
        <w:adjustRightInd/>
        <w:snapToGrid/>
        <w:spacing w:before="360" w:after="120" w:line="300" w:lineRule="auto"/>
        <w:jc w:val="center"/>
        <w:textAlignment w:val="auto"/>
      </w:pPr>
      <w:r>
        <w:rPr>
          <w:rFonts w:ascii="Times New Roman" w:hAnsi="Times New Roman" w:eastAsia="宋体" w:cs="Times New Roman"/>
          <w:b/>
          <w:i w:val="0"/>
          <w:color w:val="000000"/>
          <w:sz w:val="44"/>
        </w:rPr>
        <w:t>鸢尾花分类问题的人工智能方法对比研究</w:t>
      </w:r>
    </w:p>
    <w:p w14:paraId="7AE790A6">
      <w:pPr>
        <w:keepNext w:val="0"/>
        <w:keepLines w:val="0"/>
        <w:pageBreakBefore w:val="0"/>
        <w:widowControl w:val="0"/>
        <w:kinsoku/>
        <w:wordWrap/>
        <w:overflowPunct/>
        <w:topLinePunct w:val="0"/>
        <w:autoSpaceDE/>
        <w:autoSpaceDN/>
        <w:bidi w:val="0"/>
        <w:adjustRightInd/>
        <w:snapToGrid/>
        <w:spacing w:after="120" w:line="360" w:lineRule="auto"/>
        <w:ind w:left="567" w:firstLine="482"/>
        <w:textAlignment w:val="auto"/>
      </w:pPr>
      <w:r>
        <w:rPr>
          <w:rFonts w:ascii="Times New Roman" w:hAnsi="Times New Roman" w:eastAsia="宋体" w:cs="Times New Roman"/>
          <w:b w:val="0"/>
          <w:i/>
          <w:color w:val="000000"/>
          <w:sz w:val="21"/>
        </w:rPr>
        <w:t>人工智能课程大作业</w:t>
      </w:r>
    </w:p>
    <w:p w14:paraId="1F094E41">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摘要</w:t>
      </w:r>
    </w:p>
    <w:p w14:paraId="7A32809E">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本实验在Iris鸢尾花数据集上对比了8类共12个分类方法的性能。考虑到单次划分的方差较高，实验采用10次重复试验，并将各次试验的测试集预测汇总后统一计算F1、ROC和混淆矩阵。结果显示，经过网格搜索调优的MLP以平均95.8%的准确率排名第一，三隐层MLP和梯度提升树以93.6%位列末尾。MLP两隐层16-8配置的标准差最大，达3.9%，逻辑回归最稳定，仅2.4%。网格搜索选出的参数差异极大——10次试验中最常见的配置也仅出现2次——但整体平均仍优于所有手动配置，说明参数搜索虽不稳定但总体有益。消融实验进一步发现：决策树在训练数据缩减至10%时准确率降至62.2%，而SVM仍能保持84.4%；未标准化条件下KNN和MLP准确率反而更高，表明在单次划分下即使预处理这类常规操作的结论也可能被随机性左右。</w:t>
      </w:r>
    </w:p>
    <w:p w14:paraId="65E72206">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i w:val="0"/>
          <w:color w:val="000000"/>
          <w:sz w:val="24"/>
        </w:rPr>
        <w:t>关键词：</w:t>
      </w:r>
      <w:r>
        <w:rPr>
          <w:rFonts w:ascii="Times New Roman" w:hAnsi="Times New Roman" w:eastAsia="宋体" w:cs="Times New Roman"/>
          <w:b w:val="0"/>
          <w:i w:val="0"/>
          <w:color w:val="000000"/>
          <w:sz w:val="24"/>
        </w:rPr>
        <w:t>鸢尾花分类；机器学习；重复试验；网格搜索；消融实验</w:t>
      </w:r>
    </w:p>
    <w:p w14:paraId="1FFC61BB">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1. 引言</w:t>
      </w:r>
    </w:p>
    <w:p w14:paraId="20EC6C51">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鸢尾花数据集由Fisher于1936年提出，包含3个品种各50条样本，每条记录花萼长、花萼宽、花瓣长、花瓣宽4个特征。因特征区分度高，常被用作机器学习入门实验。</w:t>
      </w:r>
    </w:p>
    <w:p w14:paraId="5B0AC8D9">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本实验的任务是在该数据集上对比多种分类方法。实验过程中发现，由于Iris数据规模较小、特征区分度高，所有方法的准确率均集中于94%附近，模型间的绝对差异有限。相比之下，一些反直觉的现象更值得关注：MLP增加层数后性能反而下降、网格搜索选出的参数极不稳定、未标准化条件下距离模型准确率反而更高。本报告围绕这些现象展开分析。</w:t>
      </w:r>
    </w:p>
    <w:p w14:paraId="5B31651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2A462428">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2. 实验设置</w:t>
      </w:r>
    </w:p>
    <w:p w14:paraId="60CBA4C7">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2.1数据集与预处理</w:t>
      </w:r>
    </w:p>
    <w:p w14:paraId="361068B7">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数据集共150条样本，3个类别各50条，完全平衡。实验采用10次独立重复试验：每次随机将70%的样本划分为训练集，含105条；30%为测试集，含45条。最终报告的准确率为10次测试的均值与标准差。每次试验中各模型的预测标签、概率和F1被保存至实验结果文件，训练好的模型、标准化器和数据划分被保存至实验会话文件。</w:t>
      </w:r>
    </w:p>
    <w:p w14:paraId="15AB90F0">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在评估方式上做了改进：不再仅依赖单次试验的45条测试样本，而是将10次试验的全部测试集预测拼接为约450条样本后统一计算F1、ROC和混淆矩阵。这一拼接策略同样应用于图6及图8至图14中各单方法的混淆矩阵，使每张混淆矩阵反映10次试验的综合表现。</w:t>
      </w:r>
    </w:p>
    <w:p w14:paraId="7B165DC5">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交叉验证方面，10次试验各在训练集上做5折分层交叉验证，共获得50个分数，跨试验取均值。参与交叉验证的模型为6个：逻辑回归、SVM、随机森林、KNN、梯度提升树和朴素贝叶斯，不含MLP变体和决策树。</w:t>
      </w:r>
    </w:p>
    <w:p w14:paraId="094AC5B1">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消融实验基于末次试验的单次划分，随机种子固定为42以保证可复现。特征消融、数据量消融、MLP架构消融和预处理消融这四组结果同样保存在实验会话中，可在后续分析中直接读取。</w:t>
      </w:r>
    </w:p>
    <w:p w14:paraId="5E55267F">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标准化方面，对所有模型统一使用基于训练集均值和标准差的标准化，变换后应用于测试集。树模型和朴素贝叶斯理论上不受量纲影响，但为保持处理一致，同样执行标准化流程。</w:t>
      </w:r>
    </w:p>
    <w:p w14:paraId="6312EC40">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关于可复现性：实验完整记录了训练模型与数据划分，支持从已保存的实验会话中加载全部数据并重绘图表，包含消融实验结果，无需重新训练。需注意每次完整运行会产生新的随机划分，因此具体数值会有小幅波动，但定性趋势保持稳定。</w:t>
      </w:r>
    </w:p>
    <w:p w14:paraId="0F78B0B4">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ascii="Times New Roman" w:hAnsi="Times New Roman" w:eastAsia="宋体" w:cs="Times New Roman"/>
          <w:b w:val="0"/>
          <w:i w:val="0"/>
          <w:color w:val="000000"/>
          <w:sz w:val="24"/>
          <w:lang w:eastAsia="zh-CN"/>
        </w:rPr>
      </w:pPr>
      <w:r>
        <w:rPr>
          <w:rFonts w:hint="eastAsia" w:ascii="Times New Roman" w:hAnsi="Times New Roman" w:eastAsia="宋体" w:cs="Times New Roman"/>
          <w:b w:val="0"/>
          <w:i w:val="0"/>
          <w:color w:val="000000"/>
          <w:sz w:val="24"/>
          <w:lang w:eastAsia="zh-CN"/>
        </w:rPr>
        <w:drawing>
          <wp:inline distT="0" distB="0" distL="114300" distR="114300">
            <wp:extent cx="5481955" cy="4626610"/>
            <wp:effectExtent l="0" t="0" r="4445" b="8890"/>
            <wp:docPr id="1" name="图片 1" descr="01_data_expl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01_data_exploration"/>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481955" cy="4626610"/>
                    </a:xfrm>
                    <a:prstGeom prst="rect">
                      <a:avLst/>
                    </a:prstGeom>
                  </pic:spPr>
                </pic:pic>
              </a:graphicData>
            </a:graphic>
          </wp:inline>
        </w:drawing>
      </w:r>
    </w:p>
    <w:p w14:paraId="53BC6E1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 Iris数据集探索：花瓣长-宽散点图、花萼长-宽散点图、花瓣长-花萼长散点图反映三类样本的二维可分性；类别饼图展示各50条的均衡分布；箱线图展示三类在四个特征上的取值范围与离散程度</w:t>
      </w:r>
    </w:p>
    <w:p w14:paraId="0324785A">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2.2方法概览</w:t>
      </w:r>
    </w:p>
    <w:p w14:paraId="59F30686">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共8类12个模型：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B220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090B17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类别</w:t>
            </w:r>
          </w:p>
        </w:tc>
        <w:tc>
          <w:tcPr>
            <w:tcW w:w="2880" w:type="dxa"/>
          </w:tcPr>
          <w:p w14:paraId="3F92657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模型</w:t>
            </w:r>
          </w:p>
        </w:tc>
        <w:tc>
          <w:tcPr>
            <w:tcW w:w="2880" w:type="dxa"/>
          </w:tcPr>
          <w:p w14:paraId="4120F06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关键参数</w:t>
            </w:r>
          </w:p>
        </w:tc>
      </w:tr>
      <w:tr w14:paraId="35BE3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699660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线性</w:t>
            </w:r>
          </w:p>
        </w:tc>
        <w:tc>
          <w:tcPr>
            <w:tcW w:w="2880" w:type="dxa"/>
          </w:tcPr>
          <w:p w14:paraId="406F618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逻辑回归</w:t>
            </w:r>
          </w:p>
        </w:tc>
        <w:tc>
          <w:tcPr>
            <w:tcW w:w="2880" w:type="dxa"/>
          </w:tcPr>
          <w:p w14:paraId="611005B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LBFGS求解器</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正则化系数C=1.0</w:t>
            </w:r>
          </w:p>
        </w:tc>
      </w:tr>
      <w:tr w14:paraId="5393E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3B4531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核方法</w:t>
            </w:r>
          </w:p>
        </w:tc>
        <w:tc>
          <w:tcPr>
            <w:tcW w:w="2880" w:type="dxa"/>
          </w:tcPr>
          <w:p w14:paraId="06FE1DB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SVM（RBF核）</w:t>
            </w:r>
          </w:p>
        </w:tc>
        <w:tc>
          <w:tcPr>
            <w:tcW w:w="2880" w:type="dxa"/>
          </w:tcPr>
          <w:p w14:paraId="78B14AC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C=1.0</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核宽度γ=scale</w:t>
            </w:r>
          </w:p>
        </w:tc>
      </w:tr>
      <w:tr w14:paraId="288F8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49CEA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树</w:t>
            </w:r>
          </w:p>
        </w:tc>
        <w:tc>
          <w:tcPr>
            <w:tcW w:w="2880" w:type="dxa"/>
          </w:tcPr>
          <w:p w14:paraId="7CB2895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决策树（深度为3）</w:t>
            </w:r>
          </w:p>
        </w:tc>
        <w:tc>
          <w:tcPr>
            <w:tcW w:w="2880" w:type="dxa"/>
          </w:tcPr>
          <w:p w14:paraId="3C2DB9D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最大深度3</w:t>
            </w:r>
          </w:p>
        </w:tc>
      </w:tr>
      <w:tr w14:paraId="51ED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78D259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Bagging集成</w:t>
            </w:r>
          </w:p>
        </w:tc>
        <w:tc>
          <w:tcPr>
            <w:tcW w:w="2880" w:type="dxa"/>
          </w:tcPr>
          <w:p w14:paraId="21F2731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随机森林</w:t>
            </w:r>
          </w:p>
        </w:tc>
        <w:tc>
          <w:tcPr>
            <w:tcW w:w="2880" w:type="dxa"/>
          </w:tcPr>
          <w:p w14:paraId="336B672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100棵树</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最大深度5</w:t>
            </w:r>
          </w:p>
        </w:tc>
      </w:tr>
      <w:tr w14:paraId="6B806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E954A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Boosting集成</w:t>
            </w:r>
          </w:p>
        </w:tc>
        <w:tc>
          <w:tcPr>
            <w:tcW w:w="2880" w:type="dxa"/>
          </w:tcPr>
          <w:p w14:paraId="296767F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梯度提升树</w:t>
            </w:r>
          </w:p>
        </w:tc>
        <w:tc>
          <w:tcPr>
            <w:tcW w:w="2880" w:type="dxa"/>
          </w:tcPr>
          <w:p w14:paraId="6033C4F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100棵树</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学习率0.1</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最大深度3</w:t>
            </w:r>
          </w:p>
        </w:tc>
      </w:tr>
      <w:tr w14:paraId="4BD6F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E48A00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距离</w:t>
            </w:r>
          </w:p>
        </w:tc>
        <w:tc>
          <w:tcPr>
            <w:tcW w:w="2880" w:type="dxa"/>
          </w:tcPr>
          <w:p w14:paraId="66AB2FA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KNN（k=5）</w:t>
            </w:r>
          </w:p>
        </w:tc>
        <w:tc>
          <w:tcPr>
            <w:tcW w:w="2880" w:type="dxa"/>
          </w:tcPr>
          <w:p w14:paraId="781DC89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近邻数5</w:t>
            </w:r>
          </w:p>
        </w:tc>
      </w:tr>
      <w:tr w14:paraId="25B4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B1DA39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神经网络</w:t>
            </w:r>
          </w:p>
        </w:tc>
        <w:tc>
          <w:tcPr>
            <w:tcW w:w="2880" w:type="dxa"/>
          </w:tcPr>
          <w:p w14:paraId="43517F9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MLP四组手动配置</w:t>
            </w:r>
          </w:p>
        </w:tc>
        <w:tc>
          <w:tcPr>
            <w:tcW w:w="2880" w:type="dxa"/>
          </w:tcPr>
          <w:p w14:paraId="45CE30F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详见下文</w:t>
            </w:r>
          </w:p>
        </w:tc>
      </w:tr>
      <w:tr w14:paraId="4A5BA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EECCE9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神经网络+调参</w:t>
            </w:r>
          </w:p>
        </w:tc>
        <w:tc>
          <w:tcPr>
            <w:tcW w:w="2880" w:type="dxa"/>
          </w:tcPr>
          <w:p w14:paraId="1809F29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MLP网格搜索最优</w:t>
            </w:r>
          </w:p>
        </w:tc>
        <w:tc>
          <w:tcPr>
            <w:tcW w:w="2880" w:type="dxa"/>
          </w:tcPr>
          <w:p w14:paraId="401A8AF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自动扫描32组参数</w:t>
            </w:r>
          </w:p>
        </w:tc>
      </w:tr>
      <w:tr w14:paraId="2161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5D9DA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概率</w:t>
            </w:r>
          </w:p>
        </w:tc>
        <w:tc>
          <w:tcPr>
            <w:tcW w:w="2880" w:type="dxa"/>
          </w:tcPr>
          <w:p w14:paraId="5FDFCED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高斯朴素贝叶斯</w:t>
            </w:r>
          </w:p>
        </w:tc>
        <w:tc>
          <w:tcPr>
            <w:tcW w:w="2880" w:type="dxa"/>
          </w:tcPr>
          <w:p w14:paraId="7FA471F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w:t>
            </w:r>
          </w:p>
        </w:tc>
      </w:tr>
    </w:tbl>
    <w:p w14:paraId="2AD8365E">
      <w:pPr>
        <w:keepNext w:val="0"/>
        <w:keepLines w:val="0"/>
        <w:pageBreakBefore w:val="0"/>
        <w:widowControl w:val="0"/>
        <w:kinsoku/>
        <w:wordWrap/>
        <w:overflowPunct/>
        <w:topLinePunct w:val="0"/>
        <w:autoSpaceDE/>
        <w:autoSpaceDN/>
        <w:bidi w:val="0"/>
        <w:adjustRightInd/>
        <w:snapToGrid/>
        <w:textAlignment w:val="auto"/>
      </w:pPr>
    </w:p>
    <w:p w14:paraId="49FB22A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四组手动MLP配置如下：两隐层16-8，两隐层32-8，两隐层64-32，三隐层32-16-8。所有MLP统一使用Adam优化器、ReLU激活函数、L2正则化系数0.001、最大迭代1000次。网格搜索版MLP在每轮试验中自动扫描4种隐层结构、4种正则化系数和2种激活函数，共32组参数组合，以5折交叉验证选出当轮最优配置，再在独立测试集上评估。</w:t>
      </w:r>
    </w:p>
    <w:p w14:paraId="3C4296B6">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674995" cy="3235325"/>
            <wp:effectExtent l="0" t="0" r="1905" b="3175"/>
            <wp:docPr id="2" name="图片 2" descr="02_decision_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2_decision_boundaries"/>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674995" cy="3235325"/>
                    </a:xfrm>
                    <a:prstGeom prst="rect">
                      <a:avLst/>
                    </a:prstGeom>
                  </pic:spPr>
                </pic:pic>
              </a:graphicData>
            </a:graphic>
          </wp:inline>
        </w:drawing>
      </w:r>
    </w:p>
    <w:p w14:paraId="3DEC798B">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图2八模型在花瓣长-宽平面上的决策边界对比：左上子图为训练数据真实分布，其余七子图为各模型仅在花瓣长、花瓣宽两个特征上训练后的分类区域与测试样本分布，标注对应测试准确率</w:t>
      </w:r>
    </w:p>
    <w:p w14:paraId="6BC703D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5C80FAC4">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3. 实验结果与发现</w:t>
      </w:r>
    </w:p>
    <w:p w14:paraId="1474365F">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3.1整体表现</w:t>
      </w:r>
    </w:p>
    <w:p w14:paraId="02BA0593">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10次试验的测试准确率均值与标准差如下，按均值降序排列：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0EE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4C255D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排名</w:t>
            </w:r>
          </w:p>
        </w:tc>
        <w:tc>
          <w:tcPr>
            <w:tcW w:w="2880" w:type="dxa"/>
          </w:tcPr>
          <w:p w14:paraId="22662A1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模型</w:t>
            </w:r>
          </w:p>
        </w:tc>
        <w:tc>
          <w:tcPr>
            <w:tcW w:w="2880" w:type="dxa"/>
          </w:tcPr>
          <w:p w14:paraId="6384CC9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准确率</w:t>
            </w:r>
          </w:p>
        </w:tc>
      </w:tr>
      <w:tr w14:paraId="5436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28074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w:t>
            </w:r>
          </w:p>
        </w:tc>
        <w:tc>
          <w:tcPr>
            <w:tcW w:w="2880" w:type="dxa"/>
          </w:tcPr>
          <w:p w14:paraId="7BC21F3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MLP网格搜索最优</w:t>
            </w:r>
          </w:p>
        </w:tc>
        <w:tc>
          <w:tcPr>
            <w:tcW w:w="2880" w:type="dxa"/>
          </w:tcPr>
          <w:p w14:paraId="76B3594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95.8%±3.4%</w:t>
            </w:r>
          </w:p>
        </w:tc>
      </w:tr>
      <w:tr w14:paraId="07A8C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6D8424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2</w:t>
            </w:r>
          </w:p>
        </w:tc>
        <w:tc>
          <w:tcPr>
            <w:tcW w:w="2880" w:type="dxa"/>
          </w:tcPr>
          <w:p w14:paraId="7C81DD4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SVM（RBF核）</w:t>
            </w:r>
          </w:p>
        </w:tc>
        <w:tc>
          <w:tcPr>
            <w:tcW w:w="2880" w:type="dxa"/>
          </w:tcPr>
          <w:p w14:paraId="144DE57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95.1%±2.6%</w:t>
            </w:r>
          </w:p>
        </w:tc>
      </w:tr>
      <w:tr w14:paraId="5D750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B1F48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3</w:t>
            </w:r>
          </w:p>
        </w:tc>
        <w:tc>
          <w:tcPr>
            <w:tcW w:w="2880" w:type="dxa"/>
          </w:tcPr>
          <w:p w14:paraId="223C72B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决策树</w:t>
            </w:r>
          </w:p>
        </w:tc>
        <w:tc>
          <w:tcPr>
            <w:tcW w:w="2880" w:type="dxa"/>
          </w:tcPr>
          <w:p w14:paraId="3FFF2CB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95.1%±2.8%</w:t>
            </w:r>
          </w:p>
        </w:tc>
      </w:tr>
      <w:tr w14:paraId="326FB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9829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4</w:t>
            </w:r>
          </w:p>
        </w:tc>
        <w:tc>
          <w:tcPr>
            <w:tcW w:w="2880" w:type="dxa"/>
          </w:tcPr>
          <w:p w14:paraId="4887763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逻辑回归</w:t>
            </w:r>
          </w:p>
        </w:tc>
        <w:tc>
          <w:tcPr>
            <w:tcW w:w="2880" w:type="dxa"/>
          </w:tcPr>
          <w:p w14:paraId="1EA2D33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94.9%±2.4%</w:t>
            </w:r>
          </w:p>
        </w:tc>
      </w:tr>
      <w:tr w14:paraId="379E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4A48A4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5</w:t>
            </w:r>
          </w:p>
        </w:tc>
        <w:tc>
          <w:tcPr>
            <w:tcW w:w="2880" w:type="dxa"/>
          </w:tcPr>
          <w:p w14:paraId="0852758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MLP两隐层16-8</w:t>
            </w:r>
          </w:p>
        </w:tc>
        <w:tc>
          <w:tcPr>
            <w:tcW w:w="2880" w:type="dxa"/>
          </w:tcPr>
          <w:p w14:paraId="41850DD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94.7%±3.9%</w:t>
            </w:r>
          </w:p>
        </w:tc>
      </w:tr>
      <w:tr w14:paraId="3C199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A055B1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6</w:t>
            </w:r>
          </w:p>
        </w:tc>
        <w:tc>
          <w:tcPr>
            <w:tcW w:w="2880" w:type="dxa"/>
          </w:tcPr>
          <w:p w14:paraId="537D252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高斯朴素贝叶斯</w:t>
            </w:r>
          </w:p>
        </w:tc>
        <w:tc>
          <w:tcPr>
            <w:tcW w:w="2880" w:type="dxa"/>
          </w:tcPr>
          <w:p w14:paraId="70DB492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94.7%±2.8%</w:t>
            </w:r>
          </w:p>
        </w:tc>
      </w:tr>
      <w:tr w14:paraId="00CC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4BF126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7</w:t>
            </w:r>
          </w:p>
        </w:tc>
        <w:tc>
          <w:tcPr>
            <w:tcW w:w="2880" w:type="dxa"/>
          </w:tcPr>
          <w:p w14:paraId="03BB875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随机森林</w:t>
            </w:r>
          </w:p>
        </w:tc>
        <w:tc>
          <w:tcPr>
            <w:tcW w:w="2880" w:type="dxa"/>
          </w:tcPr>
          <w:p w14:paraId="6730DFB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94.4%±3.2%</w:t>
            </w:r>
          </w:p>
        </w:tc>
      </w:tr>
      <w:tr w14:paraId="72122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7B0D42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8</w:t>
            </w:r>
          </w:p>
        </w:tc>
        <w:tc>
          <w:tcPr>
            <w:tcW w:w="2880" w:type="dxa"/>
          </w:tcPr>
          <w:p w14:paraId="7BD9360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MLP两隐层64-32</w:t>
            </w:r>
          </w:p>
        </w:tc>
        <w:tc>
          <w:tcPr>
            <w:tcW w:w="2880" w:type="dxa"/>
          </w:tcPr>
          <w:p w14:paraId="331DEC9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94.4%±3.2%</w:t>
            </w:r>
          </w:p>
        </w:tc>
      </w:tr>
      <w:tr w14:paraId="78E08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C32786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w:t>
            </w:r>
          </w:p>
        </w:tc>
        <w:tc>
          <w:tcPr>
            <w:tcW w:w="2880" w:type="dxa"/>
          </w:tcPr>
          <w:p w14:paraId="004ADB4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KNN（k = 5）</w:t>
            </w:r>
          </w:p>
        </w:tc>
        <w:tc>
          <w:tcPr>
            <w:tcW w:w="2880" w:type="dxa"/>
          </w:tcPr>
          <w:p w14:paraId="23A26BD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94.2%±2.8%</w:t>
            </w:r>
          </w:p>
        </w:tc>
      </w:tr>
      <w:tr w14:paraId="1D19B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A4EB1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10</w:t>
            </w:r>
          </w:p>
        </w:tc>
        <w:tc>
          <w:tcPr>
            <w:tcW w:w="2880" w:type="dxa"/>
          </w:tcPr>
          <w:p w14:paraId="2C3AFDB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MLP两隐层32-8</w:t>
            </w:r>
          </w:p>
        </w:tc>
        <w:tc>
          <w:tcPr>
            <w:tcW w:w="2880" w:type="dxa"/>
          </w:tcPr>
          <w:p w14:paraId="6BC4433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93.8%±3.6%</w:t>
            </w:r>
          </w:p>
        </w:tc>
      </w:tr>
      <w:tr w14:paraId="69CCE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15F0A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11</w:t>
            </w:r>
          </w:p>
        </w:tc>
        <w:tc>
          <w:tcPr>
            <w:tcW w:w="2880" w:type="dxa"/>
          </w:tcPr>
          <w:p w14:paraId="29F8EF9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MLP三隐层32-16-8</w:t>
            </w:r>
          </w:p>
        </w:tc>
        <w:tc>
          <w:tcPr>
            <w:tcW w:w="2880" w:type="dxa"/>
          </w:tcPr>
          <w:p w14:paraId="399BB58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93.6%±3.2%</w:t>
            </w:r>
          </w:p>
        </w:tc>
      </w:tr>
      <w:tr w14:paraId="6D681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3EE4B1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12</w:t>
            </w:r>
          </w:p>
        </w:tc>
        <w:tc>
          <w:tcPr>
            <w:tcW w:w="2880" w:type="dxa"/>
          </w:tcPr>
          <w:p w14:paraId="31858E4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梯度提升树</w:t>
            </w:r>
          </w:p>
        </w:tc>
        <w:tc>
          <w:tcPr>
            <w:tcW w:w="2880" w:type="dxa"/>
          </w:tcPr>
          <w:p w14:paraId="56028DE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93.6%±2.7%</w:t>
            </w:r>
          </w:p>
        </w:tc>
      </w:tr>
    </w:tbl>
    <w:p w14:paraId="041796FC">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4887595" cy="4302760"/>
            <wp:effectExtent l="0" t="0" r="1905" b="2540"/>
            <wp:docPr id="4" name="图片 4" descr="12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2_summary"/>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4887595" cy="4302760"/>
                    </a:xfrm>
                    <a:prstGeom prst="rect">
                      <a:avLst/>
                    </a:prstGeom>
                  </pic:spPr>
                </pic:pic>
              </a:graphicData>
            </a:graphic>
          </wp:inline>
        </w:drawing>
      </w:r>
    </w:p>
    <w:p w14:paraId="2DB29F2C">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图3</w:t>
      </w:r>
      <w:r>
        <w:rPr>
          <w:rFonts w:hint="eastAsia" w:cs="Times New Roman"/>
          <w:b w:val="0"/>
          <w:i w:val="0"/>
          <w:color w:val="000000"/>
          <w:sz w:val="24"/>
          <w:lang w:val="en-US" w:eastAsia="zh-CN"/>
        </w:rPr>
        <w:t xml:space="preserve"> </w:t>
      </w:r>
      <w:r>
        <w:rPr>
          <w:rFonts w:ascii="Times New Roman" w:hAnsi="Times New Roman" w:eastAsia="宋体" w:cs="Times New Roman"/>
          <w:b w:val="0"/>
          <w:i w:val="0"/>
          <w:color w:val="000000"/>
          <w:sz w:val="24"/>
        </w:rPr>
        <w:t>综合对比总结：上部为10次试验各方法准确率条形图（含标准差误差棒）；中部为各类别F1-Score对比（10次试验平均）；下部为宏平均ROC曲线（10次试验预测拼接后以OvR方式计算，以setosa为例展示）</w:t>
      </w:r>
    </w:p>
    <w:p w14:paraId="7911AAD8">
      <w:pPr>
        <w:keepNext w:val="0"/>
        <w:keepLines w:val="0"/>
        <w:pageBreakBefore w:val="0"/>
        <w:widowControl w:val="0"/>
        <w:kinsoku/>
        <w:wordWrap/>
        <w:overflowPunct/>
        <w:topLinePunct w:val="0"/>
        <w:autoSpaceDE/>
        <w:autoSpaceDN/>
        <w:bidi w:val="0"/>
        <w:adjustRightInd/>
        <w:snapToGrid/>
        <w:textAlignment w:val="auto"/>
      </w:pPr>
    </w:p>
    <w:p w14:paraId="149795F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最高95.8%，最低93.6%，极差仅2.2个百分点。考虑到各模型标准差大多在2.4%至3.9%之间，所有模型的置信区间高度重叠，排名不具备严格的统计可区分性。逻辑回归标准差最小，为2.4%；MLP两隐层16-8配置波动最大，为3.9%，但这一波动差异也未大到可断言某一模型明显更不稳定。</w:t>
      </w:r>
    </w:p>
    <w:p w14:paraId="00221B09">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F1方面，所有模型对setosa类的F1均为满分或接近满分，该类与另两类完全线性可分。差异主要体现在versicolor和virginica上，网格搜索MLP在这两类上的F1最高，分别为0.938和0.942；梯度提升树最低，分别为0.906和0.900。</w:t>
      </w:r>
    </w:p>
    <w:p w14:paraId="70414347">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85765" cy="2920365"/>
            <wp:effectExtent l="0" t="0" r="635" b="635"/>
            <wp:docPr id="5" name="图片 5" descr="13_confusion_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3_confusion_matrice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485765" cy="2920365"/>
                    </a:xfrm>
                    <a:prstGeom prst="rect">
                      <a:avLst/>
                    </a:prstGeom>
                  </pic:spPr>
                </pic:pic>
              </a:graphicData>
            </a:graphic>
          </wp:inline>
        </w:drawing>
      </w:r>
    </w:p>
    <w:p w14:paraId="49DCB71B">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图4</w:t>
      </w:r>
      <w:r>
        <w:rPr>
          <w:rFonts w:hint="eastAsia" w:cs="Times New Roman"/>
          <w:b w:val="0"/>
          <w:i w:val="0"/>
          <w:color w:val="000000"/>
          <w:sz w:val="24"/>
          <w:lang w:val="en-US" w:eastAsia="zh-CN"/>
        </w:rPr>
        <w:t xml:space="preserve"> </w:t>
      </w:r>
      <w:r>
        <w:rPr>
          <w:rFonts w:ascii="Times New Roman" w:hAnsi="Times New Roman" w:eastAsia="宋体" w:cs="Times New Roman"/>
          <w:b w:val="0"/>
          <w:i w:val="0"/>
          <w:color w:val="000000"/>
          <w:sz w:val="24"/>
        </w:rPr>
        <w:t>八方法混淆矩阵汇总：将10次试验所有预测拼接为约450条样本后统一计算，每子图标注方法名称，颜色深浅反映预测数量</w:t>
      </w:r>
    </w:p>
    <w:p w14:paraId="3702C226">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rPr>
          <w:rFonts w:hint="eastAsia" w:eastAsia="宋体"/>
          <w:lang w:eastAsia="zh-CN"/>
        </w:rPr>
      </w:pPr>
      <w:r>
        <w:rPr>
          <w:rFonts w:ascii="Times New Roman" w:hAnsi="Times New Roman" w:eastAsia="宋体" w:cs="Times New Roman"/>
          <w:b/>
          <w:i w:val="0"/>
          <w:color w:val="000000"/>
          <w:sz w:val="28"/>
        </w:rPr>
        <w:t>3.2交叉验证</w:t>
      </w:r>
      <w:r>
        <w:rPr>
          <w:rFonts w:hint="eastAsia" w:cs="Times New Roman"/>
          <w:b/>
          <w:i w:val="0"/>
          <w:color w:val="000000"/>
          <w:sz w:val="28"/>
          <w:lang w:eastAsia="zh-CN"/>
        </w:rPr>
        <w:t>（</w:t>
      </w:r>
      <w:r>
        <w:rPr>
          <w:rFonts w:hint="eastAsia" w:cs="Times New Roman"/>
          <w:b/>
          <w:i w:val="0"/>
          <w:color w:val="000000"/>
          <w:sz w:val="28"/>
          <w:lang w:val="en-US" w:eastAsia="zh-CN"/>
        </w:rPr>
        <w:t>CV</w:t>
      </w:r>
      <w:r>
        <w:rPr>
          <w:rFonts w:hint="eastAsia" w:cs="Times New Roman"/>
          <w:b/>
          <w:i w:val="0"/>
          <w:color w:val="000000"/>
          <w:sz w:val="28"/>
          <w:lang w:eastAsia="zh-CN"/>
        </w:rPr>
        <w:t>）</w:t>
      </w:r>
    </w:p>
    <w:p w14:paraId="26FDAB0C">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交叉验证仅覆盖6个传统方法，不含MLP变体和决策树。10次试验各做5折，共50个分数，跨试验取均值后CV准确率与测试集结果处于同一水平，均位于93%至96%，但CV的标准差约3.5%至5.5%，明显高于测试集的2.4%至3.9%，原因在于每折验证集仅约21条样本，折叠间波动较大。</w:t>
      </w:r>
    </w:p>
    <w:p w14:paraId="6A5BDA41">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CV排名与测试排名不完全对应，这在150条样本规模的数据集上属于正常现象——不同评估方式引入的方差足以改变排序。</w:t>
      </w:r>
    </w:p>
    <w:p w14:paraId="0026D4B1">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80050" cy="3910330"/>
            <wp:effectExtent l="0" t="0" r="6350" b="1270"/>
            <wp:docPr id="6" name="图片 6" descr="14_cv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14_cv_comparison"/>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5480050" cy="3910330"/>
                    </a:xfrm>
                    <a:prstGeom prst="rect">
                      <a:avLst/>
                    </a:prstGeom>
                  </pic:spPr>
                </pic:pic>
              </a:graphicData>
            </a:graphic>
          </wp:inline>
        </w:drawing>
      </w:r>
    </w:p>
    <w:p w14:paraId="71014256">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图5六模型5折交叉验证对比：10次试验各执行5折分层交叉验证，共50个得分跨试验取均值，误差棒为各次试验内折叠间的平均标准差</w:t>
      </w:r>
    </w:p>
    <w:p w14:paraId="72D00444">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3.3 MLP各配置对比</w:t>
      </w:r>
    </w:p>
    <w:p w14:paraId="07F91319">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五个MLP配置的表现分为三个层次：网格搜索最优，达95.8%；两隐层16-8和两隐层64-32居中，分别为94.7%和94.4%；三隐层32-16-8和两隐层32-8靠后，分别为93.6%和93.8%。</w:t>
      </w:r>
    </w:p>
    <w:p w14:paraId="543C9B9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两隐层16-8的配置较三隐层32-16-8高出1.1个百分点——增加层数反而导致性能下降。原因在于Iris总共150条样本，三隐层网络4个输入经32、16、8个神经元最终映射到3个输出，可训练参数超过600个，对训练集形成了过参数化，模型倾向于记忆噪声而非学习模式。</w:t>
      </w:r>
    </w:p>
    <w:p w14:paraId="5C5C19D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网格搜索平均准确率排名第一，优于所有手动配置的MLP，说明参数搜索整体上有益。但选出的参数极不稳定：10次试验共产生8种不同配置，出现频次最高的配置也仅出现2次。一种常见配置为ReLU激活函数配合0.0001的正则化系数和两隐层16-8结构，另一种为Tanh配合0.0001的正则化系数和两隐层64-32结构。这表明在小数据集上，交叉验证每轮选出的最优参数高度依赖当次的数据划分，不应将其视为全局最优。但从平均效果来看，扫描参数空间这一动作确实能提升性能——只是不应过度信赖单次搜索结果。</w:t>
      </w:r>
    </w:p>
    <w:p w14:paraId="0DBDBCE1">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手动两隐层16-8的正则化系数为0.001，而网格搜索更倾向于选到0.0001，即更弱的正则化。对Iris这种简单数据，适度放松正则化让模型更充分地拟合训练集，约为网格搜索版本带来了额外收益，但代价是增加了过拟合风险。</w:t>
      </w:r>
    </w:p>
    <w:p w14:paraId="4201C9FA">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83860" cy="3615055"/>
            <wp:effectExtent l="0" t="0" r="2540" b="4445"/>
            <wp:docPr id="7" name="图片 7" descr="05_mlp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5_mlp_analysi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5483860" cy="3615055"/>
                    </a:xfrm>
                    <a:prstGeom prst="rect">
                      <a:avLst/>
                    </a:prstGeom>
                  </pic:spPr>
                </pic:pic>
              </a:graphicData>
            </a:graphic>
          </wp:inline>
        </w:drawing>
      </w:r>
    </w:p>
    <w:p w14:paraId="376394B5">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图6 MLP深入分析：左上为四种手动架构与网格搜索最优的准确率对比（末次划分）；右上为三隐层32-16-8的训练损失曲线；中右为网格搜索混淆矩阵（10次拼接）；左下为网格搜索中不同架构随正则化系数α变化的交叉验证准确率，右下为L2正则强度扫描与激活函数对比</w:t>
      </w:r>
    </w:p>
    <w:p w14:paraId="0B78FA83">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2937510" cy="2022475"/>
            <wp:effectExtent l="0" t="0" r="8890" b="9525"/>
            <wp:docPr id="8" name="图片 8" descr="11_mlp_training_cur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11_mlp_training_curves"/>
                    <pic:cNvPicPr>
                      <a:picLocks noChangeAspect="1"/>
                    </pic:cNvPicPr>
                  </pic:nvPicPr>
                  <pic:blipFill>
                    <a:blip r:embed="rId18">
                      <a:extLst>
                        <a:ext uri="{96DAC541-7B7A-43D3-8B79-37D633B846F1}">
                          <asvg:svgBlip xmlns:asvg="http://schemas.microsoft.com/office/drawing/2016/SVG/main" r:embed="rId19"/>
                        </a:ext>
                      </a:extLst>
                    </a:blip>
                    <a:stretch>
                      <a:fillRect/>
                    </a:stretch>
                  </pic:blipFill>
                  <pic:spPr>
                    <a:xfrm>
                      <a:off x="0" y="0"/>
                      <a:ext cx="2937510" cy="2022475"/>
                    </a:xfrm>
                    <a:prstGeom prst="rect">
                      <a:avLst/>
                    </a:prstGeom>
                  </pic:spPr>
                </pic:pic>
              </a:graphicData>
            </a:graphic>
          </wp:inline>
        </w:drawing>
      </w:r>
    </w:p>
    <w:p w14:paraId="0AE9204C">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图7 MLP不同隐层架构的训练损失曲线：对比两隐层16-8、三隐层32-16-8、两隐层64-32三种配置在末次划分上的损失下降过程，标注各自最终测试准确率</w:t>
      </w:r>
    </w:p>
    <w:p w14:paraId="48B2F281">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rPr>
          <w:rFonts w:ascii="Times New Roman" w:hAnsi="Times New Roman" w:eastAsia="宋体" w:cs="Times New Roman"/>
          <w:b/>
          <w:i w:val="0"/>
          <w:color w:val="000000"/>
          <w:sz w:val="28"/>
        </w:rPr>
      </w:pPr>
      <w:r>
        <w:rPr>
          <w:rFonts w:ascii="Times New Roman" w:hAnsi="Times New Roman" w:eastAsia="宋体" w:cs="Times New Roman"/>
          <w:b/>
          <w:i w:val="0"/>
          <w:color w:val="000000"/>
          <w:sz w:val="28"/>
        </w:rPr>
        <w:t>3.4决策树与集成方法</w:t>
      </w:r>
    </w:p>
    <w:p w14:paraId="2C50D483">
      <w:pPr>
        <w:keepNext w:val="0"/>
        <w:keepLines w:val="0"/>
        <w:pageBreakBefore w:val="0"/>
        <w:widowControl w:val="0"/>
        <w:kinsoku/>
        <w:wordWrap/>
        <w:overflowPunct/>
        <w:topLinePunct w:val="0"/>
        <w:autoSpaceDE/>
        <w:autoSpaceDN/>
        <w:bidi w:val="0"/>
        <w:adjustRightInd/>
        <w:snapToGrid/>
        <w:spacing w:before="240" w:after="120" w:line="300" w:lineRule="auto"/>
        <w:jc w:val="center"/>
        <w:textAlignment w:val="auto"/>
        <w:rPr>
          <w:rFonts w:hint="eastAsia" w:eastAsia="宋体"/>
          <w:lang w:eastAsia="zh-CN"/>
        </w:rPr>
      </w:pPr>
      <w:r>
        <w:rPr>
          <w:rFonts w:hint="eastAsia" w:eastAsia="宋体"/>
          <w:lang w:eastAsia="zh-CN"/>
        </w:rPr>
        <w:drawing>
          <wp:inline distT="0" distB="0" distL="114300" distR="114300">
            <wp:extent cx="5024755" cy="3545840"/>
            <wp:effectExtent l="0" t="0" r="4445" b="10160"/>
            <wp:docPr id="9" name="图片 9" descr="08_decision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8_decision_tree"/>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024755" cy="3545840"/>
                    </a:xfrm>
                    <a:prstGeom prst="rect">
                      <a:avLst/>
                    </a:prstGeom>
                  </pic:spPr>
                </pic:pic>
              </a:graphicData>
            </a:graphic>
          </wp:inline>
        </w:drawing>
      </w:r>
    </w:p>
    <w:p w14:paraId="743547C3">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hint="eastAsia" w:eastAsia="宋体"/>
          <w:lang w:eastAsia="zh-CN"/>
        </w:rPr>
      </w:pPr>
      <w:r>
        <w:rPr>
          <w:rFonts w:ascii="Times New Roman" w:hAnsi="Times New Roman" w:eastAsia="宋体" w:cs="Times New Roman"/>
          <w:b w:val="0"/>
          <w:i w:val="0"/>
          <w:color w:val="000000"/>
          <w:sz w:val="24"/>
        </w:rPr>
        <w:t>图8决策树分析：左上为深度3的决策树完整结构可视化（节点标注分裂特征与阈值）；左下为深度1至10的训练-测试准确率曲线，红线标注max_depth=3的位置；右侧为混淆矩阵（10次拼接）</w:t>
      </w:r>
    </w:p>
    <w:p w14:paraId="34F52C48">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hint="eastAsia" w:eastAsia="宋体"/>
          <w:lang w:eastAsia="zh-CN"/>
        </w:rPr>
      </w:pPr>
      <w:r>
        <w:rPr>
          <w:rFonts w:ascii="Times New Roman" w:hAnsi="Times New Roman" w:eastAsia="宋体" w:cs="Times New Roman"/>
          <w:b w:val="0"/>
          <w:i w:val="0"/>
          <w:color w:val="000000"/>
          <w:sz w:val="24"/>
        </w:rPr>
        <w:t>决策树以95.1%排第三，标准差2.8%居中。但随机森林仅94.4%，集成之后反而下降了0.7个百分点。这一结果与集成学习的普遍预期相反，原因是Iris只有4个特征，随机森林每棵树每次分裂仅随机选取其中2个，有约一半的概率看不到花瓣宽等关键特征，只能依赖信息量较小的花萼特征做次优分裂。随机子空间在多特征场景下提供多样性收益，但在此处被特征匮乏所抵消。</w:t>
      </w:r>
    </w:p>
    <w:p w14:paraId="41C4B995">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梯度提升树以93.6%排名最低。Boosting每轮迭代试图纠正前一轮的残差，但训练集仅105条样本，每棵树拟合的残差中噪声占比较高，逐轮累积可能放大偏差而非改善性能。</w:t>
      </w:r>
    </w:p>
    <w:p w14:paraId="6D1D6AB0">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5370830" cy="3814445"/>
            <wp:effectExtent l="0" t="0" r="1270" b="8255"/>
            <wp:docPr id="10" name="图片 10" descr="07_gradient_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7_gradient_boosting"/>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370830" cy="3814445"/>
                    </a:xfrm>
                    <a:prstGeom prst="rect">
                      <a:avLst/>
                    </a:prstGeom>
                  </pic:spPr>
                </pic:pic>
              </a:graphicData>
            </a:graphic>
          </wp:inline>
        </w:drawing>
      </w:r>
    </w:p>
    <w:p w14:paraId="4DB4856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图9梯度提升树分析：特征重要性排序、估计器数量1至200的扫描曲线、混淆矩阵（10次拼接）、学习率0.01至1.0的扫描曲线</w:t>
      </w:r>
    </w:p>
    <w:p w14:paraId="79C0192D">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5012690" cy="3555365"/>
            <wp:effectExtent l="0" t="0" r="3810" b="635"/>
            <wp:docPr id="11" name="图片 11" descr="06_random_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06_random_forest"/>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012690" cy="3555365"/>
                    </a:xfrm>
                    <a:prstGeom prst="rect">
                      <a:avLst/>
                    </a:prstGeom>
                  </pic:spPr>
                </pic:pic>
              </a:graphicData>
            </a:graphic>
          </wp:inline>
        </w:drawing>
      </w:r>
    </w:p>
    <w:p w14:paraId="5A97AE5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图10随机森林分析：特征重要性排序、估计器数量1至200的扫描曲线、混淆矩阵（10次拼接）、最大深度1至10的扫描曲线</w:t>
      </w:r>
    </w:p>
    <w:p w14:paraId="4CCA3241">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39FBF4C3">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3.5其他方法</w:t>
      </w:r>
    </w:p>
    <w:p w14:paraId="560E38CE">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逻辑回归平均94.9%，标准差2.4%，最为稳定。正则化系数的倒数C在0.001至100范围变化时，准确率基本不变，表明Iris对正则化不敏感——线性模型在该数据上的瓶颈在于表达能力本身，而非过拟合。</w:t>
      </w:r>
    </w:p>
    <w:p w14:paraId="426818FC">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5014595" cy="3480435"/>
            <wp:effectExtent l="0" t="0" r="1905" b="12065"/>
            <wp:docPr id="12" name="图片 12" descr="04_logistic_reg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4_logistic_regression"/>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014595" cy="3480435"/>
                    </a:xfrm>
                    <a:prstGeom prst="rect">
                      <a:avLst/>
                    </a:prstGeom>
                  </pic:spPr>
                </pic:pic>
              </a:graphicData>
            </a:graphic>
          </wp:inline>
        </w:drawing>
      </w:r>
    </w:p>
    <w:p w14:paraId="441AD088">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图11逻辑回归分析：左上为三类对四特征的系数热力图；右上为按平均绝对值排序的特征重要性；左下为混淆矩阵（10次拼接）；右下为C值0.001至100的扫描曲线</w:t>
      </w:r>
    </w:p>
    <w:p w14:paraId="7CE3345F">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SVM平均95.1%，排名第二。C值在0.01至100区间呈现典型U型曲线：C过小则欠拟合，过大则过拟合。核宽度γ取0.1时表现最佳。支持向量约占训练集的15%至25%，说明RBF核没有过度记忆训练样本。</w:t>
      </w:r>
    </w:p>
    <w:p w14:paraId="1FC11B99">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4943475" cy="3488055"/>
            <wp:effectExtent l="0" t="0" r="9525" b="4445"/>
            <wp:docPr id="13" name="图片 13" descr="03_svm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3_svm_analysi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4943475" cy="3488055"/>
                    </a:xfrm>
                    <a:prstGeom prst="rect">
                      <a:avLst/>
                    </a:prstGeom>
                  </pic:spPr>
                </pic:pic>
              </a:graphicData>
            </a:graphic>
          </wp:inline>
        </w:drawing>
      </w:r>
    </w:p>
    <w:p w14:paraId="3B11BC7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图12 SVM（RBF核）参数分析：左上为C值0.01至100的对数扫描曲线；右上为核宽度γ扫描曲线；左下为混淆矩阵（10次拼接）；右下为各类别支持向量数量统计</w:t>
      </w:r>
    </w:p>
    <w:p w14:paraId="04BD73D7">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KNN平均94.2%，排名靠后，k取5时表现稳健，k超过15后准确率开始下降。</w:t>
      </w:r>
    </w:p>
    <w:p w14:paraId="1CCEDC41">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4217670" cy="2140585"/>
            <wp:effectExtent l="0" t="0" r="11430" b="5715"/>
            <wp:docPr id="14" name="图片 14" descr="10_k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0_knn"/>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4217670" cy="2140585"/>
                    </a:xfrm>
                    <a:prstGeom prst="rect">
                      <a:avLst/>
                    </a:prstGeom>
                  </pic:spPr>
                </pic:pic>
              </a:graphicData>
            </a:graphic>
          </wp:inline>
        </w:drawing>
      </w:r>
    </w:p>
    <w:p w14:paraId="66614D78">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图13 KNN分析：左侧为k值1至30的准确率扫描曲线，红线标注最佳k值；右侧为k=5时的混淆矩阵（10次拼接）</w:t>
      </w:r>
    </w:p>
    <w:p w14:paraId="1CDEF026">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朴素贝叶斯平均94.7%。花瓣长与花瓣宽存在明显相关性，违反了特征独立性假设，但Iris各品种的类间区分度足够高，使得这一假设违背对最终分类的影响有限。</w:t>
      </w:r>
    </w:p>
    <w:p w14:paraId="2DAE7C7C">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4983480" cy="2564765"/>
            <wp:effectExtent l="0" t="0" r="7620" b="635"/>
            <wp:docPr id="15" name="图片 15" descr="09_naive_ba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9_naive_baye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4983480" cy="2564765"/>
                    </a:xfrm>
                    <a:prstGeom prst="rect">
                      <a:avLst/>
                    </a:prstGeom>
                  </pic:spPr>
                </pic:pic>
              </a:graphicData>
            </a:graphic>
          </wp:inline>
        </w:drawing>
      </w:r>
    </w:p>
    <w:p w14:paraId="0D952F7D">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图14高斯朴素贝叶斯分析：左侧为三类在四个特征上的标准化均值与标准差误差棒；右侧为混淆矩阵（10次拼接）</w:t>
      </w:r>
    </w:p>
    <w:p w14:paraId="7E5617B1">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52C586B6">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4. 消融实验</w:t>
      </w:r>
    </w:p>
    <w:p w14:paraId="5D8F062D">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消融实验基于末次试验的单次固定划分，随机种子固定为42，所有模型以相同种子初始化以确保可复现。四类消融结果已保存在实验会话中，可在后续分析中直接读取并重绘。</w:t>
      </w:r>
    </w:p>
    <w:p w14:paraId="42A412D9">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4.1特征消融</w:t>
      </w:r>
    </w:p>
    <w:p w14:paraId="61536B3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逐一移除4个特征后，8个基准模型的测试准确率如下：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90"/>
        <w:gridCol w:w="986"/>
        <w:gridCol w:w="700"/>
        <w:gridCol w:w="986"/>
        <w:gridCol w:w="700"/>
        <w:gridCol w:w="1751"/>
        <w:gridCol w:w="814"/>
        <w:gridCol w:w="823"/>
        <w:gridCol w:w="1150"/>
      </w:tblGrid>
      <w:tr w14:paraId="69639D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2B69EB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移除特征</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347BB04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逻辑回归</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603BE5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SVM</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8B70EB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随机森林</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82587C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KNN</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0B87A05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MLP三隐层32-16-8</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296624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GBDT</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880685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决策树</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E3C622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朴素贝叶斯</w:t>
            </w:r>
          </w:p>
        </w:tc>
      </w:tr>
      <w:tr w14:paraId="684A0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03A600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全特征</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F3CFBA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341840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0889B4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628586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3EAF9C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90BAF1A">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505469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0.978</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890230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r>
      <w:tr w14:paraId="2B544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3B079C5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花萼长</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0205885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564381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E75238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C10D98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5A5B46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0BA704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0201501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0.978</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2486DAF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r>
      <w:tr w14:paraId="6DBAD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4A1709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花萼宽</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2FD67C7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F1982C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20BBB6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B5883C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6E022B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677900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F69BF1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0.978</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32AFD0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r>
      <w:tr w14:paraId="1F890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DA1282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花瓣长</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31B858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B1B612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31D958E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2B85DDA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E28883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27DBAFC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2F186C0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397754C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0.867</w:t>
            </w:r>
          </w:p>
        </w:tc>
      </w:tr>
      <w:tr w14:paraId="1B2E9D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C51EBA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花瓣宽</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98FB27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12449A0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B0AFBF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C96F74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0.844</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7895EB0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0.933</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6E36A31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4CBC590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0.911</w:t>
            </w:r>
          </w:p>
        </w:tc>
        <w:tc>
          <w:tcPr>
            <w:tcW w:w="0" w:type="auto"/>
            <w:tcBorders>
              <w:top w:val="single" w:color="auto" w:sz="4" w:space="0"/>
              <w:left w:val="single" w:color="auto" w:sz="4" w:space="0"/>
              <w:bottom w:val="single" w:color="auto" w:sz="4" w:space="0"/>
              <w:right w:val="single" w:color="auto" w:sz="4" w:space="0"/>
            </w:tcBorders>
            <w:shd w:val="clear"/>
            <w:tcMar>
              <w:top w:w="80" w:type="dxa"/>
              <w:left w:w="80" w:type="dxa"/>
              <w:bottom w:w="80" w:type="dxa"/>
              <w:right w:w="80" w:type="dxa"/>
            </w:tcMar>
            <w:vAlign w:val="center"/>
          </w:tcPr>
          <w:p w14:paraId="5D78F55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lang w:val="en-US" w:eastAsia="zh-CN"/>
              </w:rPr>
              <w:t>0.889</w:t>
            </w:r>
          </w:p>
        </w:tc>
      </w:tr>
    </w:tbl>
    <w:p w14:paraId="3425446C">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p>
    <w:p w14:paraId="653D4835">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移除花瓣宽的影响最大：KNN下降了0.067，GBDT下降了0.022。移除花萼长或花萼宽的影响很小，部分模型甚至准确率微升——GBDT从0.911升至0.933，MLP从0.911升至0.933——说明在本次划分下花萼特征近乎噪声。</w:t>
      </w:r>
    </w:p>
    <w:p w14:paraId="15C52D98">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决策树在全特征下达到0.978，为8个模型中最高，且移除任一单特征后仍保持在0.911至0.978，是特征鲁棒性最强的模型。树模型能够在剩余特征中重新选择最优分裂点，不依赖单一特征的强弱。</w:t>
      </w:r>
    </w:p>
    <w:p w14:paraId="333EDE19">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77510" cy="3159125"/>
            <wp:effectExtent l="0" t="0" r="8890" b="3175"/>
            <wp:docPr id="16" name="图片 16" descr="ablation_01_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ablation_01_feature"/>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477510" cy="3159125"/>
                    </a:xfrm>
                    <a:prstGeom prst="rect">
                      <a:avLst/>
                    </a:prstGeom>
                  </pic:spPr>
                </pic:pic>
              </a:graphicData>
            </a:graphic>
          </wp:inline>
        </w:drawing>
      </w:r>
    </w:p>
    <w:p w14:paraId="2F7392FF">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图15特征消融热力图：左侧为逐一移除四个特征后各模型绝对准确率矩阵；右侧为准确率退化量（全特征准确率减去移除后准确率），颜色越深表示退化越严重</w:t>
      </w:r>
    </w:p>
    <w:p w14:paraId="12BA4266">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4.2数据量消融</w:t>
      </w:r>
    </w:p>
    <w:p w14:paraId="67768BA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训练比例从90%逐步减至10%，在10%条件下每个品种仅剩约3至4条训练样本。决策树从0.933降至0.622，降幅达0.311，是所有模型中最脆弱者——分裂阈值在极少量样本下很难准确估计。SVM和随机森林仍保持0.844，表现最为稳健：SVM的间隔最大化对样本稀疏不敏感，随机森林的随机采样子空间在此处反而降低了过拟合。朴素贝叶斯在10%数据下仅0.778，每类3至4条样本无法可靠估计高斯分布的均值和方差。</w:t>
      </w:r>
    </w:p>
    <w:p w14:paraId="73A5962C">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86400" cy="3110865"/>
            <wp:effectExtent l="0" t="0" r="0" b="635"/>
            <wp:docPr id="17" name="图片 17" descr="ablation_02_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ablation_02_data"/>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486400" cy="3110865"/>
                    </a:xfrm>
                    <a:prstGeom prst="rect">
                      <a:avLst/>
                    </a:prstGeom>
                  </pic:spPr>
                </pic:pic>
              </a:graphicData>
            </a:graphic>
          </wp:inline>
        </w:drawing>
      </w:r>
    </w:p>
    <w:p w14:paraId="35DAB3F4">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图16数据量消融曲线：训练比例从90%递减至10%（横轴），各模型在固定测试集上的准确率变化，每条曲线末端标注总降幅</w:t>
      </w:r>
    </w:p>
    <w:p w14:paraId="47B79856">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p>
    <w:p w14:paraId="3BCB4F79">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4.3 MLP架构消融</w:t>
      </w:r>
    </w:p>
    <w:p w14:paraId="5F76F45B">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逐一扫描宽度、深度、正则化强度和激活函数四个维度。宽度和正则化扫描以ReLU为激活函数，深度和激活函数扫描以正则化系数0.001为基准。宽度扫描从单隐层4个神经元变化至64个，深度扫描从单隐层增加至四隐层32-16-8-4，正则化系数从0扫描至1，激活函数比较ReLU、Tanh和logistic三种。</w:t>
      </w:r>
    </w:p>
    <w:p w14:paraId="4D5C3354">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宽度扫描中，4个和32个神经元最高，约93.3%，8个最低，约88.9%。准确率随宽度变化呈非单调趋势，说明小数据下网络容量被随机因素主导。深度扫描中，1到4层均在91.1%至93.3%，无单调提升趋势。正则化扫描中，系数从0到0.1均为91.1%，系数取1时升至93.3%，强正则化在此次划分中反而有益。激活函数方面，ReLU为95.6%，优于Tanh和logistic的93.3%。然而网格搜索在10次试验中时有选到Tanh的情况——交叉验证选出的最优激活函数与测试集最优不一致，再次说明CV选参在小数据上的不稳定性。</w:t>
      </w:r>
    </w:p>
    <w:p w14:paraId="10AC2149">
      <w:pPr>
        <w:keepNext w:val="0"/>
        <w:keepLines w:val="0"/>
        <w:pageBreakBefore w:val="0"/>
        <w:widowControl w:val="0"/>
        <w:kinsoku/>
        <w:wordWrap/>
        <w:overflowPunct/>
        <w:topLinePunct w:val="0"/>
        <w:autoSpaceDE/>
        <w:autoSpaceDN/>
        <w:bidi w:val="0"/>
        <w:adjustRightInd/>
        <w:snapToGrid/>
        <w:spacing w:before="0" w:after="120" w:line="360" w:lineRule="auto"/>
        <w:textAlignment w:val="auto"/>
        <w:rPr>
          <w:rFonts w:hint="eastAsia" w:eastAsia="宋体"/>
          <w:lang w:eastAsia="zh-CN"/>
        </w:rPr>
      </w:pPr>
      <w:r>
        <w:rPr>
          <w:rFonts w:hint="eastAsia" w:eastAsia="宋体"/>
          <w:lang w:eastAsia="zh-CN"/>
        </w:rPr>
        <w:drawing>
          <wp:inline distT="0" distB="0" distL="114300" distR="114300">
            <wp:extent cx="5474970" cy="3622675"/>
            <wp:effectExtent l="0" t="0" r="11430" b="9525"/>
            <wp:docPr id="18" name="图片 18" descr="ablation_03_mlp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ablation_03_mlp_architecture"/>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474970" cy="3622675"/>
                    </a:xfrm>
                    <a:prstGeom prst="rect">
                      <a:avLst/>
                    </a:prstGeom>
                  </pic:spPr>
                </pic:pic>
              </a:graphicData>
            </a:graphic>
          </wp:inline>
        </w:drawing>
      </w:r>
    </w:p>
    <w:p w14:paraId="49AFB593">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图17 MLP架构消融四维度扫描：左上为单隐层宽度扫描；右上为深度扫描（1至4隐层）；左下为L2正则化系数α扫描；右下为激活函数对比</w:t>
      </w:r>
    </w:p>
    <w:p w14:paraId="64CCCA62">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28"/>
        </w:rPr>
        <w:t>4.4预处理消融</w:t>
      </w:r>
    </w:p>
    <w:p w14:paraId="0537743D">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标准化与未标准化在末次划分上的对比如下：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005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9C3D98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模型</w:t>
            </w:r>
          </w:p>
        </w:tc>
        <w:tc>
          <w:tcPr>
            <w:tcW w:w="2160" w:type="dxa"/>
          </w:tcPr>
          <w:p w14:paraId="4FF3B6F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标准化</w:t>
            </w:r>
          </w:p>
        </w:tc>
        <w:tc>
          <w:tcPr>
            <w:tcW w:w="2160" w:type="dxa"/>
          </w:tcPr>
          <w:p w14:paraId="3E5AC4C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未标准化</w:t>
            </w:r>
          </w:p>
        </w:tc>
        <w:tc>
          <w:tcPr>
            <w:tcW w:w="2160" w:type="dxa"/>
          </w:tcPr>
          <w:p w14:paraId="6B5B070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差值</w:t>
            </w:r>
          </w:p>
        </w:tc>
      </w:tr>
      <w:tr w14:paraId="0E6E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DC0E88A">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逻辑回归</w:t>
            </w:r>
          </w:p>
        </w:tc>
        <w:tc>
          <w:tcPr>
            <w:tcW w:w="2160" w:type="dxa"/>
          </w:tcPr>
          <w:p w14:paraId="0264574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1254869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0.933</w:t>
            </w:r>
          </w:p>
        </w:tc>
        <w:tc>
          <w:tcPr>
            <w:tcW w:w="2160" w:type="dxa"/>
          </w:tcPr>
          <w:p w14:paraId="770BC8F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−0.022</w:t>
            </w:r>
          </w:p>
        </w:tc>
      </w:tr>
      <w:tr w14:paraId="3FBB6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5EF0F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SVM</w:t>
            </w:r>
          </w:p>
        </w:tc>
        <w:tc>
          <w:tcPr>
            <w:tcW w:w="2160" w:type="dxa"/>
          </w:tcPr>
          <w:p w14:paraId="7146CEE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0.933</w:t>
            </w:r>
          </w:p>
        </w:tc>
        <w:tc>
          <w:tcPr>
            <w:tcW w:w="2160" w:type="dxa"/>
          </w:tcPr>
          <w:p w14:paraId="16C66A4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0.956</w:t>
            </w:r>
          </w:p>
        </w:tc>
        <w:tc>
          <w:tcPr>
            <w:tcW w:w="2160" w:type="dxa"/>
          </w:tcPr>
          <w:p w14:paraId="524C201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−0.022</w:t>
            </w:r>
          </w:p>
        </w:tc>
      </w:tr>
      <w:tr w14:paraId="300E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CBF801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随机森林</w:t>
            </w:r>
          </w:p>
        </w:tc>
        <w:tc>
          <w:tcPr>
            <w:tcW w:w="2160" w:type="dxa"/>
          </w:tcPr>
          <w:p w14:paraId="38BD9C5A">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0.889</w:t>
            </w:r>
          </w:p>
        </w:tc>
        <w:tc>
          <w:tcPr>
            <w:tcW w:w="2160" w:type="dxa"/>
          </w:tcPr>
          <w:p w14:paraId="24DD1B9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0.889</w:t>
            </w:r>
          </w:p>
        </w:tc>
        <w:tc>
          <w:tcPr>
            <w:tcW w:w="2160" w:type="dxa"/>
          </w:tcPr>
          <w:p w14:paraId="08FFB10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0.000</w:t>
            </w:r>
          </w:p>
        </w:tc>
      </w:tr>
      <w:tr w14:paraId="56D41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CCEDCD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KNN</w:t>
            </w:r>
          </w:p>
        </w:tc>
        <w:tc>
          <w:tcPr>
            <w:tcW w:w="2160" w:type="dxa"/>
          </w:tcPr>
          <w:p w14:paraId="2E18BB5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309DF06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0.978</w:t>
            </w:r>
          </w:p>
        </w:tc>
        <w:tc>
          <w:tcPr>
            <w:tcW w:w="2160" w:type="dxa"/>
          </w:tcPr>
          <w:p w14:paraId="5FA600E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−0.067</w:t>
            </w:r>
          </w:p>
        </w:tc>
      </w:tr>
      <w:tr w14:paraId="25ABD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317640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MLP三隐层32-16-8</w:t>
            </w:r>
          </w:p>
        </w:tc>
        <w:tc>
          <w:tcPr>
            <w:tcW w:w="2160" w:type="dxa"/>
          </w:tcPr>
          <w:p w14:paraId="41C9ED8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75BD75E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0.978</w:t>
            </w:r>
          </w:p>
        </w:tc>
        <w:tc>
          <w:tcPr>
            <w:tcW w:w="2160" w:type="dxa"/>
          </w:tcPr>
          <w:p w14:paraId="79D3470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−0.067</w:t>
            </w:r>
          </w:p>
        </w:tc>
      </w:tr>
      <w:tr w14:paraId="203E6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D9BFF8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梯度提升树</w:t>
            </w:r>
          </w:p>
        </w:tc>
        <w:tc>
          <w:tcPr>
            <w:tcW w:w="2160" w:type="dxa"/>
          </w:tcPr>
          <w:p w14:paraId="6AF4DF6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4EC2D73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0.933</w:t>
            </w:r>
          </w:p>
        </w:tc>
        <w:tc>
          <w:tcPr>
            <w:tcW w:w="2160" w:type="dxa"/>
          </w:tcPr>
          <w:p w14:paraId="30F9570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−0.022</w:t>
            </w:r>
          </w:p>
        </w:tc>
      </w:tr>
      <w:tr w14:paraId="6228F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5AD583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决策树</w:t>
            </w:r>
          </w:p>
        </w:tc>
        <w:tc>
          <w:tcPr>
            <w:tcW w:w="2160" w:type="dxa"/>
          </w:tcPr>
          <w:p w14:paraId="228688F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0.978</w:t>
            </w:r>
          </w:p>
        </w:tc>
        <w:tc>
          <w:tcPr>
            <w:tcW w:w="2160" w:type="dxa"/>
          </w:tcPr>
          <w:p w14:paraId="26A26DE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0.978</w:t>
            </w:r>
          </w:p>
        </w:tc>
        <w:tc>
          <w:tcPr>
            <w:tcW w:w="2160" w:type="dxa"/>
          </w:tcPr>
          <w:p w14:paraId="0C4A2EF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0.000</w:t>
            </w:r>
          </w:p>
        </w:tc>
      </w:tr>
      <w:tr w14:paraId="57B99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B3804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朴素贝叶斯</w:t>
            </w:r>
          </w:p>
        </w:tc>
        <w:tc>
          <w:tcPr>
            <w:tcW w:w="2160" w:type="dxa"/>
          </w:tcPr>
          <w:p w14:paraId="6554A93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478DE53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0.911</w:t>
            </w:r>
          </w:p>
        </w:tc>
        <w:tc>
          <w:tcPr>
            <w:tcW w:w="2160" w:type="dxa"/>
          </w:tcPr>
          <w:p w14:paraId="40BCE16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0.000</w:t>
            </w:r>
          </w:p>
        </w:tc>
      </w:tr>
    </w:tbl>
    <w:p w14:paraId="690DE26B">
      <w:pPr>
        <w:keepNext w:val="0"/>
        <w:keepLines w:val="0"/>
        <w:pageBreakBefore w:val="0"/>
        <w:widowControl w:val="0"/>
        <w:kinsoku/>
        <w:wordWrap/>
        <w:overflowPunct/>
        <w:topLinePunct w:val="0"/>
        <w:autoSpaceDE/>
        <w:autoSpaceDN/>
        <w:bidi w:val="0"/>
        <w:adjustRightInd/>
        <w:snapToGrid/>
        <w:textAlignment w:val="auto"/>
      </w:pPr>
    </w:p>
    <w:p w14:paraId="73DDE8FD">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距离类模型标准化后反而下降，其中KNN和MLP降幅最大，达0.067。原因在于花萼特征的原始数值偏大：花萼长4.3至7.9 cm，花萼宽2.0至4.4 cm，未标准化时在欧氏距离中权重更高；花萼长与花瓣特征存在相关性，使得花萼特征通过量纲放大间接携带了判别信息。标准化消除了这一效应，导致本次划分下准确率下降。</w:t>
      </w:r>
    </w:p>
    <w:p w14:paraId="07FB904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这是本次特定划分的结果，不代表标准化在整体上有害。10次重复试验中标准化模型的总体均值更高——单以SVM为例，有标准化的10次均值为95.1%——标准化在大部分划分下是有益的。本次消融揭示了一个重要局限：单次划分下对预处理策略的判断可能被数据划分的随机性所颠倒。树模型不受标准化影响，朴素贝叶斯的高斯参数估计对标准化的依赖较小。</w:t>
      </w:r>
    </w:p>
    <w:p w14:paraId="60107196">
      <w:pPr>
        <w:keepNext w:val="0"/>
        <w:keepLines w:val="0"/>
        <w:pageBreakBefore w:val="0"/>
        <w:widowControl w:val="0"/>
        <w:kinsoku/>
        <w:wordWrap/>
        <w:overflowPunct/>
        <w:topLinePunct w:val="0"/>
        <w:autoSpaceDE/>
        <w:autoSpaceDN/>
        <w:bidi w:val="0"/>
        <w:adjustRightInd/>
        <w:snapToGrid/>
        <w:spacing w:before="0" w:after="120" w:line="360" w:lineRule="auto"/>
        <w:jc w:val="center"/>
        <w:textAlignment w:val="auto"/>
        <w:rPr>
          <w:rFonts w:hint="eastAsia" w:eastAsia="宋体"/>
          <w:lang w:eastAsia="zh-CN"/>
        </w:rPr>
      </w:pPr>
      <w:r>
        <w:rPr>
          <w:rFonts w:hint="eastAsia" w:eastAsia="宋体"/>
          <w:lang w:eastAsia="zh-CN"/>
        </w:rPr>
        <w:drawing>
          <wp:inline distT="0" distB="0" distL="114300" distR="114300">
            <wp:extent cx="5847715" cy="3315970"/>
            <wp:effectExtent l="0" t="0" r="6985" b="11430"/>
            <wp:docPr id="19" name="图片 19" descr="ablation_04_pre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ablation_04_preprocessing"/>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847715" cy="3315970"/>
                    </a:xfrm>
                    <a:prstGeom prst="rect">
                      <a:avLst/>
                    </a:prstGeom>
                  </pic:spPr>
                </pic:pic>
              </a:graphicData>
            </a:graphic>
          </wp:inline>
        </w:drawing>
      </w:r>
    </w:p>
    <w:p w14:paraId="797A0E7B">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t>图18预处理消融对比：左侧为标准化与未标准化条件下各模型准确率并排条形图；右侧为标准化带来的准确率变化（正值表示标准化有益，负值表示标准化有害）</w:t>
      </w:r>
    </w:p>
    <w:p w14:paraId="77819969">
      <w:pPr>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31466715">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5. 讨论</w:t>
      </w:r>
    </w:p>
    <w:p w14:paraId="23D3421B">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从实验结果中可归纳以下几个值得关注的方面。</w:t>
      </w:r>
    </w:p>
    <w:p w14:paraId="49F51F95">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i w:val="0"/>
          <w:color w:val="000000"/>
          <w:sz w:val="24"/>
        </w:rPr>
        <w:t>模型间差异极小，排名意义有限。</w:t>
      </w:r>
      <w:r>
        <w:rPr>
          <w:rFonts w:ascii="Times New Roman" w:hAnsi="Times New Roman" w:eastAsia="宋体" w:cs="Times New Roman"/>
          <w:b w:val="0"/>
          <w:i w:val="0"/>
          <w:color w:val="000000"/>
          <w:sz w:val="24"/>
        </w:rPr>
        <w:t>最高与最低仅差2.2个百分点，所有模型的置信区间高度重叠。在Iris上，选择哪种方法对最终准确率的影响有限——所有合理配置的模型均可达到94%以上。真正值得关注的不是排名本身，而是那些与预期方向相反的结果：集成方法不升反降、深度网络劣于浅层、标准化反降准确率。这些现象揭示了小数据集下方法行为与大数据场景的本质差异。</w:t>
      </w:r>
    </w:p>
    <w:p w14:paraId="75E9427A">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i w:val="0"/>
          <w:color w:val="000000"/>
          <w:sz w:val="24"/>
        </w:rPr>
        <w:t>网格搜索整体有益，但参数选择不可靠。</w:t>
      </w:r>
      <w:r>
        <w:rPr>
          <w:rFonts w:ascii="Times New Roman" w:hAnsi="Times New Roman" w:eastAsia="宋体" w:cs="Times New Roman"/>
          <w:b w:val="0"/>
          <w:i w:val="0"/>
          <w:color w:val="000000"/>
          <w:sz w:val="24"/>
        </w:rPr>
        <w:t>10次试验平均网格搜索确实最优，达95.8%，但每次选出的最优参数高度不一致，10次中最常见配置仅出现2次。这一现象是交叉验证在小验证集上分数方差大的直接后果。从中可得出两点认识：参数搜索本身有利，探索多种架构和超参数组合能提高性能分布的上限；但不宜将某一次交叉验证选出的参数视为固定最优，小数据集的CV搜索结果不具备参数级可复现性。</w:t>
      </w:r>
    </w:p>
    <w:p w14:paraId="4BCA44BE">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i w:val="0"/>
          <w:color w:val="000000"/>
          <w:sz w:val="24"/>
        </w:rPr>
        <w:t>集成方法在特征匮乏的数据上失效。</w:t>
      </w:r>
      <w:r>
        <w:rPr>
          <w:rFonts w:ascii="Times New Roman" w:hAnsi="Times New Roman" w:eastAsia="宋体" w:cs="Times New Roman"/>
          <w:b w:val="0"/>
          <w:i w:val="0"/>
          <w:color w:val="000000"/>
          <w:sz w:val="24"/>
        </w:rPr>
        <w:t>随机森林未能超越单棵决策树，梯度提升树直接位列末尾。4个特征中随机子空间每次仅选2个，关键特征有约一半的概率在本轮分裂中不可见，多样性收益被次优分裂所抵消。Boosting在此规模下逐轮拟合残差更接近于追踪噪声而非改善预测。这一结果说明，集成方法的正面效果以充分的特征多元化为前提。</w:t>
      </w:r>
    </w:p>
    <w:p w14:paraId="71409AC0">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rPr>
          <w:rFonts w:ascii="Times New Roman" w:hAnsi="Times New Roman" w:eastAsia="宋体" w:cs="Times New Roman"/>
          <w:b w:val="0"/>
          <w:i w:val="0"/>
          <w:color w:val="000000"/>
          <w:sz w:val="24"/>
        </w:rPr>
      </w:pPr>
      <w:r>
        <w:rPr>
          <w:rFonts w:ascii="Times New Roman" w:hAnsi="Times New Roman" w:eastAsia="宋体" w:cs="Times New Roman"/>
          <w:b/>
          <w:i w:val="0"/>
          <w:color w:val="000000"/>
          <w:sz w:val="24"/>
        </w:rPr>
        <w:t>单次划分下的任何结论都不可轻信。</w:t>
      </w:r>
      <w:r>
        <w:rPr>
          <w:rFonts w:ascii="Times New Roman" w:hAnsi="Times New Roman" w:eastAsia="宋体" w:cs="Times New Roman"/>
          <w:b w:val="0"/>
          <w:i w:val="0"/>
          <w:color w:val="000000"/>
          <w:sz w:val="24"/>
        </w:rPr>
        <w:t>标准化在本次消融中降低了距离模型的准确率，看似标准化有害，但10次重复的整体结果支持标准化的必要性。这说明对Iris这种小数据集，单一划分的结论不具备足够的稳定性——预处理决策、模型选择、参数调优的评估都必须建立在多次重复之上。</w:t>
      </w:r>
    </w:p>
    <w:p w14:paraId="0DA67C94">
      <w:pPr>
        <w:rPr>
          <w:rFonts w:ascii="Times New Roman" w:hAnsi="Times New Roman" w:eastAsia="宋体" w:cs="Times New Roman"/>
          <w:b w:val="0"/>
          <w:i w:val="0"/>
          <w:color w:val="000000"/>
          <w:sz w:val="24"/>
        </w:rPr>
      </w:pPr>
      <w:r>
        <w:rPr>
          <w:rFonts w:ascii="Times New Roman" w:hAnsi="Times New Roman" w:eastAsia="宋体" w:cs="Times New Roman"/>
          <w:b w:val="0"/>
          <w:i w:val="0"/>
          <w:color w:val="000000"/>
          <w:sz w:val="24"/>
        </w:rPr>
        <w:br w:type="page"/>
      </w:r>
    </w:p>
    <w:p w14:paraId="6645BD96">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6. 结论</w:t>
      </w:r>
    </w:p>
    <w:p w14:paraId="456D1E62">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本实验通过对Iris数据集的系统对比，得出以下主要结论：</w:t>
      </w:r>
    </w:p>
    <w:p w14:paraId="1E2D2C49">
      <w:pPr>
        <w:keepNext w:val="0"/>
        <w:keepLines w:val="0"/>
        <w:pageBreakBefore w:val="0"/>
        <w:widowControl w:val="0"/>
        <w:kinsoku/>
        <w:wordWrap/>
        <w:overflowPunct/>
        <w:topLinePunct w:val="0"/>
        <w:autoSpaceDE/>
        <w:autoSpaceDN/>
        <w:bidi w:val="0"/>
        <w:adjustRightInd/>
        <w:snapToGrid/>
        <w:spacing w:after="60" w:line="360" w:lineRule="auto"/>
        <w:ind w:firstLine="482"/>
        <w:textAlignment w:val="auto"/>
      </w:pPr>
      <w:r>
        <w:rPr>
          <w:rFonts w:ascii="Times New Roman" w:hAnsi="Times New Roman" w:eastAsia="宋体" w:cs="Times New Roman"/>
          <w:b w:val="0"/>
          <w:i w:val="0"/>
          <w:color w:val="000000"/>
          <w:sz w:val="24"/>
        </w:rPr>
        <w:t>12个模型的准确率极差仅2.2个百分点，且标准差重叠严重，严格排名意义有限。定性趋势上，浅层MLP和SVM处于第一梯队，深层MLP和梯度提升树靠后，线性模型和朴素贝叶斯居中。</w:t>
      </w:r>
    </w:p>
    <w:p w14:paraId="3C40B8BC">
      <w:pPr>
        <w:keepNext w:val="0"/>
        <w:keepLines w:val="0"/>
        <w:pageBreakBefore w:val="0"/>
        <w:widowControl w:val="0"/>
        <w:kinsoku/>
        <w:wordWrap/>
        <w:overflowPunct/>
        <w:topLinePunct w:val="0"/>
        <w:autoSpaceDE/>
        <w:autoSpaceDN/>
        <w:bidi w:val="0"/>
        <w:adjustRightInd/>
        <w:snapToGrid/>
        <w:spacing w:after="60" w:line="360" w:lineRule="auto"/>
        <w:ind w:firstLine="482"/>
        <w:textAlignment w:val="auto"/>
      </w:pPr>
      <w:r>
        <w:rPr>
          <w:rFonts w:ascii="Times New Roman" w:hAnsi="Times New Roman" w:eastAsia="宋体" w:cs="Times New Roman"/>
          <w:b w:val="0"/>
          <w:i w:val="0"/>
          <w:color w:val="000000"/>
          <w:sz w:val="24"/>
        </w:rPr>
        <w:t>网格搜索在平均意义上表现最优，达95.8%，但参数选择极不稳定，10次中仅出现2次相同配置。参数搜索整体有益，但不应将单次CV结果视为最优参数。</w:t>
      </w:r>
    </w:p>
    <w:p w14:paraId="62765855">
      <w:pPr>
        <w:keepNext w:val="0"/>
        <w:keepLines w:val="0"/>
        <w:pageBreakBefore w:val="0"/>
        <w:widowControl w:val="0"/>
        <w:kinsoku/>
        <w:wordWrap/>
        <w:overflowPunct/>
        <w:topLinePunct w:val="0"/>
        <w:autoSpaceDE/>
        <w:autoSpaceDN/>
        <w:bidi w:val="0"/>
        <w:adjustRightInd/>
        <w:snapToGrid/>
        <w:spacing w:after="60" w:line="360" w:lineRule="auto"/>
        <w:ind w:firstLine="482"/>
        <w:textAlignment w:val="auto"/>
      </w:pPr>
      <w:r>
        <w:rPr>
          <w:rFonts w:ascii="Times New Roman" w:hAnsi="Times New Roman" w:eastAsia="宋体" w:cs="Times New Roman"/>
          <w:b w:val="0"/>
          <w:i w:val="0"/>
          <w:color w:val="000000"/>
          <w:sz w:val="24"/>
        </w:rPr>
        <w:t>集成方法在4特征空间中均未超越单棵决策树，甚至更差。特征匮乏使集成的多样性收益不足以弥补次优分裂的代价。</w:t>
      </w:r>
    </w:p>
    <w:p w14:paraId="542F8A28">
      <w:pPr>
        <w:keepNext w:val="0"/>
        <w:keepLines w:val="0"/>
        <w:pageBreakBefore w:val="0"/>
        <w:widowControl w:val="0"/>
        <w:kinsoku/>
        <w:wordWrap/>
        <w:overflowPunct/>
        <w:topLinePunct w:val="0"/>
        <w:autoSpaceDE/>
        <w:autoSpaceDN/>
        <w:bidi w:val="0"/>
        <w:adjustRightInd/>
        <w:snapToGrid/>
        <w:spacing w:after="60" w:line="360" w:lineRule="auto"/>
        <w:ind w:firstLine="482"/>
        <w:textAlignment w:val="auto"/>
      </w:pPr>
      <w:r>
        <w:rPr>
          <w:rFonts w:ascii="Times New Roman" w:hAnsi="Times New Roman" w:eastAsia="宋体" w:cs="Times New Roman"/>
          <w:b w:val="0"/>
          <w:i w:val="0"/>
          <w:color w:val="000000"/>
          <w:sz w:val="24"/>
        </w:rPr>
        <w:t>花瓣宽和花瓣长是最关键的分类特征，</w:t>
      </w:r>
      <w:bookmarkStart w:id="0" w:name="_GoBack"/>
      <w:bookmarkEnd w:id="0"/>
      <w:r>
        <w:rPr>
          <w:rFonts w:ascii="Times New Roman" w:hAnsi="Times New Roman" w:eastAsia="宋体" w:cs="Times New Roman"/>
          <w:b w:val="0"/>
          <w:i w:val="0"/>
          <w:color w:val="000000"/>
          <w:sz w:val="24"/>
        </w:rPr>
        <w:t>花萼特征的单独贡献极小，但在未标准化条件下可通过量纲放大间接影响距离模型。</w:t>
      </w:r>
    </w:p>
    <w:p w14:paraId="0CEC8D50">
      <w:pPr>
        <w:keepNext w:val="0"/>
        <w:keepLines w:val="0"/>
        <w:pageBreakBefore w:val="0"/>
        <w:widowControl w:val="0"/>
        <w:kinsoku/>
        <w:wordWrap/>
        <w:overflowPunct/>
        <w:topLinePunct w:val="0"/>
        <w:autoSpaceDE/>
        <w:autoSpaceDN/>
        <w:bidi w:val="0"/>
        <w:adjustRightInd/>
        <w:snapToGrid/>
        <w:spacing w:after="60" w:line="360" w:lineRule="auto"/>
        <w:ind w:firstLine="482"/>
        <w:textAlignment w:val="auto"/>
      </w:pPr>
      <w:r>
        <w:rPr>
          <w:rFonts w:ascii="Times New Roman" w:hAnsi="Times New Roman" w:eastAsia="宋体" w:cs="Times New Roman"/>
          <w:b w:val="0"/>
          <w:i w:val="0"/>
          <w:color w:val="000000"/>
          <w:sz w:val="24"/>
        </w:rPr>
        <w:t>在小数据集上，单次划分的结论可能被随机性完全颠覆。多次重复、拼接评估和消融分析是获得可靠结论的三个必要环节。</w:t>
      </w:r>
    </w:p>
    <w:p w14:paraId="4810BAC4">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rPr>
          <w:rFonts w:hint="default" w:eastAsia="宋体"/>
          <w:lang w:val="en-US" w:eastAsia="zh-CN"/>
        </w:rPr>
      </w:pPr>
      <w:r>
        <w:rPr>
          <w:rFonts w:ascii="Times New Roman" w:hAnsi="Times New Roman" w:eastAsia="宋体" w:cs="Times New Roman"/>
          <w:b/>
          <w:i w:val="0"/>
          <w:color w:val="000000"/>
          <w:sz w:val="32"/>
        </w:rPr>
        <w:t>附录：图表索引</w:t>
      </w:r>
      <w:r>
        <w:rPr>
          <w:rFonts w:hint="eastAsia" w:cs="Times New Roman"/>
          <w:b/>
          <w:i w:val="0"/>
          <w:color w:val="000000"/>
          <w:sz w:val="32"/>
          <w:lang w:val="en-US" w:eastAsia="zh-CN"/>
        </w:rPr>
        <w:t>原始代码</w:t>
      </w:r>
      <w:r>
        <w:rPr>
          <w:rFonts w:hint="eastAsia" w:cs="Times New Roman"/>
          <w:b/>
          <w:i w:val="0"/>
          <w:color w:val="000000"/>
          <w:sz w:val="32"/>
          <w:lang w:val="en-US" w:eastAsia="zh-CN"/>
        </w:rPr>
        <w:br w:type="textWrapping"/>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D4B8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A275B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图号</w:t>
            </w:r>
          </w:p>
        </w:tc>
        <w:tc>
          <w:tcPr>
            <w:tcW w:w="4320" w:type="dxa"/>
          </w:tcPr>
          <w:p w14:paraId="2FD8E68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i w:val="0"/>
                <w:color w:val="000000"/>
                <w:sz w:val="24"/>
              </w:rPr>
              <w:t>内容描述</w:t>
            </w:r>
          </w:p>
        </w:tc>
      </w:tr>
      <w:tr w14:paraId="1B35A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7A742C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w:t>
            </w:r>
          </w:p>
        </w:tc>
        <w:tc>
          <w:tcPr>
            <w:tcW w:w="4320" w:type="dxa"/>
          </w:tcPr>
          <w:p w14:paraId="32F3672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Iris数据集探索（三类散点图矩阵、类别饼图、特征箱线图）</w:t>
            </w:r>
          </w:p>
        </w:tc>
      </w:tr>
      <w:tr w14:paraId="48FDB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785A9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图2</w:t>
            </w:r>
          </w:p>
        </w:tc>
        <w:tc>
          <w:tcPr>
            <w:tcW w:w="4320" w:type="dxa"/>
          </w:tcPr>
          <w:p w14:paraId="29C400D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八模型在花瓣长-宽平面上的决策边界对比</w:t>
            </w:r>
          </w:p>
        </w:tc>
      </w:tr>
      <w:tr w14:paraId="05E7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0061E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图3</w:t>
            </w:r>
          </w:p>
        </w:tc>
        <w:tc>
          <w:tcPr>
            <w:tcW w:w="4320" w:type="dxa"/>
          </w:tcPr>
          <w:p w14:paraId="1DDA3C4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综合对比总结（10次准确率排名含误差棒、各类别F1、ROC曲线）</w:t>
            </w:r>
          </w:p>
        </w:tc>
      </w:tr>
      <w:tr w14:paraId="0B140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BF0F9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图4</w:t>
            </w:r>
          </w:p>
        </w:tc>
        <w:tc>
          <w:tcPr>
            <w:tcW w:w="4320" w:type="dxa"/>
          </w:tcPr>
          <w:p w14:paraId="4A96222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八方法混淆矩阵汇总（10次试验预测拼接）</w:t>
            </w:r>
          </w:p>
        </w:tc>
      </w:tr>
      <w:tr w14:paraId="48DD9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2FE11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图5</w:t>
            </w:r>
          </w:p>
        </w:tc>
        <w:tc>
          <w:tcPr>
            <w:tcW w:w="4320" w:type="dxa"/>
          </w:tcPr>
          <w:p w14:paraId="7CCB2A2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六模型5折交叉验证对比（10次试验各5折取均值）</w:t>
            </w:r>
          </w:p>
        </w:tc>
      </w:tr>
      <w:tr w14:paraId="0FC34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582E9">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图6</w:t>
            </w:r>
          </w:p>
        </w:tc>
        <w:tc>
          <w:tcPr>
            <w:tcW w:w="4320" w:type="dxa"/>
          </w:tcPr>
          <w:p w14:paraId="2A480EA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MLP深入分析（架构对比、损失曲线、网格搜索、正则化与激活函数扫描）</w:t>
            </w:r>
          </w:p>
        </w:tc>
      </w:tr>
      <w:tr w14:paraId="1BDE0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B5FF50">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图7</w:t>
            </w:r>
          </w:p>
        </w:tc>
        <w:tc>
          <w:tcPr>
            <w:tcW w:w="4320" w:type="dxa"/>
          </w:tcPr>
          <w:p w14:paraId="273C51C2">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MLP不同隐层架构训练损失曲线对比</w:t>
            </w:r>
          </w:p>
        </w:tc>
      </w:tr>
      <w:tr w14:paraId="456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11465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图8</w:t>
            </w:r>
          </w:p>
        </w:tc>
        <w:tc>
          <w:tcPr>
            <w:tcW w:w="4320" w:type="dxa"/>
          </w:tcPr>
          <w:p w14:paraId="1FE5CB5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决策树分析（树结构可视化、深度-过拟合曲线、混淆矩阵）</w:t>
            </w:r>
          </w:p>
        </w:tc>
      </w:tr>
      <w:tr w14:paraId="4BAA0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4D89AD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图9</w:t>
            </w:r>
          </w:p>
        </w:tc>
        <w:tc>
          <w:tcPr>
            <w:tcW w:w="4320" w:type="dxa"/>
          </w:tcPr>
          <w:p w14:paraId="67F31F7B">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梯度提升树分析（特征重要性、估计器数量扫描、混淆矩阵、学习率扫描）</w:t>
            </w:r>
          </w:p>
        </w:tc>
      </w:tr>
      <w:tr w14:paraId="4D8C7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4127283">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图10</w:t>
            </w:r>
          </w:p>
        </w:tc>
        <w:tc>
          <w:tcPr>
            <w:tcW w:w="4320" w:type="dxa"/>
          </w:tcPr>
          <w:p w14:paraId="02C8500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随机森林分析（特征重要性、估计器数量扫描、混淆矩阵、深度扫描）</w:t>
            </w:r>
          </w:p>
        </w:tc>
      </w:tr>
      <w:tr w14:paraId="2D35C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A9A4AF8">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图11</w:t>
            </w:r>
          </w:p>
        </w:tc>
        <w:tc>
          <w:tcPr>
            <w:tcW w:w="4320" w:type="dxa"/>
          </w:tcPr>
          <w:p w14:paraId="60B79A0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逻辑回归分析（系数热力图、特征重要性、混淆矩阵、C值扫描）</w:t>
            </w:r>
          </w:p>
        </w:tc>
      </w:tr>
      <w:tr w14:paraId="439E9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9A44A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图12</w:t>
            </w:r>
          </w:p>
        </w:tc>
        <w:tc>
          <w:tcPr>
            <w:tcW w:w="4320" w:type="dxa"/>
          </w:tcPr>
          <w:p w14:paraId="550DC92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SVM（RBF核）参数分析（C值扫描、γ扫描、混淆矩阵、支持向量统计）</w:t>
            </w:r>
          </w:p>
        </w:tc>
      </w:tr>
      <w:tr w14:paraId="17452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7F8D68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图13</w:t>
            </w:r>
          </w:p>
        </w:tc>
        <w:tc>
          <w:tcPr>
            <w:tcW w:w="4320" w:type="dxa"/>
          </w:tcPr>
          <w:p w14:paraId="6F67DFCE">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KNN分析（k值1至30扫描、混淆矩阵）</w:t>
            </w:r>
          </w:p>
        </w:tc>
      </w:tr>
      <w:tr w14:paraId="14C11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FCAAD14">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图14</w:t>
            </w:r>
          </w:p>
        </w:tc>
        <w:tc>
          <w:tcPr>
            <w:tcW w:w="4320" w:type="dxa"/>
          </w:tcPr>
          <w:p w14:paraId="37F063D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高斯朴素贝叶斯分析（各类别均值±标准差、混淆矩阵）</w:t>
            </w:r>
          </w:p>
        </w:tc>
      </w:tr>
      <w:tr w14:paraId="1E057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856C0F6">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图15</w:t>
            </w:r>
          </w:p>
        </w:tc>
        <w:tc>
          <w:tcPr>
            <w:tcW w:w="4320" w:type="dxa"/>
          </w:tcPr>
          <w:p w14:paraId="61F7EFCF">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特征消融热力图（移除各特征后准确率及退化量）</w:t>
            </w:r>
          </w:p>
        </w:tc>
      </w:tr>
      <w:tr w14:paraId="68EF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A58D971">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图16</w:t>
            </w:r>
          </w:p>
        </w:tc>
        <w:tc>
          <w:tcPr>
            <w:tcW w:w="4320" w:type="dxa"/>
          </w:tcPr>
          <w:p w14:paraId="6DEF4C45">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数据量消融曲线（训练比例90%至10%）</w:t>
            </w:r>
          </w:p>
        </w:tc>
      </w:tr>
      <w:tr w14:paraId="77991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42DBAAD">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图17</w:t>
            </w:r>
          </w:p>
        </w:tc>
        <w:tc>
          <w:tcPr>
            <w:tcW w:w="4320" w:type="dxa"/>
          </w:tcPr>
          <w:p w14:paraId="482B551A">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MLP架构消融（宽度、深度、正则化强度、激活函数四维度扫描）</w:t>
            </w:r>
          </w:p>
        </w:tc>
      </w:tr>
      <w:tr w14:paraId="498CB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FE2EA57">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图18</w:t>
            </w:r>
          </w:p>
        </w:tc>
        <w:tc>
          <w:tcPr>
            <w:tcW w:w="4320" w:type="dxa"/>
          </w:tcPr>
          <w:p w14:paraId="77C3B87C">
            <w:pPr>
              <w:keepNext w:val="0"/>
              <w:keepLines w:val="0"/>
              <w:pageBreakBefore w:val="0"/>
              <w:widowControl w:val="0"/>
              <w:kinsoku/>
              <w:wordWrap/>
              <w:overflowPunct/>
              <w:topLinePunct w:val="0"/>
              <w:autoSpaceDE/>
              <w:autoSpaceDN/>
              <w:bidi w:val="0"/>
              <w:adjustRightInd/>
              <w:snapToGrid/>
              <w:spacing w:after="0" w:line="240" w:lineRule="auto"/>
              <w:jc w:val="center"/>
              <w:textAlignment w:val="auto"/>
            </w:pPr>
            <w:r>
              <w:rPr>
                <w:rFonts w:ascii="Times New Roman" w:hAnsi="Times New Roman" w:eastAsia="宋体" w:cs="Times New Roman"/>
                <w:b w:val="0"/>
                <w:i w:val="0"/>
                <w:color w:val="000000"/>
                <w:sz w:val="24"/>
              </w:rPr>
              <w:t>预处理消融对比（标准化与未标准化准确率及差值）</w:t>
            </w:r>
          </w:p>
        </w:tc>
      </w:tr>
    </w:tbl>
    <w:p w14:paraId="44C16C59">
      <w:pPr>
        <w:keepNext w:val="0"/>
        <w:keepLines w:val="0"/>
        <w:pageBreakBefore w:val="0"/>
        <w:widowControl w:val="0"/>
        <w:kinsoku/>
        <w:wordWrap/>
        <w:overflowPunct/>
        <w:topLinePunct w:val="0"/>
        <w:autoSpaceDE/>
        <w:autoSpaceDN/>
        <w:bidi w:val="0"/>
        <w:adjustRightInd/>
        <w:snapToGrid/>
        <w:textAlignment w:val="auto"/>
      </w:pPr>
    </w:p>
    <w:p w14:paraId="51FEECC9">
      <w:pPr>
        <w:keepNext w:val="0"/>
        <w:keepLines w:val="0"/>
        <w:pageBreakBefore w:val="0"/>
        <w:widowControl w:val="0"/>
        <w:kinsoku/>
        <w:wordWrap/>
        <w:overflowPunct/>
        <w:topLinePunct w:val="0"/>
        <w:autoSpaceDE/>
        <w:autoSpaceDN/>
        <w:bidi w:val="0"/>
        <w:adjustRightInd/>
        <w:snapToGrid/>
        <w:textAlignment w:val="auto"/>
        <w:rPr>
          <w:rFonts w:hint="default" w:eastAsia="宋体"/>
          <w:lang w:val="en-US" w:eastAsia="zh-CN"/>
        </w:rPr>
      </w:pPr>
    </w:p>
    <w:p w14:paraId="016C4915">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rPr>
          <w:rFonts w:ascii="Times New Roman" w:hAnsi="Times New Roman" w:eastAsia="宋体" w:cs="Times New Roman"/>
          <w:b/>
          <w:i w:val="0"/>
          <w:color w:val="000000"/>
          <w:sz w:val="32"/>
        </w:rPr>
      </w:pPr>
    </w:p>
    <w:p w14:paraId="37178856">
      <w:pPr>
        <w:keepNext w:val="0"/>
        <w:keepLines w:val="0"/>
        <w:pageBreakBefore w:val="0"/>
        <w:widowControl w:val="0"/>
        <w:kinsoku/>
        <w:wordWrap/>
        <w:overflowPunct/>
        <w:topLinePunct w:val="0"/>
        <w:autoSpaceDE/>
        <w:autoSpaceDN/>
        <w:bidi w:val="0"/>
        <w:adjustRightInd/>
        <w:snapToGrid/>
        <w:spacing w:before="240" w:after="120" w:line="300" w:lineRule="auto"/>
        <w:jc w:val="left"/>
        <w:textAlignment w:val="auto"/>
      </w:pPr>
      <w:r>
        <w:rPr>
          <w:rFonts w:ascii="Times New Roman" w:hAnsi="Times New Roman" w:eastAsia="宋体" w:cs="Times New Roman"/>
          <w:b/>
          <w:i w:val="0"/>
          <w:color w:val="000000"/>
          <w:sz w:val="32"/>
        </w:rPr>
        <w:t>参考文献</w:t>
      </w:r>
    </w:p>
    <w:p w14:paraId="704DC581">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[1] Fisher R A. The use of multiple measurements in taxonomic problems[J]. Annals of Eugenics</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1936</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7(2): 179-188.</w:t>
      </w:r>
    </w:p>
    <w:p w14:paraId="4C31298E">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[2]周志华. 机器学习[M]. 北京: 清华大学出版社</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2016.</w:t>
      </w:r>
    </w:p>
    <w:p w14:paraId="23D2A4A8">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[3]李航. 统计学习方法（第2版）[M]. 北京: 清华大学出版社</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2019.</w:t>
      </w:r>
    </w:p>
    <w:p w14:paraId="76C3E2A7">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[4] Pedregosa F</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Varoquaux G</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Gramfort A</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et al. Scikit-learn: Machine learning in Python[J]. Journal of Machine Learning Research</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2011</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12: 2825-2830.</w:t>
      </w:r>
    </w:p>
    <w:p w14:paraId="795C519E">
      <w:pPr>
        <w:keepNext w:val="0"/>
        <w:keepLines w:val="0"/>
        <w:pageBreakBefore w:val="0"/>
        <w:widowControl w:val="0"/>
        <w:kinsoku/>
        <w:wordWrap/>
        <w:overflowPunct/>
        <w:topLinePunct w:val="0"/>
        <w:autoSpaceDE/>
        <w:autoSpaceDN/>
        <w:bidi w:val="0"/>
        <w:adjustRightInd/>
        <w:snapToGrid/>
        <w:spacing w:before="0" w:after="120" w:line="360" w:lineRule="auto"/>
        <w:ind w:firstLine="482"/>
        <w:textAlignment w:val="auto"/>
      </w:pPr>
      <w:r>
        <w:rPr>
          <w:rFonts w:ascii="Times New Roman" w:hAnsi="Times New Roman" w:eastAsia="宋体" w:cs="Times New Roman"/>
          <w:b w:val="0"/>
          <w:i w:val="0"/>
          <w:color w:val="000000"/>
          <w:sz w:val="24"/>
        </w:rPr>
        <w:t>[5] Hastie T</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Tibshirani R</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Friedman J. The Elements of Statistical Learning: Data Mining</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Inference</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and Prediction[M]. 2nd ed. New York: Springer</w:t>
      </w:r>
      <w:r>
        <w:rPr>
          <w:rFonts w:hint="eastAsia" w:cs="Times New Roman"/>
          <w:b w:val="0"/>
          <w:i w:val="0"/>
          <w:color w:val="000000"/>
          <w:sz w:val="24"/>
          <w:lang w:eastAsia="zh-CN"/>
        </w:rPr>
        <w:t>，</w:t>
      </w:r>
      <w:r>
        <w:rPr>
          <w:rFonts w:ascii="Times New Roman" w:hAnsi="Times New Roman" w:eastAsia="宋体" w:cs="Times New Roman"/>
          <w:b w:val="0"/>
          <w:i w:val="0"/>
          <w:color w:val="000000"/>
          <w:sz w:val="24"/>
        </w:rPr>
        <w:t>2009.</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_GB2312">
    <w:panose1 w:val="02010609030101010101"/>
    <w:charset w:val="86"/>
    <w:family w:val="modern"/>
    <w:pitch w:val="default"/>
    <w:sig w:usb0="00000001" w:usb1="080E0000" w:usb2="00000000" w:usb3="00000000" w:csb0="00040000" w:csb1="00000000"/>
  </w:font>
  <w:font w:name="方正小标宋简体">
    <w:panose1 w:val="03000509000000000000"/>
    <w:charset w:val="86"/>
    <w:family w:val="script"/>
    <w:pitch w:val="default"/>
    <w:sig w:usb0="00000001" w:usb1="080E0000" w:usb2="00000000" w:usb3="00000000" w:csb0="00040000" w:csb1="00000000"/>
  </w:font>
  <w:font w:name="楷体_GB2312">
    <w:panose1 w:val="02010609030101010101"/>
    <w:charset w:val="86"/>
    <w:family w:val="auto"/>
    <w:pitch w:val="default"/>
    <w:sig w:usb0="00000001" w:usb1="080E0000" w:usb2="00000000" w:usb3="00000000" w:csb0="00040000" w:csb1="00000000"/>
  </w:font>
  <w:font w:name="Consolas">
    <w:panose1 w:val="020B0609020204030204"/>
    <w:charset w:val="00"/>
    <w:family w:val="auto"/>
    <w:pitch w:val="default"/>
    <w:sig w:usb0="E00006FF" w:usb1="0000FCFF" w:usb2="00000001" w:usb3="00000000" w:csb0="6000019F" w:csb1="DFD70000"/>
  </w:font>
  <w:font w:name="Yu Gothic Medium">
    <w:panose1 w:val="020B05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Kozuka Mincho Pr6N R">
    <w:panose1 w:val="02020400000000000000"/>
    <w:charset w:val="80"/>
    <w:family w:val="auto"/>
    <w:pitch w:val="default"/>
    <w:sig w:usb0="000002D7" w:usb1="2AC71C11" w:usb2="00000012"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277873"/>
    <w:rsid w:val="057E4A76"/>
    <w:rsid w:val="06554678"/>
    <w:rsid w:val="06EE0437"/>
    <w:rsid w:val="0B3001AC"/>
    <w:rsid w:val="139D6C7E"/>
    <w:rsid w:val="17632BD5"/>
    <w:rsid w:val="18F70777"/>
    <w:rsid w:val="1ADE6DB8"/>
    <w:rsid w:val="1C6A545F"/>
    <w:rsid w:val="21B300CF"/>
    <w:rsid w:val="259E127D"/>
    <w:rsid w:val="264E01F4"/>
    <w:rsid w:val="2708572C"/>
    <w:rsid w:val="2914516F"/>
    <w:rsid w:val="2B2100D0"/>
    <w:rsid w:val="2D0D7F80"/>
    <w:rsid w:val="2FCD07FA"/>
    <w:rsid w:val="2FD55DF3"/>
    <w:rsid w:val="31677002"/>
    <w:rsid w:val="346E05B1"/>
    <w:rsid w:val="38D44DA9"/>
    <w:rsid w:val="3C9943D8"/>
    <w:rsid w:val="3EF61A2C"/>
    <w:rsid w:val="3F692F63"/>
    <w:rsid w:val="417F6B77"/>
    <w:rsid w:val="456178D1"/>
    <w:rsid w:val="46824303"/>
    <w:rsid w:val="46C2478C"/>
    <w:rsid w:val="47E876BD"/>
    <w:rsid w:val="538139B9"/>
    <w:rsid w:val="596D0588"/>
    <w:rsid w:val="5AEE7EE1"/>
    <w:rsid w:val="5BAE679D"/>
    <w:rsid w:val="6069670F"/>
    <w:rsid w:val="60ED42E9"/>
    <w:rsid w:val="62664FC1"/>
    <w:rsid w:val="651B2C0F"/>
    <w:rsid w:val="69CC4E56"/>
    <w:rsid w:val="6D316241"/>
    <w:rsid w:val="6DEB6FAB"/>
    <w:rsid w:val="71AA1F21"/>
    <w:rsid w:val="786707CA"/>
    <w:rsid w:val="7AE87E01"/>
    <w:rsid w:val="7B8437E3"/>
    <w:rsid w:val="7B8C74D1"/>
    <w:rsid w:val="7CDB518C"/>
    <w:rsid w:val="7D8E3B93"/>
    <w:rsid w:val="7E5A1F5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4" Type="http://schemas.openxmlformats.org/officeDocument/2006/relationships/fontTable" Target="fontTable.xml"/><Relationship Id="rId43" Type="http://schemas.openxmlformats.org/officeDocument/2006/relationships/customXml" Target="../customXml/item1.xml"/><Relationship Id="rId42" Type="http://schemas.openxmlformats.org/officeDocument/2006/relationships/numbering" Target="numbering.xml"/><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svg"/><Relationship Id="rId36" Type="http://schemas.openxmlformats.org/officeDocument/2006/relationships/image" Target="media/image31.png"/><Relationship Id="rId35" Type="http://schemas.openxmlformats.org/officeDocument/2006/relationships/image" Target="media/image30.svg"/><Relationship Id="rId34" Type="http://schemas.openxmlformats.org/officeDocument/2006/relationships/image" Target="media/image29.png"/><Relationship Id="rId33" Type="http://schemas.openxmlformats.org/officeDocument/2006/relationships/image" Target="media/image28.svg"/><Relationship Id="rId32" Type="http://schemas.openxmlformats.org/officeDocument/2006/relationships/image" Target="media/image27.png"/><Relationship Id="rId31" Type="http://schemas.openxmlformats.org/officeDocument/2006/relationships/image" Target="media/image26.sv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svg"/><Relationship Id="rId24" Type="http://schemas.openxmlformats.org/officeDocument/2006/relationships/image" Target="media/image19.png"/><Relationship Id="rId23" Type="http://schemas.openxmlformats.org/officeDocument/2006/relationships/image" Target="media/image18.svg"/><Relationship Id="rId22" Type="http://schemas.openxmlformats.org/officeDocument/2006/relationships/image" Target="media/image17.png"/><Relationship Id="rId21" Type="http://schemas.openxmlformats.org/officeDocument/2006/relationships/image" Target="media/image16.sv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svg"/><Relationship Id="rId18" Type="http://schemas.openxmlformats.org/officeDocument/2006/relationships/image" Target="media/image13.png"/><Relationship Id="rId17" Type="http://schemas.openxmlformats.org/officeDocument/2006/relationships/image" Target="media/image12.svg"/><Relationship Id="rId16" Type="http://schemas.openxmlformats.org/officeDocument/2006/relationships/image" Target="media/image11.png"/><Relationship Id="rId15" Type="http://schemas.openxmlformats.org/officeDocument/2006/relationships/image" Target="media/image10.svg"/><Relationship Id="rId14" Type="http://schemas.openxmlformats.org/officeDocument/2006/relationships/image" Target="media/image9.pn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7321</Words>
  <Characters>9015</Characters>
  <Lines>0</Lines>
  <Paragraphs>0</Paragraphs>
  <TotalTime>5</TotalTime>
  <ScaleCrop>false</ScaleCrop>
  <LinksUpToDate>false</LinksUpToDate>
  <CharactersWithSpaces>9227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鱼</cp:lastModifiedBy>
  <dcterms:modified xsi:type="dcterms:W3CDTF">2026-05-31T09:42:13Z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eyJoZGlkIjoiNjZhNDE1ZWU1NjRkZTE2OGNlYTg2NjY4N2FiYjU1YTciLCJ1c2VySWQiOiIzNDUxOTg0NzQifQ==</vt:lpwstr>
  </property>
  <property fmtid="{D5CDD505-2E9C-101B-9397-08002B2CF9AE}" pid="3" name="KSOProductBuildVer">
    <vt:lpwstr>2052-12.1.0.26375</vt:lpwstr>
  </property>
  <property fmtid="{D5CDD505-2E9C-101B-9397-08002B2CF9AE}" pid="4" name="ICV">
    <vt:lpwstr>335ED9F63B444FCAAD9CB05A47351977_12</vt:lpwstr>
  </property>
</Properties>
</file>