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The Jewish Mutual: blank correspondence template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INSTITUTIONAL LETTERHEAD / BLANK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General-purpose drafting aid. Do not imply that a message is sent or endorsed by The Jewish Mutual unless its authorized representative actually sends it.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[RECIPIENT NAME / TITLE / ORGANIZATION]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[CLEAR SUBJECT LINE]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</w:t>
      </w:r>
      <w:r>
        <w:rPr>
          <w:rFonts w:ascii="Aptos" w:hAnsi="Aptos"/>
          <w:b/>
          <w:i w:val="0"/>
          <w:color w:val="000000"/>
          <w:sz w:val="21"/>
        </w:rPr>
        <w:t>[RECIPIENT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[OPEN WITH THE REASON FOR WRITING AND THE SPECIFIC CONTEXT.]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[EXPLAIN THE RELEVANT FACTS BRIEFLY. INCLUDE CONFIRMED DATES, NAMES OR DETAILS ONLY.]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[STATE THE ACTION YOU ARE REQUESTING AND AN APPROPRIATE NEXT STEP.]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  <w:t>Thank you for your consideration.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[SENDER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[TITLE OR ROLE, IF RELEVANT]</w:t>
      </w:r>
      <w:r>
        <w:rPr>
          <w:rFonts w:ascii="Aptos" w:hAnsi="Aptos"/>
          <w:b w:val="0"/>
          <w:i w:val="0"/>
          <w:color w:val="000000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Jewish Mutual: blank correspondence template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