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</w:pPr>
      <w:r>
        <w:rPr>
          <w:rFonts w:ascii="Aptos" w:hAnsi="Aptos"/>
          <w:b/>
          <w:color w:val="9F5F39"/>
          <w:sz w:val="18"/>
        </w:rPr>
        <w:t>THE JEWISH MUTUAL  /  CAREER DISCOVERY FIELD GUIDE</w:t>
      </w:r>
    </w:p>
    <w:p>
      <w:pPr>
        <w:pStyle w:val="DocTitle"/>
      </w:pPr>
      <w:r>
        <w:t>Make a Career Visit Count</w:t>
      </w:r>
    </w:p>
    <w:p>
      <w:pPr>
        <w:pStyle w:val="DocMinor"/>
      </w:pPr>
      <w:r>
        <w:t>A FIELD GUIDE FOR PROFESSIONAL CONVERSATIONS &amp; WORKPLACE DISCOVERY</w:t>
      </w:r>
    </w:p>
    <w:p>
      <w:r>
        <w:t>A good career experience should help you answer a real question about a profession—not simply introduce you to someone with an impressive job title. Use this short guide to prepare, learn, and follow through.</w:t>
      </w:r>
    </w:p>
    <w:p>
      <w:pPr>
        <w:pStyle w:val="DocHead"/>
      </w:pPr>
      <w:r>
        <w:t>Before the experience</w:t>
      </w:r>
    </w:p>
    <w:p>
      <w:pPr>
        <w:pStyle w:val="ListBullet"/>
        <w:spacing w:after="80"/>
      </w:pPr>
      <w:r>
        <w:t>Choose one decision you are trying to make: Does this field suit my interests, skills, and priorities?</w:t>
      </w:r>
    </w:p>
    <w:p>
      <w:pPr>
        <w:pStyle w:val="ListBullet"/>
        <w:spacing w:after="80"/>
      </w:pPr>
      <w:r>
        <w:t>Research the profession and the host organization; prepare three questions you cannot answer easily online.</w:t>
      </w:r>
    </w:p>
    <w:p>
      <w:pPr>
        <w:pStyle w:val="ListBullet"/>
        <w:spacing w:after="80"/>
      </w:pPr>
      <w:r>
        <w:t>Confirm arrival instructions, accessibility or religious accommodation needs, dress and safety requirements, and photography rules.</w:t>
      </w:r>
    </w:p>
    <w:p>
      <w:pPr>
        <w:pStyle w:val="DocHead"/>
      </w:pPr>
      <w:r>
        <w:t>During the experience</w:t>
      </w:r>
    </w:p>
    <w:p>
      <w:pPr>
        <w:pStyle w:val="ListBullet"/>
        <w:spacing w:after="80"/>
      </w:pPr>
      <w:r>
        <w:t>Ask what an ordinary week looks like, what skills matter, and what is less visible from the outside.</w:t>
      </w:r>
    </w:p>
    <w:p>
      <w:pPr>
        <w:pStyle w:val="ListBullet"/>
        <w:spacing w:after="80"/>
      </w:pPr>
      <w:r>
        <w:t>Look at how people collaborate and make decisions, not just what their final product looks like.</w:t>
      </w:r>
    </w:p>
    <w:p>
      <w:pPr>
        <w:pStyle w:val="ListBullet"/>
        <w:spacing w:after="80"/>
      </w:pPr>
      <w:r>
        <w:t>Respect confidentiality, site policies, and time limits. Never photograph work, clients, or equipment without explicit permission.</w:t>
      </w:r>
    </w:p>
    <w:p>
      <w:pPr>
        <w:pStyle w:val="DocHead"/>
      </w:pPr>
      <w:r>
        <w:t>Questions worth asking</w:t>
      </w:r>
    </w:p>
    <w:p>
      <w:pPr>
        <w:pStyle w:val="ListBullet"/>
        <w:spacing w:after="80"/>
      </w:pPr>
      <w:r>
        <w:t>Which tasks take the most time, and what problems are most difficult?</w:t>
      </w:r>
    </w:p>
    <w:p>
      <w:pPr>
        <w:pStyle w:val="ListBullet"/>
        <w:spacing w:after="80"/>
      </w:pPr>
      <w:r>
        <w:t>What surprised you most after entering this profession?</w:t>
      </w:r>
    </w:p>
    <w:p>
      <w:pPr>
        <w:pStyle w:val="ListBullet"/>
        <w:spacing w:after="80"/>
      </w:pPr>
      <w:r>
        <w:t>If you were exploring this field today, what low-cost first step would you recommend?</w:t>
      </w:r>
    </w:p>
    <w:p>
      <w:pPr>
        <w:pStyle w:val="ListBullet"/>
        <w:spacing w:after="80"/>
      </w:pPr>
      <w:r>
        <w:t>What alternative roles use similar skills but have a different daily experience?</w:t>
      </w:r>
    </w:p>
    <w:p>
      <w:pPr>
        <w:pStyle w:val="DocHead"/>
      </w:pPr>
      <w:r>
        <w:t>After the experience</w:t>
      </w:r>
    </w:p>
    <w:p>
      <w:pPr>
        <w:pStyle w:val="ListBullet"/>
        <w:spacing w:after="80"/>
      </w:pPr>
      <w:r>
        <w:t>Write down three things you learned and one assumption that changed.</w:t>
      </w:r>
    </w:p>
    <w:p>
      <w:pPr>
        <w:pStyle w:val="ListBullet"/>
        <w:spacing w:after="80"/>
      </w:pPr>
      <w:r>
        <w:t>Decide on a concrete next action, such as a course, informational interview, portfolio experiment, or further visit.</w:t>
      </w:r>
    </w:p>
    <w:p>
      <w:pPr>
        <w:pStyle w:val="ListBullet"/>
        <w:spacing w:after="80"/>
      </w:pPr>
      <w:r>
        <w:t>Send a concise thank-you note directly to the host using your own words.</w:t>
      </w:r>
    </w:p>
    <w:p>
      <w:pPr>
        <w:spacing w:before="240"/>
      </w:pPr>
      <w:r>
        <w:rPr>
          <w:i/>
          <w:color w:val="5A6F77"/>
          <w:sz w:val="16"/>
        </w:rPr>
        <w:t>This guide is educational. Participation in a workplace visit requires host approval and compliance with applicable safety, confidentiality, and access rules.</w:t>
      </w:r>
    </w:p>
    <w:sectPr w:rsidR="00FC693F" w:rsidRPr="0006063C" w:rsidSect="00034616">
      <w:footerReference w:type="default" r:id="rId9"/>
      <w:pgSz w:w="12240" w:h="15840"/>
      <w:pgMar w:top="1181" w:right="1253" w:bottom="1109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F77"/>
        <w:sz w:val="14"/>
      </w:rPr>
      <w:t>THE JEWISH MUTUAL  ·  PRACTICAL RESOURCES  ·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1" w:lineRule="auto"/>
    </w:pPr>
    <w:rPr>
      <w:rFonts w:ascii="Aptos" w:hAnsi="Aptos"/>
      <w:color w:val="1C3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60" w:after="160"/>
    </w:pPr>
    <w:rPr>
      <w:rFonts w:ascii="Georgia" w:hAnsi="Georgia"/>
      <w:b w:val="0"/>
      <w:color w:val="1C303A"/>
      <w:sz w:val="48"/>
    </w:rPr>
  </w:style>
  <w:style w:type="paragraph" w:customStyle="1" w:styleId="DocHead">
    <w:name w:val="DocHead"/>
    <w:basedOn w:val="Normal"/>
    <w:pPr>
      <w:spacing w:before="200" w:after="160"/>
    </w:pPr>
    <w:rPr>
      <w:rFonts w:ascii="Aptos" w:hAnsi="Aptos"/>
      <w:b/>
      <w:color w:val="1C303A"/>
      <w:sz w:val="26"/>
    </w:rPr>
  </w:style>
  <w:style w:type="paragraph" w:customStyle="1" w:styleId="DocMinor">
    <w:name w:val="DocMinor"/>
    <w:basedOn w:val="Normal"/>
    <w:pPr>
      <w:spacing w:before="200" w:after="160"/>
    </w:pPr>
    <w:rPr>
      <w:rFonts w:ascii="Aptos" w:hAnsi="Aptos"/>
      <w:b/>
      <w:color w:val="9F5F3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