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76503">
      <w:pPr>
        <w:spacing w:before="160" w:after="480" w:line="240" w:lineRule="auto"/>
        <w:ind w:firstLine="0"/>
        <w:jc w:val="center"/>
        <w:rPr>
          <w:rFonts w:hint="eastAsia"/>
        </w:rPr>
      </w:pPr>
      <w:r>
        <w:drawing>
          <wp:inline distT="0" distB="0" distL="0" distR="0">
            <wp:extent cx="1403985" cy="1521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152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1190">
      <w:pPr>
        <w:pStyle w:val="21"/>
        <w:spacing w:after="240" w:line="312" w:lineRule="auto"/>
        <w:jc w:val="center"/>
        <w:rPr>
          <w:rFonts w:hint="eastAsia"/>
        </w:rPr>
      </w:pPr>
      <w:r>
        <w:rPr>
          <w:sz w:val="56"/>
        </w:rPr>
        <w:t>中国科学技术大学</w:t>
      </w:r>
    </w:p>
    <w:p w14:paraId="00FD8354">
      <w:pPr>
        <w:pStyle w:val="21"/>
        <w:spacing w:after="240" w:line="312" w:lineRule="auto"/>
        <w:jc w:val="center"/>
        <w:rPr>
          <w:rFonts w:hint="eastAsia"/>
        </w:rPr>
      </w:pPr>
      <w:r>
        <w:rPr>
          <w:sz w:val="56"/>
        </w:rPr>
        <w:t>学生排球协会</w:t>
      </w:r>
    </w:p>
    <w:p w14:paraId="18A3E1F8">
      <w:pPr>
        <w:pStyle w:val="21"/>
        <w:spacing w:after="240" w:line="312" w:lineRule="auto"/>
        <w:jc w:val="center"/>
        <w:rPr>
          <w:rFonts w:hint="eastAsia"/>
        </w:rPr>
      </w:pPr>
      <w:r>
        <w:rPr>
          <w:sz w:val="64"/>
        </w:rPr>
        <w:t>4v4 排球比赛</w:t>
      </w:r>
    </w:p>
    <w:p w14:paraId="6220A043">
      <w:pPr>
        <w:pStyle w:val="21"/>
        <w:spacing w:after="900" w:line="312" w:lineRule="auto"/>
        <w:jc w:val="center"/>
        <w:rPr>
          <w:rFonts w:hint="eastAsia"/>
        </w:rPr>
      </w:pPr>
      <w:r>
        <w:rPr>
          <w:sz w:val="84"/>
        </w:rPr>
        <w:t>策  划  书</w:t>
      </w:r>
    </w:p>
    <w:p w14:paraId="11C72E26">
      <w:pPr>
        <w:rPr>
          <w:rFonts w:hint="eastAsia"/>
        </w:rPr>
      </w:pPr>
    </w:p>
    <w:p w14:paraId="23A0EBD1">
      <w:pPr>
        <w:autoSpaceDE w:val="0"/>
        <w:autoSpaceDN w:val="0"/>
        <w:spacing w:line="440" w:lineRule="atLeast"/>
        <w:jc w:val="left"/>
        <w:rPr>
          <w:rFonts w:ascii="Times New Roman Regular" w:hAnsi="Times New Roman Regular" w:eastAsia="华文仿宋" w:cs="Times New Roman Regular"/>
          <w:b/>
          <w:sz w:val="36"/>
          <w:szCs w:val="36"/>
        </w:rPr>
      </w:pPr>
      <w:r>
        <w:rPr>
          <w:rFonts w:hint="eastAsia" w:ascii="Times New Roman Regular" w:hAnsi="Times New Roman Regular" w:eastAsia="华文仿宋" w:cs="Times New Roman Regular"/>
          <w:b/>
          <w:sz w:val="36"/>
          <w:szCs w:val="36"/>
        </w:rPr>
        <w:t xml:space="preserve"> </w:t>
      </w:r>
      <w:r>
        <w:rPr>
          <w:rFonts w:ascii="Times New Roman Regular" w:hAnsi="Times New Roman Regular" w:eastAsia="华文仿宋" w:cs="Times New Roman Regular"/>
          <w:b/>
          <w:sz w:val="36"/>
          <w:szCs w:val="36"/>
        </w:rPr>
        <w:t xml:space="preserve"> 主办单位： </w:t>
      </w:r>
      <w:r>
        <w:rPr>
          <w:rFonts w:hint="eastAsia" w:ascii="Times New Roman Regular" w:hAnsi="Times New Roman Regular" w:eastAsia="华文仿宋" w:cs="Times New Roman Regular"/>
          <w:b/>
          <w:sz w:val="36"/>
          <w:szCs w:val="36"/>
        </w:rPr>
        <w:t>本科生书院、团委、体育教学中心</w:t>
      </w:r>
    </w:p>
    <w:p w14:paraId="0C6D50F9">
      <w:pPr>
        <w:autoSpaceDE w:val="0"/>
        <w:autoSpaceDN w:val="0"/>
        <w:spacing w:line="440" w:lineRule="atLeast"/>
        <w:jc w:val="left"/>
        <w:rPr>
          <w:rFonts w:hint="default" w:ascii="Times New Roman Regular" w:hAnsi="Times New Roman Regular" w:eastAsia="华文仿宋" w:cs="Times New Roman Regular"/>
          <w:b/>
          <w:sz w:val="36"/>
          <w:szCs w:val="36"/>
          <w:lang w:val="en-US" w:eastAsia="zh-CN"/>
        </w:rPr>
      </w:pPr>
      <w:r>
        <w:rPr>
          <w:rFonts w:ascii="Times New Roman Regular" w:hAnsi="Times New Roman Regular" w:eastAsia="华文仿宋" w:cs="Times New Roman Regular"/>
          <w:b/>
          <w:sz w:val="36"/>
          <w:szCs w:val="36"/>
        </w:rPr>
        <w:t xml:space="preserve">  承办单位：</w:t>
      </w:r>
      <w:r>
        <w:rPr>
          <w:rFonts w:hint="eastAsia" w:ascii="Times New Roman Regular" w:hAnsi="Times New Roman Regular" w:eastAsia="华文仿宋" w:cs="Times New Roman Regular"/>
          <w:b/>
          <w:sz w:val="36"/>
          <w:szCs w:val="36"/>
        </w:rPr>
        <w:t xml:space="preserve"> 校学生排球协会</w:t>
      </w:r>
      <w:r>
        <w:rPr>
          <w:rFonts w:hint="eastAsia" w:ascii="Times New Roman Regular" w:hAnsi="Times New Roman Regular" w:eastAsia="华文仿宋" w:cs="Times New Roman Regular"/>
          <w:b/>
          <w:sz w:val="36"/>
          <w:szCs w:val="36"/>
          <w:lang w:val="en-US" w:eastAsia="zh-CN"/>
        </w:rPr>
        <w:t>高新园区分社</w:t>
      </w:r>
    </w:p>
    <w:p w14:paraId="1263CACD">
      <w:pPr>
        <w:rPr>
          <w:rFonts w:hint="eastAsia"/>
        </w:rPr>
      </w:pPr>
    </w:p>
    <w:p w14:paraId="728F04A4">
      <w:pPr>
        <w:rPr>
          <w:rFonts w:hint="eastAsia"/>
        </w:rPr>
      </w:pPr>
    </w:p>
    <w:p w14:paraId="2295CB0B">
      <w:pPr>
        <w:rPr>
          <w:rFonts w:hint="eastAsia"/>
        </w:rPr>
      </w:pPr>
    </w:p>
    <w:p w14:paraId="6211FB22">
      <w:pPr>
        <w:jc w:val="center"/>
        <w:rPr>
          <w:rFonts w:hint="eastAsia"/>
        </w:rPr>
        <w:sectPr>
          <w:footerReference r:id="rId5" w:type="default"/>
          <w:pgSz w:w="11906" w:h="16838"/>
          <w:pgMar w:top="1440" w:right="1800" w:bottom="1440" w:left="1800" w:header="850" w:footer="992" w:gutter="0"/>
          <w:cols w:space="425" w:num="1"/>
          <w:docGrid w:type="lines" w:linePitch="312" w:charSpace="0"/>
        </w:sectPr>
      </w:pPr>
      <w:r>
        <w:rPr>
          <w:rFonts w:ascii="Times New Roman Regular" w:hAnsi="Times New Roman Regular" w:eastAsia="华文仿宋" w:cs="Times New Roman Regular"/>
          <w:b/>
          <w:sz w:val="36"/>
          <w:szCs w:val="36"/>
        </w:rPr>
        <w:t>时间：202</w:t>
      </w:r>
      <w:r>
        <w:rPr>
          <w:rFonts w:hint="eastAsia" w:ascii="Times New Roman Regular" w:hAnsi="Times New Roman Regular" w:eastAsia="华文仿宋" w:cs="Times New Roman Regular"/>
          <w:b/>
          <w:sz w:val="36"/>
          <w:szCs w:val="36"/>
          <w:lang w:val="en-US" w:eastAsia="zh-CN"/>
        </w:rPr>
        <w:t>6</w:t>
      </w:r>
      <w:r>
        <w:rPr>
          <w:rFonts w:ascii="Times New Roman Regular" w:hAnsi="Times New Roman Regular" w:eastAsia="华文仿宋" w:cs="Times New Roman Regular"/>
          <w:b/>
          <w:sz w:val="36"/>
          <w:szCs w:val="36"/>
        </w:rPr>
        <w:t>年</w:t>
      </w:r>
      <w:r>
        <w:rPr>
          <w:rFonts w:hint="eastAsia" w:ascii="Times New Roman Regular" w:hAnsi="Times New Roman Regular" w:eastAsia="华文仿宋" w:cs="Times New Roman Regular"/>
          <w:b/>
          <w:sz w:val="36"/>
          <w:szCs w:val="36"/>
          <w:lang w:val="en-US" w:eastAsia="zh-CN"/>
        </w:rPr>
        <w:t>11</w:t>
      </w:r>
      <w:r>
        <w:rPr>
          <w:rFonts w:ascii="Times New Roman Regular" w:hAnsi="Times New Roman Regular" w:eastAsia="华文仿宋" w:cs="Times New Roman Regular"/>
          <w:b/>
          <w:sz w:val="36"/>
          <w:szCs w:val="36"/>
        </w:rPr>
        <w:t>月-</w:t>
      </w:r>
      <w:r>
        <w:rPr>
          <w:rFonts w:hint="eastAsia" w:ascii="Times New Roman Regular" w:hAnsi="Times New Roman Regular" w:eastAsia="华文仿宋" w:cs="Times New Roman Regular"/>
          <w:b/>
          <w:sz w:val="36"/>
          <w:szCs w:val="36"/>
          <w:lang w:val="en-US" w:eastAsia="zh-CN"/>
        </w:rPr>
        <w:t>12</w:t>
      </w:r>
      <w:r>
        <w:rPr>
          <w:rFonts w:ascii="Times New Roman Regular" w:hAnsi="Times New Roman Regular" w:eastAsia="华文仿宋" w:cs="Times New Roman Regular"/>
          <w:b/>
          <w:sz w:val="36"/>
          <w:szCs w:val="36"/>
        </w:rPr>
        <w:t>月</w:t>
      </w:r>
    </w:p>
    <w:p w14:paraId="2142101E">
      <w:pPr>
        <w:spacing w:after="440"/>
        <w:ind w:firstLine="0"/>
        <w:jc w:val="center"/>
        <w:rPr>
          <w:rFonts w:hint="eastAsia"/>
        </w:rPr>
      </w:pPr>
      <w:r>
        <w:rPr>
          <w:rFonts w:ascii="黑体" w:hAnsi="黑体" w:eastAsia="黑体"/>
          <w:b/>
          <w:sz w:val="44"/>
        </w:rPr>
        <w:t>目录</w:t>
      </w:r>
    </w:p>
    <w:p w14:paraId="3814C35E">
      <w:pPr>
        <w:pStyle w:val="6"/>
        <w:tabs>
          <w:tab w:val="right" w:leader="dot" w:pos="8296"/>
        </w:tabs>
        <w:rPr>
          <w:rFonts w:hint="eastAsia" w:asciiTheme="minorHAnsi" w:hAnsiTheme="minorHAnsi" w:eastAsiaTheme="minorEastAsia" w:cstheme="minorBidi"/>
          <w:color w:val="auto"/>
          <w:sz w:val="22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fldChar w:fldCharType="begin"/>
      </w:r>
      <w:r>
        <w:instrText xml:space="preserve"> HYPERLINK \l "_Toc242876225" </w:instrText>
      </w:r>
      <w:r>
        <w:fldChar w:fldCharType="separate"/>
      </w:r>
      <w:r>
        <w:rPr>
          <w:rStyle w:val="13"/>
        </w:rPr>
        <w:t>第一章 活动背景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_Toc242876225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F97B768">
      <w:pPr>
        <w:pStyle w:val="6"/>
        <w:tabs>
          <w:tab w:val="right" w:leader="dot" w:pos="8296"/>
        </w:tabs>
        <w:rPr>
          <w:rFonts w:hint="eastAsia" w:asciiTheme="minorHAnsi" w:hAnsiTheme="minorHAnsi" w:eastAsiaTheme="minorEastAsia" w:cstheme="minorBidi"/>
          <w:color w:val="auto"/>
          <w:sz w:val="22"/>
          <w14:ligatures w14:val="standardContextual"/>
        </w:rPr>
      </w:pPr>
      <w:r>
        <w:fldChar w:fldCharType="begin"/>
      </w:r>
      <w:r>
        <w:instrText xml:space="preserve"> HYPERLINK \l "_Toc242876226" </w:instrText>
      </w:r>
      <w:r>
        <w:fldChar w:fldCharType="separate"/>
      </w:r>
      <w:r>
        <w:rPr>
          <w:rStyle w:val="13"/>
        </w:rPr>
        <w:t>第二章 活动名称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_Toc242876226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A63C47B">
      <w:pPr>
        <w:pStyle w:val="6"/>
        <w:tabs>
          <w:tab w:val="right" w:leader="dot" w:pos="8296"/>
        </w:tabs>
        <w:rPr>
          <w:rFonts w:hint="eastAsia" w:asciiTheme="minorHAnsi" w:hAnsiTheme="minorHAnsi" w:eastAsiaTheme="minorEastAsia" w:cstheme="minorBidi"/>
          <w:color w:val="auto"/>
          <w:sz w:val="22"/>
          <w14:ligatures w14:val="standardContextual"/>
        </w:rPr>
      </w:pPr>
      <w:r>
        <w:fldChar w:fldCharType="begin"/>
      </w:r>
      <w:r>
        <w:instrText xml:space="preserve"> HYPERLINK \l "_Toc242876227" </w:instrText>
      </w:r>
      <w:r>
        <w:fldChar w:fldCharType="separate"/>
      </w:r>
      <w:r>
        <w:rPr>
          <w:rStyle w:val="13"/>
        </w:rPr>
        <w:t>第三章 活动主题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_Toc242876227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0758942">
      <w:pPr>
        <w:pStyle w:val="6"/>
        <w:tabs>
          <w:tab w:val="right" w:leader="dot" w:pos="8296"/>
        </w:tabs>
        <w:rPr>
          <w:rFonts w:hint="eastAsia" w:asciiTheme="minorHAnsi" w:hAnsiTheme="minorHAnsi" w:eastAsiaTheme="minorEastAsia" w:cstheme="minorBidi"/>
          <w:color w:val="auto"/>
          <w:sz w:val="22"/>
          <w14:ligatures w14:val="standardContextual"/>
        </w:rPr>
      </w:pPr>
      <w:r>
        <w:fldChar w:fldCharType="begin"/>
      </w:r>
      <w:r>
        <w:instrText xml:space="preserve"> HYPERLINK \l "_Toc242876228" </w:instrText>
      </w:r>
      <w:r>
        <w:fldChar w:fldCharType="separate"/>
      </w:r>
      <w:r>
        <w:rPr>
          <w:rStyle w:val="13"/>
        </w:rPr>
        <w:t>第四章 活动时间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_Toc242876228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81F9C5D">
      <w:pPr>
        <w:pStyle w:val="6"/>
        <w:tabs>
          <w:tab w:val="right" w:leader="dot" w:pos="8296"/>
        </w:tabs>
        <w:rPr>
          <w:rFonts w:hint="eastAsia" w:asciiTheme="minorHAnsi" w:hAnsiTheme="minorHAnsi" w:eastAsiaTheme="minorEastAsia" w:cstheme="minorBidi"/>
          <w:color w:val="auto"/>
          <w:sz w:val="22"/>
          <w14:ligatures w14:val="standardContextual"/>
        </w:rPr>
      </w:pPr>
      <w:r>
        <w:fldChar w:fldCharType="begin"/>
      </w:r>
      <w:r>
        <w:instrText xml:space="preserve"> HYPERLINK \l "_Toc242876229" </w:instrText>
      </w:r>
      <w:r>
        <w:fldChar w:fldCharType="separate"/>
      </w:r>
      <w:r>
        <w:rPr>
          <w:rStyle w:val="13"/>
        </w:rPr>
        <w:t>第五章 活动地点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_Toc242876229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FBE9180">
      <w:pPr>
        <w:pStyle w:val="6"/>
        <w:tabs>
          <w:tab w:val="right" w:leader="dot" w:pos="8296"/>
        </w:tabs>
        <w:rPr>
          <w:rFonts w:hint="eastAsia" w:asciiTheme="minorHAnsi" w:hAnsiTheme="minorHAnsi" w:eastAsiaTheme="minorEastAsia" w:cstheme="minorBidi"/>
          <w:color w:val="auto"/>
          <w:sz w:val="22"/>
          <w14:ligatures w14:val="standardContextual"/>
        </w:rPr>
      </w:pPr>
      <w:r>
        <w:fldChar w:fldCharType="begin"/>
      </w:r>
      <w:r>
        <w:instrText xml:space="preserve"> HYPERLINK \l "_Toc242876230" </w:instrText>
      </w:r>
      <w:r>
        <w:fldChar w:fldCharType="separate"/>
      </w:r>
      <w:r>
        <w:rPr>
          <w:rStyle w:val="13"/>
        </w:rPr>
        <w:t>第六章 活动对象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_Toc242876230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CE09CAF">
      <w:pPr>
        <w:pStyle w:val="6"/>
        <w:tabs>
          <w:tab w:val="right" w:leader="dot" w:pos="8296"/>
        </w:tabs>
        <w:rPr>
          <w:rFonts w:hint="eastAsia" w:asciiTheme="minorHAnsi" w:hAnsiTheme="minorHAnsi" w:eastAsiaTheme="minorEastAsia" w:cstheme="minorBidi"/>
          <w:color w:val="auto"/>
          <w:sz w:val="22"/>
          <w14:ligatures w14:val="standardContextual"/>
        </w:rPr>
      </w:pPr>
      <w:r>
        <w:fldChar w:fldCharType="begin"/>
      </w:r>
      <w:r>
        <w:instrText xml:space="preserve"> HYPERLINK \l "_Toc242876231" </w:instrText>
      </w:r>
      <w:r>
        <w:fldChar w:fldCharType="separate"/>
      </w:r>
      <w:r>
        <w:rPr>
          <w:rStyle w:val="13"/>
        </w:rPr>
        <w:t>第七章 活动内容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_Toc242876231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FE7E6D2">
      <w:pPr>
        <w:pStyle w:val="6"/>
        <w:tabs>
          <w:tab w:val="right" w:leader="dot" w:pos="8296"/>
        </w:tabs>
        <w:rPr>
          <w:rFonts w:hint="eastAsia" w:asciiTheme="minorHAnsi" w:hAnsiTheme="minorHAnsi" w:eastAsiaTheme="minorEastAsia" w:cstheme="minorBidi"/>
          <w:color w:val="auto"/>
          <w:sz w:val="22"/>
          <w14:ligatures w14:val="standardContextual"/>
        </w:rPr>
      </w:pPr>
      <w:r>
        <w:fldChar w:fldCharType="begin"/>
      </w:r>
      <w:r>
        <w:instrText xml:space="preserve"> HYPERLINK \l "_Toc242876232" </w:instrText>
      </w:r>
      <w:r>
        <w:fldChar w:fldCharType="separate"/>
      </w:r>
      <w:r>
        <w:rPr>
          <w:rStyle w:val="13"/>
        </w:rPr>
        <w:t>第八章 安全管理与应急预案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_Toc242876232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E8F133A">
      <w:pPr>
        <w:pStyle w:val="6"/>
        <w:tabs>
          <w:tab w:val="right" w:leader="dot" w:pos="8296"/>
        </w:tabs>
        <w:rPr>
          <w:rFonts w:hint="eastAsia" w:asciiTheme="minorHAnsi" w:hAnsiTheme="minorHAnsi" w:eastAsiaTheme="minorEastAsia" w:cstheme="minorBidi"/>
          <w:color w:val="auto"/>
          <w:sz w:val="22"/>
          <w14:ligatures w14:val="standardContextual"/>
        </w:rPr>
      </w:pPr>
      <w:r>
        <w:fldChar w:fldCharType="begin"/>
      </w:r>
      <w:r>
        <w:instrText xml:space="preserve"> HYPERLINK \l "_Toc242876233" </w:instrText>
      </w:r>
      <w:r>
        <w:fldChar w:fldCharType="separate"/>
      </w:r>
      <w:r>
        <w:rPr>
          <w:rStyle w:val="13"/>
        </w:rPr>
        <w:t>第九章 经费预算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_Toc242876233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1E18B89">
      <w:pPr>
        <w:pStyle w:val="6"/>
        <w:tabs>
          <w:tab w:val="right" w:leader="dot" w:pos="8296"/>
        </w:tabs>
        <w:rPr>
          <w:rFonts w:hint="eastAsia" w:asciiTheme="minorHAnsi" w:hAnsiTheme="minorHAnsi" w:eastAsiaTheme="minorEastAsia" w:cstheme="minorBidi"/>
          <w:color w:val="auto"/>
          <w:sz w:val="22"/>
          <w14:ligatures w14:val="standardContextual"/>
        </w:rPr>
      </w:pPr>
      <w:r>
        <w:fldChar w:fldCharType="begin"/>
      </w:r>
      <w:r>
        <w:instrText xml:space="preserve"> HYPERLINK \l "_Toc242876234" </w:instrText>
      </w:r>
      <w:r>
        <w:fldChar w:fldCharType="separate"/>
      </w:r>
      <w:r>
        <w:rPr>
          <w:rStyle w:val="13"/>
        </w:rPr>
        <w:t>第十章 活动负责人及联系方式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_Toc242876234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4B2DD29">
      <w:pPr>
        <w:pStyle w:val="6"/>
        <w:tabs>
          <w:tab w:val="right" w:leader="dot" w:pos="8296"/>
        </w:tabs>
        <w:rPr>
          <w:rFonts w:hint="eastAsia" w:asciiTheme="minorHAnsi" w:hAnsiTheme="minorHAnsi" w:eastAsiaTheme="minorEastAsia" w:cstheme="minorBidi"/>
          <w:color w:val="auto"/>
          <w:sz w:val="22"/>
          <w14:ligatures w14:val="standardContextual"/>
        </w:rPr>
      </w:pPr>
      <w:r>
        <w:fldChar w:fldCharType="begin"/>
      </w:r>
      <w:r>
        <w:instrText xml:space="preserve"> HYPERLINK \l "_Toc242876235" </w:instrText>
      </w:r>
      <w:r>
        <w:fldChar w:fldCharType="separate"/>
      </w:r>
      <w:r>
        <w:rPr>
          <w:rStyle w:val="13"/>
        </w:rPr>
        <w:t>第十一章 备注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_Toc242876235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E711E18">
      <w:pPr>
        <w:ind w:firstLine="0"/>
        <w:rPr>
          <w:rFonts w:hint="eastAsia"/>
        </w:rPr>
      </w:pPr>
      <w:r>
        <w:fldChar w:fldCharType="end"/>
      </w:r>
    </w:p>
    <w:p w14:paraId="549C7EB2">
      <w:pPr>
        <w:rPr>
          <w:rFonts w:hint="eastAsia"/>
        </w:rPr>
      </w:pPr>
      <w:r>
        <w:br w:type="page"/>
      </w:r>
    </w:p>
    <w:p w14:paraId="12B555CC">
      <w:pPr>
        <w:pStyle w:val="22"/>
        <w:rPr>
          <w:rFonts w:hint="eastAsia"/>
        </w:rPr>
      </w:pPr>
      <w:bookmarkStart w:id="0" w:name="_Toc242876225"/>
      <w:r>
        <w:t>第一章 活动背景</w:t>
      </w:r>
      <w:bookmarkEnd w:id="0"/>
    </w:p>
    <w:p w14:paraId="51A9327F">
      <w:pPr>
        <w:rPr>
          <w:rFonts w:hint="eastAsia"/>
        </w:rPr>
      </w:pPr>
      <w:r>
        <w:t>为丰富校园体育活动，促进排球爱好者交流，中国科学技术大学学生排球协会拟面向全体在校学生举办4v4男女混合排球比赛。本次活动按8支队伍设计，在高新区室外排球场两片场地开展，兼顾竞技体验、团队协作与球友交流。</w:t>
      </w:r>
    </w:p>
    <w:p w14:paraId="63032599">
      <w:pPr>
        <w:rPr>
          <w:rFonts w:hint="eastAsia"/>
        </w:rPr>
      </w:pPr>
      <w:r>
        <w:t>四人制比赛减少场上人数，有助于增加每名队员触球、接发球和团队配合的机会。通过轮流发球、场上至少保留1名女生及近网进攻限制，鼓励不同技术水平的同学共同参与，在保留竞技性的同时降低参与门槛。</w:t>
      </w:r>
    </w:p>
    <w:p w14:paraId="0AC65B44">
      <w:pPr>
        <w:rPr>
          <w:rFonts w:hint="eastAsia"/>
        </w:rPr>
      </w:pPr>
      <w:r>
        <w:t>活动以增加参与机会、促进球友交流为出发点，通过小组循环赛和交叉排位安排，让各队获得充分的比赛体验，帮助球友建立联系，增强协会凝聚力。</w:t>
      </w:r>
    </w:p>
    <w:p w14:paraId="76A7FCC4">
      <w:pPr>
        <w:pStyle w:val="22"/>
        <w:rPr>
          <w:rFonts w:hint="eastAsia"/>
        </w:rPr>
      </w:pPr>
      <w:bookmarkStart w:id="1" w:name="_Toc242876226"/>
      <w:r>
        <w:t>第二章 活动名称</w:t>
      </w:r>
      <w:bookmarkEnd w:id="1"/>
    </w:p>
    <w:p w14:paraId="2598ECD5">
      <w:pPr>
        <w:rPr>
          <w:rFonts w:hint="eastAsia"/>
        </w:rPr>
      </w:pPr>
      <w:r>
        <w:t>中国科学技术大学学生排球协会4v4排球比赛。</w:t>
      </w:r>
    </w:p>
    <w:p w14:paraId="76C26425">
      <w:pPr>
        <w:pStyle w:val="22"/>
        <w:rPr>
          <w:rFonts w:hint="eastAsia"/>
        </w:rPr>
      </w:pPr>
      <w:bookmarkStart w:id="2" w:name="_Toc242876227"/>
      <w:r>
        <w:t>第三章 活动主题</w:t>
      </w:r>
      <w:bookmarkEnd w:id="2"/>
    </w:p>
    <w:p w14:paraId="1A88C532">
      <w:pPr>
        <w:rPr>
          <w:rFonts w:hint="eastAsia"/>
        </w:rPr>
      </w:pPr>
      <w:r>
        <w:t>以球会友，快乐排球。</w:t>
      </w:r>
    </w:p>
    <w:p w14:paraId="0C01DC6B">
      <w:pPr>
        <w:pStyle w:val="22"/>
        <w:rPr>
          <w:rFonts w:hint="eastAsia"/>
        </w:rPr>
      </w:pPr>
      <w:bookmarkStart w:id="3" w:name="_Toc242876228"/>
      <w:r>
        <w:t>第四章 活动时间</w:t>
      </w:r>
      <w:bookmarkEnd w:id="3"/>
    </w:p>
    <w:p w14:paraId="3E71B2C3">
      <w:pPr>
        <w:rPr>
          <w:rFonts w:hint="eastAsia"/>
        </w:rPr>
      </w:pPr>
      <w:r>
        <w:t>比赛预计于周末举办，原则上优先考虑一天内完成；如场地、天气或组织条件需要，可分两天进行。具体日期与时段统一以正式通知为准。</w:t>
      </w:r>
    </w:p>
    <w:tbl>
      <w:tblPr>
        <w:tblStyle w:val="8"/>
        <w:tblW w:w="0" w:type="auto"/>
        <w:jc w:val="center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904"/>
        <w:gridCol w:w="3402"/>
      </w:tblGrid>
      <w:tr w14:paraId="11B5998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4904" w:type="dxa"/>
            <w:vAlign w:val="center"/>
          </w:tcPr>
          <w:p w14:paraId="2AE3BE07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事项</w:t>
            </w:r>
          </w:p>
        </w:tc>
        <w:tc>
          <w:tcPr>
            <w:tcW w:w="3402" w:type="dxa"/>
            <w:vAlign w:val="center"/>
          </w:tcPr>
          <w:p w14:paraId="7DFDEE8D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时间</w:t>
            </w:r>
          </w:p>
        </w:tc>
      </w:tr>
      <w:tr w14:paraId="427C887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4904" w:type="dxa"/>
            <w:vAlign w:val="center"/>
          </w:tcPr>
          <w:p w14:paraId="7ECF7EB8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报名开始与截止</w:t>
            </w:r>
          </w:p>
        </w:tc>
        <w:tc>
          <w:tcPr>
            <w:tcW w:w="3402" w:type="dxa"/>
            <w:vAlign w:val="center"/>
          </w:tcPr>
          <w:p w14:paraId="793D5F43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  <w:tr w14:paraId="2CC2B36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4904" w:type="dxa"/>
            <w:vAlign w:val="center"/>
          </w:tcPr>
          <w:p w14:paraId="3E8B680A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抽签分组</w:t>
            </w:r>
          </w:p>
        </w:tc>
        <w:tc>
          <w:tcPr>
            <w:tcW w:w="3402" w:type="dxa"/>
            <w:vAlign w:val="center"/>
          </w:tcPr>
          <w:p w14:paraId="05230D52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  <w:tr w14:paraId="4118033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4904" w:type="dxa"/>
            <w:vAlign w:val="center"/>
          </w:tcPr>
          <w:p w14:paraId="4469E54A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正式比赛日期</w:t>
            </w:r>
          </w:p>
        </w:tc>
        <w:tc>
          <w:tcPr>
            <w:tcW w:w="3402" w:type="dxa"/>
            <w:vAlign w:val="center"/>
          </w:tcPr>
          <w:p w14:paraId="2D8E246C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  <w:tr w14:paraId="5B2D8F0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4904" w:type="dxa"/>
            <w:vAlign w:val="center"/>
          </w:tcPr>
          <w:p w14:paraId="51408031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集合检录</w:t>
            </w:r>
          </w:p>
        </w:tc>
        <w:tc>
          <w:tcPr>
            <w:tcW w:w="3402" w:type="dxa"/>
            <w:vAlign w:val="center"/>
          </w:tcPr>
          <w:p w14:paraId="3282B384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  <w:tr w14:paraId="7EB559E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4904" w:type="dxa"/>
            <w:vAlign w:val="center"/>
          </w:tcPr>
          <w:p w14:paraId="7DD471E7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小组赛与交叉赛各阶段</w:t>
            </w:r>
          </w:p>
        </w:tc>
        <w:tc>
          <w:tcPr>
            <w:tcW w:w="3402" w:type="dxa"/>
            <w:vAlign w:val="center"/>
          </w:tcPr>
          <w:p w14:paraId="5A22A8DF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  <w:tr w14:paraId="414E8F2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4904" w:type="dxa"/>
            <w:vAlign w:val="center"/>
          </w:tcPr>
          <w:p w14:paraId="0E46425E">
            <w:pPr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颁奖及合影</w:t>
            </w:r>
          </w:p>
        </w:tc>
        <w:tc>
          <w:tcPr>
            <w:tcW w:w="3402" w:type="dxa"/>
            <w:vAlign w:val="center"/>
          </w:tcPr>
          <w:p w14:paraId="386CCF04">
            <w:pPr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</w:tbl>
    <w:p w14:paraId="7DD624E0">
      <w:pPr>
        <w:pStyle w:val="22"/>
        <w:rPr>
          <w:rFonts w:hint="eastAsia"/>
        </w:rPr>
      </w:pPr>
      <w:bookmarkStart w:id="4" w:name="_Toc242876229"/>
      <w:r>
        <w:t>第五章 活动地点</w:t>
      </w:r>
      <w:bookmarkEnd w:id="4"/>
    </w:p>
    <w:p w14:paraId="1B51AC8C">
      <w:pPr>
        <w:rPr>
          <w:rFonts w:hint="eastAsia"/>
        </w:rPr>
      </w:pPr>
      <w:r>
        <w:t>高新区室外排球场，共使用两片场地，现有球网高度分别为2.24米和2.43米。本次比赛不调整网高，按现有高度组织比赛。正式赛程编排应考虑各队比赛条件的相对公平，具体场地分配待定。</w:t>
      </w:r>
    </w:p>
    <w:p w14:paraId="27554469">
      <w:pPr>
        <w:pStyle w:val="22"/>
        <w:rPr>
          <w:rFonts w:hint="eastAsia"/>
        </w:rPr>
      </w:pPr>
      <w:bookmarkStart w:id="5" w:name="_Toc242876230"/>
      <w:r>
        <w:t>第六章 活动对象</w:t>
      </w:r>
      <w:bookmarkEnd w:id="5"/>
    </w:p>
    <w:p w14:paraId="0D2E49E9">
      <w:pPr>
        <w:rPr>
          <w:rFonts w:hint="eastAsia"/>
        </w:rPr>
      </w:pPr>
      <w:r>
        <w:t>面向中国科学技术大学全体在校学生，鼓励不同技术水平的排球爱好者参加。共设8支参赛队伍，每队4名队员同时上场，暂定最多1名替补，每队指定1名队长；每队最多5人，参赛人数最多40人。所有比赛中，场上必须始终保持至少1名女生，换人后也须满足这一要求。</w:t>
      </w:r>
    </w:p>
    <w:p w14:paraId="43D63A59">
      <w:pPr>
        <w:rPr>
          <w:rFonts w:hint="eastAsia"/>
        </w:rPr>
      </w:pPr>
      <w:r>
        <w:t>以自由组队为主。协会可建立组队交流群，方便尚未找到队友的同学交流；必要时协助有需求的同学完成组队。队长负责报名信息核对、通知传达与成绩确认。</w:t>
      </w:r>
    </w:p>
    <w:p w14:paraId="0C8945D9">
      <w:pPr>
        <w:pStyle w:val="22"/>
        <w:rPr>
          <w:rFonts w:hint="eastAsia"/>
        </w:rPr>
      </w:pPr>
      <w:bookmarkStart w:id="6" w:name="_Toc242876231"/>
      <w:r>
        <w:t>第七章 活动内容</w:t>
      </w:r>
      <w:bookmarkEnd w:id="6"/>
    </w:p>
    <w:p w14:paraId="09493D53">
      <w:pPr>
        <w:rPr>
          <w:rFonts w:hint="eastAsia"/>
        </w:rPr>
      </w:pPr>
      <w:r>
        <w:t>活动由赛前准备、正式比赛和赛事结束三个环节组成，由中国科学技术大学学生排球协会组织实施。裁判、工作人员及负责人名单待定。</w:t>
      </w:r>
    </w:p>
    <w:p w14:paraId="59C24210">
      <w:pPr>
        <w:pStyle w:val="23"/>
        <w:rPr>
          <w:rFonts w:hint="eastAsia"/>
        </w:rPr>
      </w:pPr>
      <w:r>
        <w:t>（一）赛前准备</w:t>
      </w:r>
    </w:p>
    <w:p w14:paraId="0C6D4066">
      <w:pPr>
        <w:rPr>
          <w:rFonts w:hint="eastAsia"/>
        </w:rPr>
      </w:pPr>
      <w:r>
        <w:t>1. 活动宣传。通过协会宣传渠道介绍活动、参赛要求及赛制，收集报名意向和组队需求，方便不同水平的同学了解并参与比赛。</w:t>
      </w:r>
    </w:p>
    <w:p w14:paraId="564C41B3">
      <w:pPr>
        <w:rPr>
          <w:rFonts w:hint="eastAsia"/>
        </w:rPr>
      </w:pPr>
      <w:r>
        <w:t>2. 报名登记。登记队名、队长及队员姓名、学号和联系方式，核对学生身份与队伍人数。报名名单应包含女生，并确保队伍实际出场及换人后始终有至少1名女生在场。报名时间、方式及超额报名处理办法以正式通知为准。</w:t>
      </w:r>
    </w:p>
    <w:p w14:paraId="46815628">
      <w:pPr>
        <w:rPr>
          <w:rFonts w:hint="eastAsia"/>
        </w:rPr>
      </w:pPr>
      <w:r>
        <w:t>3. 组队与抽签。以自由组队为主，协会可通过组队交流群协助有需求的同学寻找队友。报名结束后，由队长核对名单，抽签分为A、B两组，每组4队，并公示分组结果及比赛安排。</w:t>
      </w:r>
    </w:p>
    <w:p w14:paraId="6AD3061C">
      <w:pPr>
        <w:rPr>
          <w:rFonts w:hint="eastAsia"/>
        </w:rPr>
      </w:pPr>
      <w:r>
        <w:t>4. 场地与器材。落实两片场地使用，检查球网、网柱、场线和三米线，准备比赛用球、记分牌、哨子、司线用品及记录表。确认并标明两片场地2.24米、2.43米的现有网高，不作调整；器材优先使用协会库存或借用。</w:t>
      </w:r>
    </w:p>
    <w:p w14:paraId="3C9E483F">
      <w:pPr>
        <w:rPr>
          <w:rFonts w:hint="eastAsia"/>
        </w:rPr>
      </w:pPr>
      <w:r>
        <w:t>5. 裁判与工作人员。按两片场地同时比赛的需要安排裁判、记录、检录及安全岗位，赛前统一培训规则与判罚标准。具体人员名单及轮换安排待定。</w:t>
      </w:r>
    </w:p>
    <w:p w14:paraId="1F467E44">
      <w:pPr>
        <w:rPr>
          <w:rFonts w:hint="eastAsia"/>
        </w:rPr>
      </w:pPr>
      <w:r>
        <w:t>6. 规则说明。赛前发布正式章程，向队长说明女生上场要求、计分与封顶规则、进攻限制及不同网高条件。发球轮换、自由人使用、并列排名和女生因伤无法继续比赛时的处理办法由协会确认后公示。</w:t>
      </w:r>
    </w:p>
    <w:p w14:paraId="6E66C753">
      <w:pPr>
        <w:pStyle w:val="23"/>
        <w:rPr>
          <w:rFonts w:hint="eastAsia"/>
        </w:rPr>
      </w:pPr>
      <w:r>
        <w:t>（二）正式比赛</w:t>
      </w:r>
    </w:p>
    <w:p w14:paraId="77F9A612">
      <w:pPr>
        <w:pStyle w:val="24"/>
        <w:rPr>
          <w:rFonts w:hint="eastAsia"/>
        </w:rPr>
      </w:pPr>
      <w:r>
        <w:t>1 比赛整体流程</w:t>
      </w:r>
    </w:p>
    <w:p w14:paraId="3F650889">
      <w:pPr>
        <w:rPr>
          <w:rFonts w:hint="eastAsia"/>
        </w:rPr>
      </w:pPr>
      <w:r>
        <w:t>各队按通知集合检录，完成名单核验、规则说明和热身后，依次开展小组单循环赛、交叉半决赛及排位赛，核对最终成绩。各阶段时段均待定，由赛事组织负责人统一安排。</w:t>
      </w:r>
    </w:p>
    <w:p w14:paraId="22053D53">
      <w:pPr>
        <w:rPr>
          <w:rFonts w:hint="eastAsia"/>
        </w:rPr>
      </w:pPr>
      <w:r>
        <w:t>两片场地可同步开展比赛，具体分配待定。赛程编排应考虑不同网高条件下的相对公平，并留出必要的休息和天气缓冲时间。原则上优先一天内完成，如需分两天进行，另行通知。</w:t>
      </w:r>
    </w:p>
    <w:p w14:paraId="3E0E4C8E">
      <w:pPr>
        <w:pStyle w:val="24"/>
        <w:rPr>
          <w:rFonts w:hint="eastAsia"/>
        </w:rPr>
      </w:pPr>
      <w:r>
        <w:t>2 小组单循环赛</w:t>
      </w:r>
    </w:p>
    <w:p w14:paraId="459BAE4A">
      <w:pPr>
        <w:rPr>
          <w:rFonts w:hint="eastAsia"/>
        </w:rPr>
      </w:pPr>
      <w:r>
        <w:t>8支队伍抽签分为A、B两组，每组4队，各组进行单循环。每队与同组其余3队各交手一次，参加3场比赛；每组6场，两组合计12场。小组赛采用BO1（一局定胜负），单局25分、每球得分制；正常情况下至少达到25分且领先2分获胜，29分封顶。比分达到28:28时，下一分直接决定胜负，先达到29分的一方获胜。小组赛结束后，核对成绩并确定各组排名。</w:t>
      </w:r>
    </w:p>
    <w:p w14:paraId="007A2A66">
      <w:pPr>
        <w:pStyle w:val="24"/>
        <w:rPr>
          <w:rFonts w:hint="eastAsia"/>
        </w:rPr>
      </w:pPr>
      <w:r>
        <w:t>3 交叉淘汰赛及排位赛</w:t>
      </w:r>
    </w:p>
    <w:p w14:paraId="69B9328A">
      <w:pPr>
        <w:rPr>
          <w:rFonts w:hint="eastAsia"/>
        </w:rPr>
      </w:pPr>
      <w:r>
        <w:t>各组前两名进入四强，按表1进行交叉半决赛。胜者进入冠亚军决赛，负者进入季军赛；其余队伍按小组同名次交叉对阵，分别决出第5、6名和第7、8名。交叉阶段全部采用BO3（三局两胜），三局均为15分、每球得分制；正常情况下至少达到15分且领先2分获胜，19分封顶。比分达到18:18时，下一分直接决定胜负。</w:t>
      </w:r>
    </w:p>
    <w:p w14:paraId="00D4CDC7">
      <w:pPr>
        <w:keepNext/>
        <w:spacing w:before="140" w:after="100"/>
        <w:ind w:firstLine="0"/>
        <w:jc w:val="center"/>
        <w:rPr>
          <w:rFonts w:hint="eastAsia"/>
        </w:rPr>
      </w:pPr>
      <w:r>
        <w:rPr>
          <w:b/>
        </w:rPr>
        <w:t>表1 交叉阶段对阵及名次安排</w:t>
      </w:r>
    </w:p>
    <w:tbl>
      <w:tblPr>
        <w:tblStyle w:val="8"/>
        <w:tblW w:w="0" w:type="auto"/>
        <w:jc w:val="center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928"/>
        <w:gridCol w:w="4110"/>
        <w:gridCol w:w="850"/>
        <w:gridCol w:w="1417"/>
      </w:tblGrid>
      <w:tr w14:paraId="2C2E3F3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928" w:type="dxa"/>
            <w:vAlign w:val="center"/>
          </w:tcPr>
          <w:p w14:paraId="7EE6EA9C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阶段</w:t>
            </w:r>
          </w:p>
        </w:tc>
        <w:tc>
          <w:tcPr>
            <w:tcW w:w="4110" w:type="dxa"/>
            <w:vAlign w:val="center"/>
          </w:tcPr>
          <w:p w14:paraId="7BC36006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对阵</w:t>
            </w:r>
          </w:p>
        </w:tc>
        <w:tc>
          <w:tcPr>
            <w:tcW w:w="850" w:type="dxa"/>
            <w:vAlign w:val="center"/>
          </w:tcPr>
          <w:p w14:paraId="1147CD94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场次</w:t>
            </w:r>
          </w:p>
        </w:tc>
        <w:tc>
          <w:tcPr>
            <w:tcW w:w="1417" w:type="dxa"/>
            <w:vAlign w:val="center"/>
          </w:tcPr>
          <w:p w14:paraId="0AA662F0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赛制</w:t>
            </w:r>
          </w:p>
        </w:tc>
      </w:tr>
      <w:tr w14:paraId="6F014A5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53B28E0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半决赛</w:t>
            </w:r>
          </w:p>
        </w:tc>
        <w:tc>
          <w:tcPr>
            <w:tcW w:w="4110" w:type="dxa"/>
            <w:vAlign w:val="center"/>
          </w:tcPr>
          <w:p w14:paraId="499BC655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A组第1名 vs B组第2名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B组第1名 vs A组第2名</w:t>
            </w:r>
          </w:p>
        </w:tc>
        <w:tc>
          <w:tcPr>
            <w:tcW w:w="850" w:type="dxa"/>
            <w:vAlign w:val="center"/>
          </w:tcPr>
          <w:p w14:paraId="7814841E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417" w:type="dxa"/>
            <w:vAlign w:val="center"/>
          </w:tcPr>
          <w:p w14:paraId="461D598D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BO3</w:t>
            </w:r>
          </w:p>
        </w:tc>
      </w:tr>
      <w:tr w14:paraId="1B7B975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F8ED151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冠亚军决赛</w:t>
            </w:r>
          </w:p>
        </w:tc>
        <w:tc>
          <w:tcPr>
            <w:tcW w:w="4110" w:type="dxa"/>
            <w:vAlign w:val="center"/>
          </w:tcPr>
          <w:p w14:paraId="4500C9E5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两场半决赛胜者</w:t>
            </w:r>
          </w:p>
        </w:tc>
        <w:tc>
          <w:tcPr>
            <w:tcW w:w="850" w:type="dxa"/>
            <w:vAlign w:val="center"/>
          </w:tcPr>
          <w:p w14:paraId="4A4E3C3E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417" w:type="dxa"/>
            <w:vAlign w:val="center"/>
          </w:tcPr>
          <w:p w14:paraId="3669FF80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BO3</w:t>
            </w:r>
          </w:p>
        </w:tc>
      </w:tr>
      <w:tr w14:paraId="06B4845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F697CCE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季军赛</w:t>
            </w:r>
          </w:p>
        </w:tc>
        <w:tc>
          <w:tcPr>
            <w:tcW w:w="4110" w:type="dxa"/>
            <w:vAlign w:val="center"/>
          </w:tcPr>
          <w:p w14:paraId="3CE5DE60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两场半决赛负者</w:t>
            </w:r>
          </w:p>
        </w:tc>
        <w:tc>
          <w:tcPr>
            <w:tcW w:w="850" w:type="dxa"/>
            <w:vAlign w:val="center"/>
          </w:tcPr>
          <w:p w14:paraId="5990E64F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417" w:type="dxa"/>
            <w:vAlign w:val="center"/>
          </w:tcPr>
          <w:p w14:paraId="26E051F2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BO3</w:t>
            </w:r>
          </w:p>
        </w:tc>
      </w:tr>
      <w:tr w14:paraId="2639ABB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644AAE8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第5、6名排位赛</w:t>
            </w:r>
          </w:p>
        </w:tc>
        <w:tc>
          <w:tcPr>
            <w:tcW w:w="4110" w:type="dxa"/>
            <w:vAlign w:val="center"/>
          </w:tcPr>
          <w:p w14:paraId="235D68D0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A组第3名 vs B组第3名</w:t>
            </w:r>
          </w:p>
        </w:tc>
        <w:tc>
          <w:tcPr>
            <w:tcW w:w="850" w:type="dxa"/>
            <w:vAlign w:val="center"/>
          </w:tcPr>
          <w:p w14:paraId="518AC7EE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417" w:type="dxa"/>
            <w:vAlign w:val="center"/>
          </w:tcPr>
          <w:p w14:paraId="5424E388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BO3</w:t>
            </w:r>
          </w:p>
        </w:tc>
      </w:tr>
      <w:tr w14:paraId="2ABD807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D7DD7D0">
            <w:pPr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第7、8名排位赛</w:t>
            </w:r>
          </w:p>
        </w:tc>
        <w:tc>
          <w:tcPr>
            <w:tcW w:w="4110" w:type="dxa"/>
            <w:vAlign w:val="center"/>
          </w:tcPr>
          <w:p w14:paraId="2FCD06DA">
            <w:pPr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A组第4名 vs B组第4名</w:t>
            </w:r>
          </w:p>
        </w:tc>
        <w:tc>
          <w:tcPr>
            <w:tcW w:w="850" w:type="dxa"/>
            <w:vAlign w:val="center"/>
          </w:tcPr>
          <w:p w14:paraId="678CAD30">
            <w:pPr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417" w:type="dxa"/>
            <w:vAlign w:val="center"/>
          </w:tcPr>
          <w:p w14:paraId="1ADCFC08">
            <w:pPr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BO3</w:t>
            </w:r>
          </w:p>
        </w:tc>
      </w:tr>
    </w:tbl>
    <w:p w14:paraId="42F652F6">
      <w:pPr>
        <w:rPr>
          <w:rFonts w:hint="eastAsia"/>
        </w:rPr>
      </w:pPr>
      <w:r>
        <w:t>场次合计：小组赛12场BO1，交叉阶段6场BO3，共18场。每支队伍至少参加4场比赛，晋级四强的队伍参加5场比赛；交叉阶段名次由对应比赛胜负直接确定。</w:t>
      </w:r>
    </w:p>
    <w:p w14:paraId="7ED97943">
      <w:pPr>
        <w:pStyle w:val="24"/>
        <w:rPr>
          <w:rFonts w:hint="eastAsia"/>
        </w:rPr>
      </w:pPr>
      <w:r>
        <w:t>4 比赛特殊规则</w:t>
      </w:r>
    </w:p>
    <w:p w14:paraId="780DEDA2">
      <w:pPr>
        <w:rPr>
          <w:rFonts w:hint="eastAsia"/>
        </w:rPr>
      </w:pPr>
      <w:r>
        <w:t>参赛与位置规则：小组赛、交叉淘汰赛及排位赛中，场上须始终保持至少1名女生，换人时同样适用；因伤病等原因无法满足要求时的处理办法待确认。比赛不限制固定站位，不区分传统六人制的固定前排、后排位置，可设置自由人，具体使用及替换办法待确认。</w:t>
      </w:r>
    </w:p>
    <w:p w14:paraId="49624814">
      <w:pPr>
        <w:rPr>
          <w:rFonts w:hint="eastAsia"/>
        </w:rPr>
      </w:pPr>
      <w:r>
        <w:t>发球规则：采用轮流发球制，使场上每名队员都有机会参与发球。具体发球顺序及轮换触发条件待确认，由协会在赛前统一公布。</w:t>
      </w:r>
    </w:p>
    <w:p w14:paraId="5A73F437">
      <w:pPr>
        <w:rPr>
          <w:rFonts w:hint="eastAsia"/>
        </w:rPr>
      </w:pPr>
      <w:r>
        <w:t>进攻规则：队员不得在本方三米线前的区域完成高于球网上沿的进攻性击球。三米区内允许正常垫球、传球以及不违反上述限制的非进攻性回球。该规则适当限制近网强攻，保留正常接球、传球和防守行为；起跳位置、触球高度及临界情况的具体判定由协会在赛前统一说明。</w:t>
      </w:r>
    </w:p>
    <w:p w14:paraId="2D6CD0BA">
      <w:pPr>
        <w:rPr>
          <w:rFonts w:hint="eastAsia"/>
        </w:rPr>
      </w:pPr>
      <w:r>
        <w:t>计分与网高：小组赛BO1，25分、29分封顶；交叉阶段BO3，三局均为15分、19分封顶。均采用每球得分制，封顶前须达到规定分数且领先2分，达到封顶分数即可获胜。两片场地按现有2.24米和2.43米网高比赛，不调整网高，具体场地安排待定。</w:t>
      </w:r>
    </w:p>
    <w:p w14:paraId="429034E1">
      <w:pPr>
        <w:rPr>
          <w:rFonts w:hint="eastAsia"/>
        </w:rPr>
      </w:pPr>
      <w:r>
        <w:t>其他规则：未特别规定的内容原则上参照国际排球竞赛规则执行，以本次正式章程为准；特殊规则与常规规则不一致时，执行赛事公布的特殊规则。</w:t>
      </w:r>
    </w:p>
    <w:p w14:paraId="31497641">
      <w:pPr>
        <w:pStyle w:val="24"/>
        <w:rPr>
          <w:rFonts w:hint="eastAsia"/>
        </w:rPr>
      </w:pPr>
      <w:r>
        <w:t>5 小组排名办法</w:t>
      </w:r>
    </w:p>
    <w:p w14:paraId="6A4A5F45">
      <w:pPr>
        <w:rPr>
          <w:rFonts w:hint="eastAsia"/>
        </w:rPr>
      </w:pPr>
      <w:bookmarkStart w:id="11" w:name="_GoBack"/>
      <w:bookmarkEnd w:id="11"/>
      <w:r>
        <w:t>先按胜场数由多至少排序；胜场相同按以下顺序处理，正式章程确认后统一执行。</w:t>
      </w:r>
    </w:p>
    <w:p w14:paraId="4235DB18">
      <w:pPr>
        <w:rPr>
          <w:rFonts w:hint="eastAsia"/>
        </w:rPr>
      </w:pPr>
      <w:r>
        <w:t>两队胜场相同，先比较相互胜负，胜者列前。三队及以上胜场相同，依次比较并列队伍之间的胜场数、净胜分，再比较全部小组赛净胜分（总得分减总失分）。</w:t>
      </w:r>
    </w:p>
    <w:p w14:paraId="2722F951">
      <w:pPr>
        <w:rPr>
          <w:rFonts w:hint="eastAsia"/>
        </w:rPr>
      </w:pPr>
      <w:r>
        <w:t>比较后仍出现并列子集，对该子集重新应用相互比较规则；仅余两队时按相互胜负排序。仍无法区分时，建议公开抽签决定，不增加比赛场次。并列处理及弃权统计细则待协会确认。</w:t>
      </w:r>
    </w:p>
    <w:p w14:paraId="03C36ADA">
      <w:pPr>
        <w:pStyle w:val="24"/>
        <w:rPr>
          <w:rFonts w:hint="eastAsia"/>
        </w:rPr>
      </w:pPr>
      <w:r>
        <w:t>6 记录与成绩确认</w:t>
      </w:r>
    </w:p>
    <w:p w14:paraId="7AE6D92D">
      <w:pPr>
        <w:rPr>
          <w:rFonts w:hint="eastAsia"/>
        </w:rPr>
      </w:pPr>
      <w:r>
        <w:t>记录员逐场登记队名、各局比分及必要的比赛情况，赛后由裁判和双方队长核对确认，交赛事组织负责人汇总。小组排名经复核后公布交叉阶段对阵，全部比赛结束后确认最终名次。</w:t>
      </w:r>
    </w:p>
    <w:p w14:paraId="05268518">
      <w:pPr>
        <w:rPr>
          <w:rFonts w:hint="eastAsia"/>
        </w:rPr>
      </w:pPr>
      <w:r>
        <w:t>队长对记录或规则执行有异议时，及时向裁判负责人提出，按正式章程核实处理；成绩更正情况留存说明。</w:t>
      </w:r>
    </w:p>
    <w:p w14:paraId="31CC9301">
      <w:pPr>
        <w:pStyle w:val="24"/>
        <w:rPr>
          <w:rFonts w:hint="eastAsia"/>
        </w:rPr>
      </w:pPr>
      <w:r>
        <w:t>7 现场组织与秩序维护</w:t>
      </w:r>
    </w:p>
    <w:p w14:paraId="10306A6D">
      <w:pPr>
        <w:rPr>
          <w:rFonts w:hint="eastAsia"/>
        </w:rPr>
      </w:pPr>
      <w:r>
        <w:t>工作人员做好叫场、检录、器材交接和两片场地的进度协调。保持比赛区、候场区与观众区秩序，确保场地缓冲区及应急通道畅通，观众不得进入比赛区或干扰裁判。</w:t>
      </w:r>
    </w:p>
    <w:p w14:paraId="2C6FA201">
      <w:pPr>
        <w:pStyle w:val="23"/>
        <w:rPr>
          <w:rFonts w:hint="eastAsia"/>
        </w:rPr>
      </w:pPr>
      <w:r>
        <w:t>（三）赛事结束</w:t>
      </w:r>
    </w:p>
    <w:p w14:paraId="51A6C200">
      <w:pPr>
        <w:rPr>
          <w:rFonts w:hint="eastAsia"/>
        </w:rPr>
      </w:pPr>
      <w:r>
        <w:t>核对并公布第1至第8名成绩，按最终确定的奖项设置颁奖表彰，组织合影，回收器材并清理场地。奖品形式、颁奖人员和时间待定。</w:t>
      </w:r>
    </w:p>
    <w:p w14:paraId="056D5857">
      <w:pPr>
        <w:rPr>
          <w:rFonts w:hint="eastAsia"/>
        </w:rPr>
      </w:pPr>
      <w:r>
        <w:t>整理报名名单、抽签结果、比赛记录、成绩表、照片及经费凭证，收集参赛队伍和工作人员反馈，总结规则执行、场地安排与组织经验。</w:t>
      </w:r>
    </w:p>
    <w:p w14:paraId="4EE2A904">
      <w:pPr>
        <w:pStyle w:val="22"/>
        <w:rPr>
          <w:rFonts w:hint="eastAsia"/>
        </w:rPr>
      </w:pPr>
      <w:bookmarkStart w:id="7" w:name="_Toc242876232"/>
      <w:r>
        <w:t>第八章 安全管理与应急预案</w:t>
      </w:r>
      <w:bookmarkEnd w:id="7"/>
    </w:p>
    <w:p w14:paraId="687AED1F">
      <w:pPr>
        <w:pStyle w:val="23"/>
        <w:rPr>
          <w:rFonts w:hint="eastAsia"/>
        </w:rPr>
      </w:pPr>
      <w:r>
        <w:t>（一）安全预防措施</w:t>
      </w:r>
    </w:p>
    <w:p w14:paraId="4EE7A2F7">
      <w:pPr>
        <w:rPr>
          <w:rFonts w:hint="eastAsia"/>
        </w:rPr>
      </w:pPr>
      <w:r>
        <w:rPr>
          <w:b/>
        </w:rPr>
        <w:t>场地及器材检查：</w:t>
      </w:r>
      <w:r>
        <w:t>赛前检查两片场地、球网、网柱及裁判工作区域，排查积水、湿滑、破损和周边障碍物，清除杂物并保持应急通道畅通，发现隐患先处理再比赛。</w:t>
      </w:r>
    </w:p>
    <w:p w14:paraId="3D14DD28">
      <w:pPr>
        <w:rPr>
          <w:rFonts w:hint="eastAsia"/>
        </w:rPr>
      </w:pPr>
      <w:r>
        <w:rPr>
          <w:b/>
        </w:rPr>
        <w:t>赛前准备：</w:t>
      </w:r>
      <w:r>
        <w:t>提醒队员充分热身，穿着适合运动的服装和鞋，移除危险饰物；有伤病或身体不适者及时告知工作人员，不强行参赛。安排适当休息与饮水。</w:t>
      </w:r>
    </w:p>
    <w:p w14:paraId="64750FAF">
      <w:pPr>
        <w:rPr>
          <w:rFonts w:hint="eastAsia"/>
        </w:rPr>
      </w:pPr>
      <w:r>
        <w:rPr>
          <w:b/>
        </w:rPr>
        <w:t>人员安排：</w:t>
      </w:r>
      <w:r>
        <w:t>按两片场地的需要安排现场安全员，负责安全巡查、伤情响应及联络。具体名单待定，赛前确认就医路线、救护车辆进入方式及可用的室内避险地点。</w:t>
      </w:r>
    </w:p>
    <w:p w14:paraId="79E7A9B4">
      <w:pPr>
        <w:pStyle w:val="23"/>
        <w:rPr>
          <w:rFonts w:hint="eastAsia"/>
        </w:rPr>
      </w:pPr>
      <w:r>
        <w:t>（二）医疗保障</w:t>
      </w:r>
    </w:p>
    <w:p w14:paraId="47664544">
      <w:pPr>
        <w:rPr>
          <w:rFonts w:hint="eastAsia"/>
        </w:rPr>
      </w:pPr>
      <w:r>
        <w:t>现场准备急救箱，配备碘伏、棉签、纱布、绷带、创可贴、冰袋等冷敷用品及一次性手套，按用品说明使用。工作人员仅在能力范围内进行基础急救，不代替专业医疗救治。</w:t>
      </w:r>
    </w:p>
    <w:p w14:paraId="397C2AAE">
      <w:pPr>
        <w:pStyle w:val="23"/>
        <w:rPr>
          <w:rFonts w:hint="eastAsia"/>
        </w:rPr>
      </w:pPr>
      <w:r>
        <w:t>（三）应急处理流程</w:t>
      </w:r>
    </w:p>
    <w:p w14:paraId="6B7E1B0B">
      <w:pPr>
        <w:rPr>
          <w:rFonts w:hint="eastAsia"/>
        </w:rPr>
      </w:pPr>
      <w:r>
        <w:rPr>
          <w:b/>
        </w:rPr>
        <w:t>第一发现人（队员、裁判、观众）：</w:t>
      </w:r>
      <w:r>
        <w:t>发现伤情后立即示意暂停比赛，通知现场安全员或裁判。裁判及时停止相关比赛，保持救助空间畅通。</w:t>
      </w:r>
    </w:p>
    <w:p w14:paraId="5FE059EC">
      <w:pPr>
        <w:rPr>
          <w:rFonts w:hint="eastAsia"/>
        </w:rPr>
      </w:pPr>
      <w:r>
        <w:rPr>
          <w:b/>
        </w:rPr>
        <w:t>现场安全员：</w:t>
      </w:r>
      <w:r>
        <w:t>查看伤者与周围环境，在能力范围内进行初步处理并报告活动负责人。轻微擦伤可清洁并覆盖保护；轻微扭伤先停止运动，必要时用隔布冰袋冷敷。疼痛持续、明显肿胀或情况不明时及时就医，不强行按摩、复位或自行给药。</w:t>
      </w:r>
    </w:p>
    <w:p w14:paraId="3CE6A659">
      <w:pPr>
        <w:rPr>
          <w:rFonts w:hint="eastAsia"/>
        </w:rPr>
      </w:pPr>
      <w:r>
        <w:rPr>
          <w:b/>
        </w:rPr>
        <w:t>活动负责人：</w:t>
      </w:r>
      <w:r>
        <w:t>负责现场协调、赛事暂停和后续就医安排。疑似骨折、意识异常或其他严重伤情，应避免随意搬动伤者，立即联系专业急救人员，必要时拨打120，说明地点与伤情，安排工作人员引导救护车辆，并协助联系队长及伤者紧急联系人。具体处置以专业医疗人员和急救调度指导为准；非紧急但需就医的，安排人员陪同并保持联系。</w:t>
      </w:r>
    </w:p>
    <w:p w14:paraId="77888895">
      <w:pPr>
        <w:pStyle w:val="23"/>
        <w:rPr>
          <w:rFonts w:hint="eastAsia"/>
        </w:rPr>
      </w:pPr>
      <w:r>
        <w:t>（四）室外天气应急措施</w:t>
      </w:r>
    </w:p>
    <w:p w14:paraId="4BECBDAE">
      <w:pPr>
        <w:rPr>
          <w:rFonts w:hint="eastAsia"/>
        </w:rPr>
      </w:pPr>
      <w:r>
        <w:t>赛前关注天气预报和预警，比赛中留意天气变化。降雨导致场地湿滑或积水时暂停比赛；遇雷雨、雷电等危险天气，停止两片场地的室外活动，组织人员前往安全室内场所避险，避免在树下或网柱旁停留。</w:t>
      </w:r>
    </w:p>
    <w:p w14:paraId="5435984C">
      <w:pPr>
        <w:rPr>
          <w:rFonts w:hint="eastAsia"/>
        </w:rPr>
      </w:pPr>
      <w:r>
        <w:t>天气不适宜继续比赛时，由活动负责人调整或延期赛程并统一通知。恢复比赛前重新检查场地防滑、器材及周边安全，确认危险天气已过且现场具备安全条件后再复赛；停赛期间保存比赛记录。</w:t>
      </w:r>
    </w:p>
    <w:p w14:paraId="358CC80D">
      <w:pPr>
        <w:pStyle w:val="22"/>
        <w:rPr>
          <w:rFonts w:hint="eastAsia"/>
        </w:rPr>
      </w:pPr>
      <w:bookmarkStart w:id="8" w:name="_Toc242876233"/>
      <w:r>
        <w:t>第九章 经费预算</w:t>
      </w:r>
      <w:bookmarkEnd w:id="8"/>
    </w:p>
    <w:p w14:paraId="74E37742">
      <w:pPr>
        <w:rPr>
          <w:rFonts w:hint="eastAsia"/>
        </w:rPr>
      </w:pPr>
      <w:r>
        <w:t>经费按实际需要核定，优先使用现有或可借用器材。预算项目见表2，数量、单价及金额待库存盘点、询价及方案确认后补充。</w:t>
      </w:r>
    </w:p>
    <w:p w14:paraId="55630554">
      <w:pPr>
        <w:keepNext/>
        <w:spacing w:before="140" w:after="100"/>
        <w:ind w:firstLine="0"/>
        <w:jc w:val="center"/>
        <w:rPr>
          <w:rFonts w:hint="eastAsia"/>
        </w:rPr>
      </w:pPr>
      <w:r>
        <w:rPr>
          <w:b/>
        </w:rPr>
        <w:t>表2 经费预算表</w:t>
      </w:r>
    </w:p>
    <w:tbl>
      <w:tblPr>
        <w:tblStyle w:val="8"/>
        <w:tblW w:w="0" w:type="auto"/>
        <w:jc w:val="center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920"/>
        <w:gridCol w:w="2268"/>
        <w:gridCol w:w="1134"/>
        <w:gridCol w:w="1984"/>
      </w:tblGrid>
      <w:tr w14:paraId="0FBB1E9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920" w:type="dxa"/>
            <w:vAlign w:val="center"/>
          </w:tcPr>
          <w:p w14:paraId="52D04626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物品或项目</w:t>
            </w:r>
          </w:p>
        </w:tc>
        <w:tc>
          <w:tcPr>
            <w:tcW w:w="2268" w:type="dxa"/>
            <w:vAlign w:val="center"/>
          </w:tcPr>
          <w:p w14:paraId="1B200975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单价（元）／单位</w:t>
            </w:r>
          </w:p>
        </w:tc>
        <w:tc>
          <w:tcPr>
            <w:tcW w:w="1134" w:type="dxa"/>
            <w:vAlign w:val="center"/>
          </w:tcPr>
          <w:p w14:paraId="37178554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数量</w:t>
            </w:r>
          </w:p>
        </w:tc>
        <w:tc>
          <w:tcPr>
            <w:tcW w:w="1984" w:type="dxa"/>
            <w:vAlign w:val="center"/>
          </w:tcPr>
          <w:p w14:paraId="1C62A75B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金额（元）</w:t>
            </w:r>
          </w:p>
        </w:tc>
      </w:tr>
      <w:tr w14:paraId="51B8649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2920" w:type="dxa"/>
            <w:vAlign w:val="center"/>
          </w:tcPr>
          <w:p w14:paraId="18920444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比赛用球及必要器材</w:t>
            </w:r>
          </w:p>
        </w:tc>
        <w:tc>
          <w:tcPr>
            <w:tcW w:w="2268" w:type="dxa"/>
            <w:vAlign w:val="center"/>
          </w:tcPr>
          <w:p w14:paraId="34BA6405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134" w:type="dxa"/>
            <w:vAlign w:val="center"/>
          </w:tcPr>
          <w:p w14:paraId="6D9BD9F2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0F0519B8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  <w:tr w14:paraId="5D5D205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2920" w:type="dxa"/>
            <w:vAlign w:val="center"/>
          </w:tcPr>
          <w:p w14:paraId="29F89A6D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裁判与记录用品</w:t>
            </w:r>
          </w:p>
        </w:tc>
        <w:tc>
          <w:tcPr>
            <w:tcW w:w="2268" w:type="dxa"/>
            <w:vAlign w:val="center"/>
          </w:tcPr>
          <w:p w14:paraId="414914B3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134" w:type="dxa"/>
            <w:vAlign w:val="center"/>
          </w:tcPr>
          <w:p w14:paraId="2BABED59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7DBD2C65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  <w:tr w14:paraId="40C060F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2920" w:type="dxa"/>
            <w:vAlign w:val="center"/>
          </w:tcPr>
          <w:p w14:paraId="58ADA68E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饮用水</w:t>
            </w:r>
          </w:p>
        </w:tc>
        <w:tc>
          <w:tcPr>
            <w:tcW w:w="2268" w:type="dxa"/>
            <w:vAlign w:val="center"/>
          </w:tcPr>
          <w:p w14:paraId="18DB7B57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134" w:type="dxa"/>
            <w:vAlign w:val="center"/>
          </w:tcPr>
          <w:p w14:paraId="371785B5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1C714713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  <w:tr w14:paraId="47A789D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2920" w:type="dxa"/>
            <w:vAlign w:val="center"/>
          </w:tcPr>
          <w:p w14:paraId="2F54E55C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奖品</w:t>
            </w:r>
          </w:p>
        </w:tc>
        <w:tc>
          <w:tcPr>
            <w:tcW w:w="2268" w:type="dxa"/>
            <w:vAlign w:val="center"/>
          </w:tcPr>
          <w:p w14:paraId="66EFB709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134" w:type="dxa"/>
            <w:vAlign w:val="center"/>
          </w:tcPr>
          <w:p w14:paraId="154DD274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658F5B1E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  <w:tr w14:paraId="5274819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2920" w:type="dxa"/>
            <w:vAlign w:val="center"/>
          </w:tcPr>
          <w:p w14:paraId="015F747E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奖状</w:t>
            </w:r>
          </w:p>
        </w:tc>
        <w:tc>
          <w:tcPr>
            <w:tcW w:w="2268" w:type="dxa"/>
            <w:vAlign w:val="center"/>
          </w:tcPr>
          <w:p w14:paraId="4604BD85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134" w:type="dxa"/>
            <w:vAlign w:val="center"/>
          </w:tcPr>
          <w:p w14:paraId="3EE7768D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50BBDF5B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  <w:tr w14:paraId="16A747E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2920" w:type="dxa"/>
            <w:vAlign w:val="center"/>
          </w:tcPr>
          <w:p w14:paraId="5A9D8940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基础医疗用品</w:t>
            </w:r>
          </w:p>
        </w:tc>
        <w:tc>
          <w:tcPr>
            <w:tcW w:w="2268" w:type="dxa"/>
            <w:vAlign w:val="center"/>
          </w:tcPr>
          <w:p w14:paraId="68A749F1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134" w:type="dxa"/>
            <w:vAlign w:val="center"/>
          </w:tcPr>
          <w:p w14:paraId="74CC9FC1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69199CF5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  <w:tr w14:paraId="34CC972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2920" w:type="dxa"/>
            <w:vAlign w:val="center"/>
          </w:tcPr>
          <w:p w14:paraId="2A7F6901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宣传物资</w:t>
            </w:r>
          </w:p>
        </w:tc>
        <w:tc>
          <w:tcPr>
            <w:tcW w:w="2268" w:type="dxa"/>
            <w:vAlign w:val="center"/>
          </w:tcPr>
          <w:p w14:paraId="74EC0248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134" w:type="dxa"/>
            <w:vAlign w:val="center"/>
          </w:tcPr>
          <w:p w14:paraId="1D2089D5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045465A8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  <w:tr w14:paraId="17EBBC5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2920" w:type="dxa"/>
            <w:vAlign w:val="center"/>
          </w:tcPr>
          <w:p w14:paraId="27CE9033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其他必要开支</w:t>
            </w:r>
          </w:p>
        </w:tc>
        <w:tc>
          <w:tcPr>
            <w:tcW w:w="2268" w:type="dxa"/>
            <w:vAlign w:val="center"/>
          </w:tcPr>
          <w:p w14:paraId="3A7ECBBF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134" w:type="dxa"/>
            <w:vAlign w:val="center"/>
          </w:tcPr>
          <w:p w14:paraId="2D5B2259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1C418082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  <w:tr w14:paraId="01E4729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2920" w:type="dxa"/>
            <w:vAlign w:val="center"/>
          </w:tcPr>
          <w:p w14:paraId="49A52986">
            <w:pPr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合计</w:t>
            </w:r>
          </w:p>
        </w:tc>
        <w:tc>
          <w:tcPr>
            <w:tcW w:w="2268" w:type="dxa"/>
            <w:vAlign w:val="center"/>
          </w:tcPr>
          <w:p w14:paraId="6036E44D">
            <w:pPr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1134" w:type="dxa"/>
            <w:vAlign w:val="center"/>
          </w:tcPr>
          <w:p w14:paraId="34E14A05">
            <w:pPr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1984" w:type="dxa"/>
            <w:vAlign w:val="center"/>
          </w:tcPr>
          <w:p w14:paraId="41E178CF">
            <w:pPr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</w:tbl>
    <w:p w14:paraId="340DF3F0">
      <w:pPr>
        <w:rPr>
          <w:rFonts w:hint="eastAsia"/>
        </w:rPr>
      </w:pPr>
      <w:r>
        <w:t>其他必要开支须列明用途后核定。奖品及宣传物资按最终方案确定，如需裁判劳务开支，另行确认标准并补列。采购、借还与支出留存记录及凭证，赛后据实汇总。</w:t>
      </w:r>
    </w:p>
    <w:p w14:paraId="1653FE2E">
      <w:pPr>
        <w:pStyle w:val="22"/>
        <w:rPr>
          <w:rFonts w:hint="eastAsia"/>
        </w:rPr>
      </w:pPr>
      <w:bookmarkStart w:id="9" w:name="_Toc242876234"/>
      <w:r>
        <w:t>第十章 活动负责人及联系方式</w:t>
      </w:r>
      <w:bookmarkEnd w:id="9"/>
    </w:p>
    <w:p w14:paraId="2F4AF9D6">
      <w:pPr>
        <w:rPr>
          <w:rFonts w:hint="eastAsia"/>
        </w:rPr>
      </w:pPr>
      <w:r>
        <w:t>各负责人统筹相应工作，姓名及联系方式在赛前补齐，提供给工作人员和各队队长。</w:t>
      </w:r>
    </w:p>
    <w:p w14:paraId="6A5F5963">
      <w:pPr>
        <w:keepNext/>
        <w:spacing w:before="140" w:after="100"/>
        <w:ind w:firstLine="0"/>
        <w:jc w:val="center"/>
        <w:rPr>
          <w:rFonts w:hint="eastAsia"/>
        </w:rPr>
      </w:pPr>
      <w:r>
        <w:rPr>
          <w:b/>
        </w:rPr>
        <w:t>表3 活动负责人联系方式</w:t>
      </w:r>
    </w:p>
    <w:tbl>
      <w:tblPr>
        <w:tblStyle w:val="8"/>
        <w:tblW w:w="0" w:type="auto"/>
        <w:jc w:val="center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920"/>
        <w:gridCol w:w="1417"/>
        <w:gridCol w:w="1984"/>
        <w:gridCol w:w="1984"/>
      </w:tblGrid>
      <w:tr w14:paraId="3682B3E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920" w:type="dxa"/>
            <w:vAlign w:val="center"/>
          </w:tcPr>
          <w:p w14:paraId="66F51237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岗位</w:t>
            </w:r>
          </w:p>
        </w:tc>
        <w:tc>
          <w:tcPr>
            <w:tcW w:w="1417" w:type="dxa"/>
            <w:vAlign w:val="center"/>
          </w:tcPr>
          <w:p w14:paraId="62C8AD5B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姓名</w:t>
            </w:r>
          </w:p>
        </w:tc>
        <w:tc>
          <w:tcPr>
            <w:tcW w:w="1984" w:type="dxa"/>
            <w:vAlign w:val="center"/>
          </w:tcPr>
          <w:p w14:paraId="47AF730B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手机号</w:t>
            </w:r>
          </w:p>
        </w:tc>
        <w:tc>
          <w:tcPr>
            <w:tcW w:w="1984" w:type="dxa"/>
            <w:vAlign w:val="center"/>
          </w:tcPr>
          <w:p w14:paraId="30DD57EC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QQ</w:t>
            </w:r>
          </w:p>
        </w:tc>
      </w:tr>
      <w:tr w14:paraId="2EA5F65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2920" w:type="dxa"/>
            <w:vAlign w:val="center"/>
          </w:tcPr>
          <w:p w14:paraId="4F3D77F8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活动总负责人</w:t>
            </w:r>
          </w:p>
        </w:tc>
        <w:tc>
          <w:tcPr>
            <w:tcW w:w="1417" w:type="dxa"/>
            <w:vAlign w:val="center"/>
          </w:tcPr>
          <w:p w14:paraId="04303C04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497B0D8A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10C347CB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  <w:tr w14:paraId="616BFE9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2920" w:type="dxa"/>
            <w:vAlign w:val="center"/>
          </w:tcPr>
          <w:p w14:paraId="2FE9096E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赛事组织负责人</w:t>
            </w:r>
          </w:p>
        </w:tc>
        <w:tc>
          <w:tcPr>
            <w:tcW w:w="1417" w:type="dxa"/>
            <w:vAlign w:val="center"/>
          </w:tcPr>
          <w:p w14:paraId="1A1B8AEB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2DAD1790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646DC002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  <w:tr w14:paraId="1B5ACA3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2920" w:type="dxa"/>
            <w:vAlign w:val="center"/>
          </w:tcPr>
          <w:p w14:paraId="0713D0D6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裁判负责人</w:t>
            </w:r>
          </w:p>
        </w:tc>
        <w:tc>
          <w:tcPr>
            <w:tcW w:w="1417" w:type="dxa"/>
            <w:vAlign w:val="center"/>
          </w:tcPr>
          <w:p w14:paraId="1E3F68A0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019D9586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157DEF87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  <w:tr w14:paraId="6BAACD7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2920" w:type="dxa"/>
            <w:vAlign w:val="center"/>
          </w:tcPr>
          <w:p w14:paraId="050C597E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宣传负责人</w:t>
            </w:r>
          </w:p>
        </w:tc>
        <w:tc>
          <w:tcPr>
            <w:tcW w:w="1417" w:type="dxa"/>
            <w:vAlign w:val="center"/>
          </w:tcPr>
          <w:p w14:paraId="45D1E6C4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208EC0F0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1F8C7D2C">
            <w:pPr>
              <w:keepNext/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  <w:tr w14:paraId="7A8AF8F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jc w:val="center"/>
        </w:trPr>
        <w:tc>
          <w:tcPr>
            <w:tcW w:w="2920" w:type="dxa"/>
            <w:vAlign w:val="center"/>
          </w:tcPr>
          <w:p w14:paraId="1299F959">
            <w:pPr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安全负责人</w:t>
            </w:r>
          </w:p>
        </w:tc>
        <w:tc>
          <w:tcPr>
            <w:tcW w:w="1417" w:type="dxa"/>
            <w:vAlign w:val="center"/>
          </w:tcPr>
          <w:p w14:paraId="37FF8301">
            <w:pPr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605195A1">
            <w:pPr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  <w:tc>
          <w:tcPr>
            <w:tcW w:w="1984" w:type="dxa"/>
            <w:vAlign w:val="center"/>
          </w:tcPr>
          <w:p w14:paraId="34E61A48">
            <w:pPr>
              <w:spacing w:after="0" w:line="380" w:lineRule="exact"/>
              <w:ind w:firstLine="0"/>
              <w:jc w:val="center"/>
              <w:rPr>
                <w:rFonts w:hint="eastAsia"/>
              </w:rPr>
            </w:pPr>
            <w:r>
              <w:rPr>
                <w:sz w:val="22"/>
              </w:rPr>
              <w:t>待定</w:t>
            </w:r>
          </w:p>
        </w:tc>
      </w:tr>
    </w:tbl>
    <w:p w14:paraId="407F3B5C">
      <w:pPr>
        <w:pStyle w:val="22"/>
        <w:rPr>
          <w:rFonts w:hint="eastAsia"/>
        </w:rPr>
      </w:pPr>
      <w:bookmarkStart w:id="10" w:name="_Toc242876235"/>
      <w:r>
        <w:t>第十一章 备注</w:t>
      </w:r>
      <w:bookmarkEnd w:id="10"/>
    </w:p>
    <w:p w14:paraId="6C150179">
      <w:pPr>
        <w:rPr>
          <w:rFonts w:hint="eastAsia"/>
        </w:rPr>
      </w:pPr>
      <w:r>
        <w:t>1. 本方案按8支队伍、两组各4队设计，比赛共18场。报名、赛程及人员安排以正式通知为准。</w:t>
      </w:r>
    </w:p>
    <w:p w14:paraId="7CE682FA">
      <w:pPr>
        <w:rPr>
          <w:rFonts w:hint="eastAsia"/>
        </w:rPr>
      </w:pPr>
      <w:r>
        <w:t>2. 发球轮换、自由人使用、并列排名、女生因伤无法满足上场要求时的处理办法，以及进攻限制的具体判定说明，由协会在赛前确认并公示。具体场地分配待定。</w:t>
      </w:r>
    </w:p>
    <w:p w14:paraId="323BB31F">
      <w:pPr>
        <w:rPr>
          <w:rFonts w:hint="eastAsia"/>
        </w:rPr>
      </w:pPr>
      <w:r>
        <w:t>3. 因天气或其他不可抗力调整比赛时，协会将及时通知各队。其他未尽事宜由组织方协调处理。</w:t>
      </w:r>
    </w:p>
    <w:p w14:paraId="3753814E">
      <w:pPr>
        <w:spacing w:before="320"/>
        <w:ind w:firstLine="0"/>
        <w:jc w:val="right"/>
        <w:rPr>
          <w:rFonts w:hint="eastAsia"/>
          <w:b/>
          <w:bCs w:val="0"/>
          <w:sz w:val="32"/>
          <w:szCs w:val="32"/>
        </w:rPr>
      </w:pPr>
      <w:r>
        <w:rPr>
          <w:rFonts w:hint="eastAsia" w:ascii="Times New Roman Regular" w:hAnsi="Times New Roman Regular" w:eastAsia="华文仿宋" w:cs="Times New Roman Regular"/>
          <w:b/>
          <w:bCs w:val="0"/>
          <w:sz w:val="32"/>
          <w:szCs w:val="32"/>
        </w:rPr>
        <w:t>校学生排球协会</w:t>
      </w:r>
      <w:r>
        <w:rPr>
          <w:rFonts w:hint="eastAsia" w:ascii="Times New Roman Regular" w:hAnsi="Times New Roman Regular" w:eastAsia="华文仿宋" w:cs="Times New Roman Regular"/>
          <w:b/>
          <w:bCs w:val="0"/>
          <w:sz w:val="32"/>
          <w:szCs w:val="32"/>
          <w:lang w:val="en-US" w:eastAsia="zh-CN"/>
        </w:rPr>
        <w:t>高新园区分社</w:t>
      </w:r>
      <w:r>
        <w:rPr>
          <w:b/>
          <w:bCs w:val="0"/>
          <w:sz w:val="32"/>
          <w:szCs w:val="32"/>
        </w:rPr>
        <w:br w:type="textWrapping"/>
      </w:r>
      <w:r>
        <w:rPr>
          <w:b/>
          <w:bCs w:val="0"/>
          <w:sz w:val="32"/>
          <w:szCs w:val="32"/>
        </w:rPr>
        <w:t>日期：待定</w:t>
      </w:r>
    </w:p>
    <w:sectPr>
      <w:footerReference r:id="rId6" w:type="default"/>
      <w:pgSz w:w="11906" w:h="16838"/>
      <w:pgMar w:top="1440" w:right="1800" w:bottom="1440" w:left="1800" w:header="850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5A0FAF">
    <w:pPr>
      <w:pStyle w:val="4"/>
      <w:rPr>
        <w:rFonts w:hint="eastAsia"/>
      </w:rPr>
    </w:pPr>
  </w:p>
  <w:p w14:paraId="581892ED">
    <w:pPr>
      <w:pStyle w:val="4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76BD7">
    <w:pPr>
      <w:ind w:firstLine="0"/>
      <w:jc w:val="center"/>
      <w:rPr>
        <w:rFonts w:hint="eastAsia"/>
      </w:rPr>
    </w:pPr>
    <w:r>
      <w:fldChar w:fldCharType="begin"/>
    </w:r>
    <w:r>
      <w:instrText xml:space="preserve">PAGE</w:instrText>
    </w:r>
    <w:r>
      <w:fldChar w:fldCharType="separate"/>
    </w:r>
    <w:r>
      <w:rPr>
        <w:rFonts w:hint="eastAsia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F30"/>
    <w:rsid w:val="00021F97"/>
    <w:rsid w:val="00077D04"/>
    <w:rsid w:val="0008209A"/>
    <w:rsid w:val="000A67A9"/>
    <w:rsid w:val="000B67E0"/>
    <w:rsid w:val="000D000A"/>
    <w:rsid w:val="00101D50"/>
    <w:rsid w:val="00122862"/>
    <w:rsid w:val="00136850"/>
    <w:rsid w:val="001610A0"/>
    <w:rsid w:val="001D2273"/>
    <w:rsid w:val="00263865"/>
    <w:rsid w:val="002D67E1"/>
    <w:rsid w:val="002F174A"/>
    <w:rsid w:val="003038DC"/>
    <w:rsid w:val="00312063"/>
    <w:rsid w:val="003A65BE"/>
    <w:rsid w:val="003F619B"/>
    <w:rsid w:val="004A7F30"/>
    <w:rsid w:val="00502DE8"/>
    <w:rsid w:val="00564DFE"/>
    <w:rsid w:val="00585F1D"/>
    <w:rsid w:val="005B0FD6"/>
    <w:rsid w:val="006838A1"/>
    <w:rsid w:val="007010B9"/>
    <w:rsid w:val="007052E7"/>
    <w:rsid w:val="00725947"/>
    <w:rsid w:val="00757B1A"/>
    <w:rsid w:val="00763272"/>
    <w:rsid w:val="0077678B"/>
    <w:rsid w:val="007B62C3"/>
    <w:rsid w:val="007D06E6"/>
    <w:rsid w:val="00802E41"/>
    <w:rsid w:val="008E2C7A"/>
    <w:rsid w:val="00941125"/>
    <w:rsid w:val="009D686B"/>
    <w:rsid w:val="00A2041B"/>
    <w:rsid w:val="00AC1167"/>
    <w:rsid w:val="00AC666E"/>
    <w:rsid w:val="00AF76E1"/>
    <w:rsid w:val="00B6117C"/>
    <w:rsid w:val="00B62F0F"/>
    <w:rsid w:val="00B80EDB"/>
    <w:rsid w:val="00B83C66"/>
    <w:rsid w:val="00C0623C"/>
    <w:rsid w:val="00C14517"/>
    <w:rsid w:val="00C31175"/>
    <w:rsid w:val="00C81AF4"/>
    <w:rsid w:val="00C85A03"/>
    <w:rsid w:val="00D81090"/>
    <w:rsid w:val="00E17F80"/>
    <w:rsid w:val="00E27D44"/>
    <w:rsid w:val="00E9401E"/>
    <w:rsid w:val="00F337FE"/>
    <w:rsid w:val="00F36037"/>
    <w:rsid w:val="00FA51D5"/>
    <w:rsid w:val="00FB7DAF"/>
    <w:rsid w:val="00FD7F1A"/>
    <w:rsid w:val="00FE422E"/>
    <w:rsid w:val="00FE7442"/>
    <w:rsid w:val="00FF167C"/>
    <w:rsid w:val="0C5171A1"/>
    <w:rsid w:val="10F2452B"/>
    <w:rsid w:val="13D67BC9"/>
    <w:rsid w:val="16CD3E38"/>
    <w:rsid w:val="1A1C35E3"/>
    <w:rsid w:val="1A4B5608"/>
    <w:rsid w:val="1C1C4F1A"/>
    <w:rsid w:val="29263B42"/>
    <w:rsid w:val="323422B1"/>
    <w:rsid w:val="34AB35B3"/>
    <w:rsid w:val="3AF61300"/>
    <w:rsid w:val="40393D8B"/>
    <w:rsid w:val="42AC7150"/>
    <w:rsid w:val="49D21B62"/>
    <w:rsid w:val="4BF4429D"/>
    <w:rsid w:val="4E782E22"/>
    <w:rsid w:val="4F027AD1"/>
    <w:rsid w:val="5A471A6E"/>
    <w:rsid w:val="633975A6"/>
    <w:rsid w:val="6FC671F3"/>
    <w:rsid w:val="71CF7BDA"/>
    <w:rsid w:val="71ED1E0E"/>
    <w:rsid w:val="73E77510"/>
    <w:rsid w:val="744F2750"/>
    <w:rsid w:val="7CF1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after="80" w:line="440" w:lineRule="exact"/>
      <w:ind w:firstLine="482"/>
      <w:jc w:val="both"/>
    </w:pPr>
    <w:rPr>
      <w:rFonts w:ascii="宋体" w:hAnsi="宋体" w:eastAsia="宋体" w:cs="宋体"/>
      <w:color w:val="000000"/>
      <w:kern w:val="2"/>
      <w:sz w:val="24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  <w:rPr>
      <w:rFonts w:ascii="等线" w:hAnsi="等线" w:eastAsia="等线"/>
    </w:rPr>
  </w:style>
  <w:style w:type="paragraph" w:styleId="3">
    <w:name w:val="Date"/>
    <w:basedOn w:val="1"/>
    <w:next w:val="1"/>
    <w:link w:val="15"/>
    <w:qFormat/>
    <w:uiPriority w:val="0"/>
    <w:pPr>
      <w:ind w:left="100" w:leftChars="2500"/>
    </w:p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6">
    <w:name w:val="toc 1"/>
    <w:basedOn w:val="1"/>
    <w:next w:val="1"/>
    <w:qFormat/>
    <w:uiPriority w:val="39"/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qFormat/>
    <w:uiPriority w:val="0"/>
    <w:rPr>
      <w:color w:val="954F72"/>
      <w:u w:val="single"/>
    </w:rPr>
  </w:style>
  <w:style w:type="character" w:styleId="13">
    <w:name w:val="Hyperlink"/>
    <w:basedOn w:val="10"/>
    <w:qFormat/>
    <w:uiPriority w:val="99"/>
    <w:rPr>
      <w:color w:val="0563C1"/>
      <w:u w:val="single"/>
    </w:rPr>
  </w:style>
  <w:style w:type="paragraph" w:customStyle="1" w:styleId="14">
    <w:name w:val="列表段落1"/>
    <w:basedOn w:val="1"/>
    <w:qFormat/>
    <w:uiPriority w:val="99"/>
    <w:pPr>
      <w:ind w:firstLine="420" w:firstLineChars="200"/>
    </w:pPr>
  </w:style>
  <w:style w:type="character" w:customStyle="1" w:styleId="15">
    <w:name w:val="日期 字符"/>
    <w:basedOn w:val="10"/>
    <w:link w:val="3"/>
    <w:qFormat/>
    <w:uiPriority w:val="0"/>
    <w:rPr>
      <w:rFonts w:ascii="Calibri" w:hAnsi="Calibri" w:eastAsia="宋体" w:cs="宋体"/>
      <w:kern w:val="2"/>
      <w:sz w:val="21"/>
      <w:szCs w:val="24"/>
    </w:rPr>
  </w:style>
  <w:style w:type="paragraph" w:customStyle="1" w:styleId="16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17">
    <w:name w:val="未处理的提及1"/>
    <w:basedOn w:val="10"/>
    <w:qFormat/>
    <w:uiPriority w:val="99"/>
    <w:rPr>
      <w:color w:val="605E5C"/>
      <w:shd w:val="clear" w:color="auto" w:fill="E1DFDD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  <w:style w:type="character" w:customStyle="1" w:styleId="19">
    <w:name w:val="未处理的提及2"/>
    <w:basedOn w:val="10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20">
    <w:name w:val="网格型1"/>
    <w:basedOn w:val="8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1">
    <w:name w:val="标题1"/>
    <w:qFormat/>
    <w:uiPriority w:val="0"/>
    <w:pPr>
      <w:keepNext/>
      <w:snapToGrid w:val="0"/>
      <w:spacing w:after="80" w:line="440" w:lineRule="exact"/>
    </w:pPr>
    <w:rPr>
      <w:rFonts w:ascii="黑体" w:hAnsi="黑体" w:eastAsia="黑体" w:cs="Times New Roman"/>
      <w:color w:val="000000"/>
      <w:sz w:val="72"/>
      <w:lang w:val="en-US" w:eastAsia="zh-CN" w:bidi="ar-SA"/>
    </w:rPr>
  </w:style>
  <w:style w:type="paragraph" w:customStyle="1" w:styleId="22">
    <w:name w:val="标题 11"/>
    <w:qFormat/>
    <w:uiPriority w:val="0"/>
    <w:pPr>
      <w:keepNext/>
      <w:snapToGrid w:val="0"/>
      <w:spacing w:before="240" w:after="120" w:line="440" w:lineRule="exact"/>
      <w:outlineLvl w:val="0"/>
    </w:pPr>
    <w:rPr>
      <w:rFonts w:ascii="黑体" w:hAnsi="黑体" w:eastAsia="黑体" w:cs="Times New Roman"/>
      <w:b/>
      <w:color w:val="000000"/>
      <w:sz w:val="32"/>
      <w:lang w:val="en-US" w:eastAsia="zh-CN" w:bidi="ar-SA"/>
    </w:rPr>
  </w:style>
  <w:style w:type="paragraph" w:customStyle="1" w:styleId="23">
    <w:name w:val="标题 21"/>
    <w:qFormat/>
    <w:uiPriority w:val="0"/>
    <w:pPr>
      <w:keepNext/>
      <w:snapToGrid w:val="0"/>
      <w:spacing w:before="240" w:after="120" w:line="440" w:lineRule="exact"/>
      <w:outlineLvl w:val="1"/>
    </w:pPr>
    <w:rPr>
      <w:rFonts w:ascii="黑体" w:hAnsi="黑体" w:eastAsia="黑体" w:cs="Times New Roman"/>
      <w:b/>
      <w:color w:val="000000"/>
      <w:sz w:val="28"/>
      <w:lang w:val="en-US" w:eastAsia="zh-CN" w:bidi="ar-SA"/>
    </w:rPr>
  </w:style>
  <w:style w:type="paragraph" w:customStyle="1" w:styleId="24">
    <w:name w:val="标题 31"/>
    <w:qFormat/>
    <w:uiPriority w:val="0"/>
    <w:pPr>
      <w:keepNext/>
      <w:snapToGrid w:val="0"/>
      <w:spacing w:before="240" w:after="120" w:line="440" w:lineRule="exact"/>
      <w:outlineLvl w:val="2"/>
    </w:pPr>
    <w:rPr>
      <w:rFonts w:ascii="黑体" w:hAnsi="黑体" w:eastAsia="黑体" w:cs="Times New Roman"/>
      <w:b/>
      <w:color w:val="000000"/>
      <w:sz w:val="26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4513</Words>
  <Characters>4605</Characters>
  <Lines>188</Lines>
  <Paragraphs>233</Paragraphs>
  <TotalTime>1</TotalTime>
  <ScaleCrop>false</ScaleCrop>
  <LinksUpToDate>false</LinksUpToDate>
  <CharactersWithSpaces>4676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2024-10-02T04:16:00Z</dcterms:created>
  <dc:creator>中国科学技术大学学生排球协会</dc:creator>
  <cp:lastModifiedBy>林斯晨</cp:lastModifiedBy>
  <cp:lastPrinted>2021-08-28T15:42:00Z</cp:lastPrinted>
  <dcterms:modified xsi:type="dcterms:W3CDTF">2026-10-14T15:24:08Z</dcterms:modified>
  <dc:subject>4v4排球比赛活动筹备</dc:subject>
  <dc:title>中国科学技术大学学生排球协会4v4排球比赛策划书 修订版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7892ACFF45E448468DB522153AE89FE9_13</vt:lpwstr>
  </property>
  <property fmtid="{D5CDD505-2E9C-101B-9397-08002B2CF9AE}" pid="4" name="KSOTemplateDocerSaveRecord">
    <vt:lpwstr>eyJoZGlkIjoiOTUxMTE1NDEzNjgzM2M4N2YxMDllYjc4ZGFmYjg4MjAiLCJ1c2VySWQiOiIxNzc1NjgxMzc2In0=</vt:lpwstr>
  </property>
</Properties>
</file>