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bidi w:val="0"/>
        <w:spacing w:lineRule="auto" w:line="0" w:before="0" w:after="454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0"/>
        </w:rPr>
      </w:pPr>
      <w:r>
        <w:rPr>
          <w:rFonts w:eastAsia="Noto Sans CJK SC" w:ascii="Noto Sans CJK SC" w:hAnsi="Noto Sans CJK SC"/>
          <w:b w:val="false"/>
          <w:color w:val="243B53"/>
          <w:sz w:val="20"/>
        </w:rPr>
      </w:r>
    </w:p>
    <w:p>
      <w:pPr>
        <w:pStyle w:val="Normal"/>
        <w:keepNext w:val="false"/>
        <w:bidi w:val="0"/>
        <w:spacing w:lineRule="auto" w:line="0" w:before="0" w:after="74"/>
        <w:ind w:start="0" w:end="0" w:hanging="0"/>
        <w:jc w:val="center"/>
        <w:rPr>
          <w:rFonts w:ascii="Noto Sans CJK SC" w:hAnsi="Noto Sans CJK SC" w:eastAsia="Noto Sans CJK SC"/>
          <w:b/>
          <w:b/>
          <w:color w:val="1F5A94"/>
          <w:sz w:val="60"/>
        </w:rPr>
      </w:pPr>
      <w:r>
        <w:rPr>
          <w:rFonts w:eastAsia="Noto Sans CJK SC" w:ascii="Noto Sans CJK SC" w:hAnsi="Noto Sans CJK SC"/>
          <w:b/>
          <w:color w:val="1F5A94"/>
          <w:sz w:val="60"/>
        </w:rPr>
        <w:t>RT-Thread 5.3.0</w:t>
      </w:r>
    </w:p>
    <w:p>
      <w:pPr>
        <w:pStyle w:val="Normal"/>
        <w:keepNext w:val="false"/>
        <w:bidi w:val="0"/>
        <w:spacing w:lineRule="auto" w:line="0" w:before="0" w:after="147"/>
        <w:ind w:start="0" w:end="0" w:hanging="0"/>
        <w:jc w:val="center"/>
        <w:rPr>
          <w:rFonts w:ascii="Noto Sans CJK SC" w:hAnsi="Noto Sans CJK SC" w:eastAsia="Noto Sans CJK SC"/>
          <w:b/>
          <w:b/>
          <w:color w:val="102A43"/>
          <w:sz w:val="48"/>
        </w:rPr>
      </w:pPr>
      <w:r>
        <w:rPr>
          <w:rFonts w:ascii="Noto Sans CJK SC" w:hAnsi="Noto Sans CJK SC" w:eastAsia="Noto Sans CJK SC"/>
          <w:b/>
          <w:color w:val="102A43"/>
          <w:sz w:val="48"/>
        </w:rPr>
        <w:t>源码结构与运行机制梳理</w:t>
      </w:r>
    </w:p>
    <w:p>
      <w:pPr>
        <w:pStyle w:val="Normal"/>
        <w:keepNext w:val="false"/>
        <w:bidi w:val="0"/>
        <w:spacing w:lineRule="auto" w:line="0" w:before="0" w:after="340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526D82"/>
          <w:sz w:val="26"/>
        </w:rPr>
      </w:pPr>
      <w:r>
        <w:rPr>
          <w:rFonts w:ascii="Noto Sans CJK SC" w:hAnsi="Noto Sans CJK SC" w:eastAsia="Noto Sans CJK SC"/>
          <w:b w:val="false"/>
          <w:color w:val="526D82"/>
          <w:sz w:val="26"/>
        </w:rPr>
        <w:t xml:space="preserve">目录架构 </w:t>
      </w:r>
      <w:r>
        <w:rPr>
          <w:rFonts w:eastAsia="Noto Sans CJK SC" w:ascii="Noto Sans CJK SC" w:hAnsi="Noto Sans CJK SC"/>
          <w:b w:val="false"/>
          <w:color w:val="526D82"/>
          <w:sz w:val="26"/>
        </w:rPr>
        <w:t xml:space="preserve">· </w:t>
      </w:r>
      <w:r>
        <w:rPr>
          <w:rFonts w:ascii="Noto Sans CJK SC" w:hAnsi="Noto Sans CJK SC" w:eastAsia="Noto Sans CJK SC"/>
          <w:b w:val="false"/>
          <w:color w:val="526D82"/>
          <w:sz w:val="26"/>
        </w:rPr>
        <w:t xml:space="preserve">构建流程 </w:t>
      </w:r>
      <w:r>
        <w:rPr>
          <w:rFonts w:eastAsia="Noto Sans CJK SC" w:ascii="Noto Sans CJK SC" w:hAnsi="Noto Sans CJK SC"/>
          <w:b w:val="false"/>
          <w:color w:val="526D82"/>
          <w:sz w:val="26"/>
        </w:rPr>
        <w:t xml:space="preserve">· </w:t>
      </w:r>
      <w:r>
        <w:rPr>
          <w:rFonts w:ascii="Noto Sans CJK SC" w:hAnsi="Noto Sans CJK SC" w:eastAsia="Noto Sans CJK SC"/>
          <w:b w:val="false"/>
          <w:color w:val="526D82"/>
          <w:sz w:val="26"/>
        </w:rPr>
        <w:t xml:space="preserve">内核机制 </w:t>
      </w:r>
      <w:r>
        <w:rPr>
          <w:rFonts w:eastAsia="Noto Sans CJK SC" w:ascii="Noto Sans CJK SC" w:hAnsi="Noto Sans CJK SC"/>
          <w:b w:val="false"/>
          <w:color w:val="526D82"/>
          <w:sz w:val="26"/>
        </w:rPr>
        <w:t xml:space="preserve">· </w:t>
      </w:r>
      <w:r>
        <w:rPr>
          <w:rFonts w:ascii="Noto Sans CJK SC" w:hAnsi="Noto Sans CJK SC" w:eastAsia="Noto Sans CJK SC"/>
          <w:b w:val="false"/>
          <w:color w:val="526D82"/>
          <w:sz w:val="26"/>
        </w:rPr>
        <w:t xml:space="preserve">组件边界 </w:t>
      </w:r>
      <w:r>
        <w:rPr>
          <w:rFonts w:eastAsia="Noto Sans CJK SC" w:ascii="Noto Sans CJK SC" w:hAnsi="Noto Sans CJK SC"/>
          <w:b w:val="false"/>
          <w:color w:val="526D82"/>
          <w:sz w:val="26"/>
        </w:rPr>
        <w:t xml:space="preserve">· </w:t>
      </w:r>
      <w:r>
        <w:rPr>
          <w:rFonts w:ascii="Noto Sans CJK SC" w:hAnsi="Noto Sans CJK SC" w:eastAsia="Noto Sans CJK SC"/>
          <w:b w:val="false"/>
          <w:color w:val="526D82"/>
          <w:sz w:val="26"/>
        </w:rPr>
        <w:t>阅读路线</w:t>
      </w:r>
    </w:p>
    <w:p>
      <w:pPr>
        <w:pStyle w:val="Normal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219700" cy="30448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bidi w:val="0"/>
        <w:spacing w:lineRule="auto" w:line="0" w:before="0" w:after="12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16"/>
        </w:rPr>
      </w:pPr>
      <w:r>
        <w:rPr>
          <w:rFonts w:eastAsia="Noto Sans CJK SC" w:ascii="Noto Sans CJK SC" w:hAnsi="Noto Sans CJK SC"/>
          <w:b w:val="false"/>
          <w:color w:val="243B53"/>
          <w:sz w:val="16"/>
        </w:rPr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95"/>
        <w:gridCol w:w="7429"/>
      </w:tblGrid>
      <w:tr>
        <w:trPr/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02A43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9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w="7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02A43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9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分析目录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eastAsia="Noto Sans CJK SC" w:ascii="Noto Sans CJK SC" w:hAnsi="Noto Sans CJK SC"/>
                <w:color w:val="243B53"/>
                <w:sz w:val="19"/>
              </w:rPr>
              <w:t>/home/lsc20/Desktop/lsc_codex/rt-thread_codex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版本宏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eastAsia="Noto Sans CJK SC" w:ascii="Noto Sans CJK SC" w:hAnsi="Noto Sans CJK SC"/>
                <w:color w:val="243B53"/>
                <w:sz w:val="19"/>
              </w:rPr>
              <w:t>RT-Thread 5.3.0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分析基线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eastAsia="Noto Sans CJK SC" w:ascii="Noto Sans CJK SC" w:hAnsi="Noto Sans CJK SC"/>
                <w:color w:val="243B53"/>
                <w:sz w:val="19"/>
              </w:rPr>
              <w:t xml:space="preserve">Git 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 xml:space="preserve">提交 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>76b0267361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统计日期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eastAsia="Noto Sans CJK SC" w:ascii="Noto Sans CJK SC" w:hAnsi="Noto Sans CJK SC"/>
                <w:color w:val="243B53"/>
                <w:sz w:val="19"/>
              </w:rPr>
              <w:t>2026-08-13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分析方式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 xml:space="preserve">静态、只读源码分析；未指定目标 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>BSP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，未执行构建或测试</w:t>
            </w:r>
          </w:p>
        </w:tc>
      </w:tr>
    </w:tbl>
    <w:p>
      <w:pPr>
        <w:pStyle w:val="Normal"/>
        <w:bidi w:val="0"/>
        <w:spacing w:lineRule="auto" w:line="0" w:before="0" w:after="12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16"/>
        </w:rPr>
      </w:pPr>
      <w:r>
        <w:rPr>
          <w:rFonts w:eastAsia="Noto Sans CJK SC" w:ascii="Noto Sans CJK SC" w:hAnsi="Noto Sans CJK SC"/>
          <w:b w:val="false"/>
          <w:color w:val="243B53"/>
          <w:sz w:val="16"/>
        </w:rPr>
      </w:r>
      <w:r>
        <w:br w:type="page"/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191" w:right="1191" w:header="964" w:top="1333" w:footer="964" w:bottom="1333" w:gutter="0"/>
          <w:pgNumType w:fmt="decimal"/>
          <w:formProt w:val="false"/>
          <w:titlePg/>
          <w:textDirection w:val="lrTb"/>
        </w:sectPr>
        <w:pStyle w:val="Normal"/>
        <w:bidi w:val="0"/>
        <w:spacing w:lineRule="auto" w:line="0" w:before="0" w:after="102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</w:r>
    </w:p>
    <w:p>
      <w:pPr>
        <w:pStyle w:val="Normal"/>
        <w:keepNext w:val="false"/>
        <w:pageBreakBefore w:val="false"/>
        <w:bidi w:val="0"/>
        <w:spacing w:lineRule="auto" w:line="0" w:before="57" w:after="102"/>
        <w:ind w:start="0" w:end="0" w:hanging="0"/>
        <w:jc w:val="start"/>
        <w:rPr>
          <w:rFonts w:ascii="Noto Sans CJK SC" w:hAnsi="Noto Sans CJK SC" w:eastAsia="Noto Sans CJK SC"/>
          <w:b/>
          <w:b/>
          <w:color w:val="102A43"/>
          <w:sz w:val="40"/>
        </w:rPr>
      </w:pPr>
      <w:r>
        <w:rPr>
          <w:rFonts w:ascii="Noto Sans CJK SC" w:hAnsi="Noto Sans CJK SC" w:eastAsia="Noto Sans CJK SC"/>
          <w:b/>
          <w:color w:val="102A43"/>
          <w:sz w:val="40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> TOC \f \o "1-9" \h</w:instrText>
          </w:r>
          <w:r>
            <w:rPr>
              <w:rStyle w:val="IndexLink"/>
            </w:rPr>
            <w:fldChar w:fldCharType="separate"/>
          </w:r>
          <w:hyperlink w:anchor="__RefHeading___Toc37_1096083890">
            <w:r>
              <w:rPr>
                <w:rStyle w:val="IndexLink"/>
              </w:rPr>
              <w:t>摘要：先抓住四个结论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39_1096083890"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仓库全景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41_1096083890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仓库定位与规模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43_1096083890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顶层目录职责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45_1096083890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软件分层与调用边界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47_1096083890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配置与构建机制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49_1096083890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三种系统形态与一个独立维度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51_1096083890"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内核核心模块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53_1096083890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统一对象模型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55_1096083890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线程和调度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57_1096083890"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>系统启动过程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59_1096083890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自动初始化等级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61_1096083890">
            <w:r>
              <w:rPr>
                <w:rStyle w:val="IndexLink"/>
              </w:rPr>
              <w:t>6 IPC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 xml:space="preserve">Tick </w:t>
            </w:r>
            <w:r>
              <w:rPr>
                <w:rStyle w:val="IndexLink"/>
              </w:rPr>
              <w:t>与定时器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63_1096083890">
            <w:r>
              <w:rPr>
                <w:rStyle w:val="IndexLink"/>
              </w:rPr>
              <w:t xml:space="preserve">6.1 IPC </w:t>
            </w:r>
            <w:r>
              <w:rPr>
                <w:rStyle w:val="IndexLink"/>
              </w:rPr>
              <w:t>类型与公共阻塞机制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65_1096083890">
            <w:r>
              <w:rPr>
                <w:rStyle w:val="IndexLink"/>
              </w:rPr>
              <w:t xml:space="preserve">6.2 Tick </w:t>
            </w:r>
            <w:r>
              <w:rPr>
                <w:rStyle w:val="IndexLink"/>
              </w:rPr>
              <w:t>和软硬定时器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67_1096083890"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组件与设备模型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69_1096083890">
            <w:r>
              <w:rPr>
                <w:rStyle w:val="IndexLink"/>
              </w:rPr>
              <w:t xml:space="preserve">7.1 </w:t>
            </w:r>
            <w:r>
              <w:rPr>
                <w:rStyle w:val="IndexLink"/>
              </w:rPr>
              <w:t>传统设备访问链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71_1096083890">
            <w:r>
              <w:rPr>
                <w:rStyle w:val="IndexLink"/>
              </w:rPr>
              <w:t xml:space="preserve">7.2 </w:t>
            </w:r>
            <w:r>
              <w:rPr>
                <w:rStyle w:val="IndexLink"/>
              </w:rPr>
              <w:t>文件与网络的典型落点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73_1096083890">
            <w:r>
              <w:rPr>
                <w:rStyle w:val="IndexLink"/>
              </w:rPr>
              <w:t xml:space="preserve">8 libcpu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 xml:space="preserve">BSP </w:t>
            </w:r>
            <w:r>
              <w:rPr>
                <w:rStyle w:val="IndexLink"/>
              </w:rPr>
              <w:t>的职责边界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75_1096083890">
            <w:r>
              <w:rPr>
                <w:rStyle w:val="IndexLink"/>
              </w:rPr>
              <w:t xml:space="preserve">9 </w:t>
            </w:r>
            <w:r>
              <w:rPr>
                <w:rStyle w:val="IndexLink"/>
              </w:rPr>
              <w:t>测试、文档与源码阅读路线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77_1096083890">
            <w:r>
              <w:rPr>
                <w:rStyle w:val="IndexLink"/>
              </w:rPr>
              <w:t xml:space="preserve">9.1 </w:t>
            </w:r>
            <w:r>
              <w:rPr>
                <w:rStyle w:val="IndexLink"/>
              </w:rPr>
              <w:t>测试和文档分布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bidi w:val="0"/>
            <w:jc w:val="start"/>
            <w:rPr/>
          </w:pPr>
          <w:hyperlink w:anchor="__RefHeading___Toc79_1096083890">
            <w:r>
              <w:rPr>
                <w:rStyle w:val="IndexLink"/>
              </w:rPr>
              <w:t xml:space="preserve">9.2 </w:t>
            </w:r>
            <w:r>
              <w:rPr>
                <w:rStyle w:val="IndexLink"/>
              </w:rPr>
              <w:t>推荐阅读路线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81_1096083890">
            <w:r>
              <w:rPr>
                <w:rStyle w:val="IndexLink"/>
              </w:rPr>
              <w:t xml:space="preserve">10 </w:t>
            </w:r>
            <w:r>
              <w:rPr>
                <w:rStyle w:val="IndexLink"/>
              </w:rPr>
              <w:t>结论与分析边界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Contents1"/>
            <w:bidi w:val="0"/>
            <w:jc w:val="start"/>
            <w:rPr/>
          </w:pPr>
          <w:hyperlink w:anchor="__RefHeading___Toc83_1096083890">
            <w:r>
              <w:rPr>
                <w:rStyle w:val="IndexLink"/>
              </w:rPr>
              <w:t xml:space="preserve">附录 </w:t>
            </w:r>
            <w:r>
              <w:rPr>
                <w:rStyle w:val="IndexLink"/>
              </w:rPr>
              <w:t xml:space="preserve">A </w:t>
            </w:r>
            <w:r>
              <w:rPr>
                <w:rStyle w:val="IndexLink"/>
              </w:rPr>
              <w:t>关键源码索引</w:t>
            </w:r>
            <w:r>
              <w:rPr>
                <w:rStyle w:val="IndexLink"/>
              </w:rPr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spacing w:lineRule="auto" w:line="0" w:before="57" w:after="102"/>
        <w:ind w:start="0" w:end="0" w:hanging="0"/>
        <w:jc w:val="start"/>
        <w:rPr>
          <w:rFonts w:ascii="Noto Sans CJK SC" w:hAnsi="Noto Sans CJK SC" w:eastAsia="Noto Sans CJK SC"/>
          <w:b/>
          <w:b/>
          <w:color w:val="102A43"/>
          <w:sz w:val="40"/>
        </w:rPr>
      </w:pPr>
      <w:r>
        <w:rPr>
          <w:rFonts w:eastAsia="Noto Sans CJK SC" w:ascii="Noto Sans CJK SC" w:hAnsi="Noto Sans CJK SC"/>
          <w:b/>
          <w:color w:val="102A43"/>
          <w:sz w:val="40"/>
        </w:rPr>
      </w:r>
    </w:p>
    <w:p>
      <w:pPr>
        <w:pStyle w:val="Normal"/>
        <w:shd w:fill="EAF3FF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1F5A94"/>
          <w:sz w:val="21"/>
        </w:rPr>
      </w:pPr>
      <w:r>
        <w:rPr>
          <w:rFonts w:ascii="Noto Sans CJK SC" w:hAnsi="Noto Sans CJK SC" w:eastAsia="Noto Sans CJK SC"/>
          <w:b/>
          <w:color w:val="1F5A94"/>
          <w:sz w:val="21"/>
        </w:rPr>
        <w:t xml:space="preserve">如何使用本文 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第一次阅读建议依次浏览“仓库全景 → 构建机制 → 启动与线程 → 设备边界 → 阅读路线”；定位某块板时，再从目标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的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Kconfig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.config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与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board.c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反向追踪。</w:t>
      </w:r>
      <w:r>
        <w:br w:type="page"/>
      </w:r>
    </w:p>
    <w:p>
      <w:pPr>
        <w:pStyle w:val="Normal"/>
        <w:shd w:fill="EAF3FF" w:val="clear"/>
        <w:bidi w:val="0"/>
        <w:spacing w:lineRule="auto" w:line="0" w:before="0" w:after="102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0" w:name="__RefHeading___Toc37_1096083890"/>
      <w:bookmarkEnd w:id="0"/>
      <w:r>
        <w:rPr>
          <w:b/>
          <w:color w:val="102A43"/>
          <w:sz w:val="36"/>
        </w:rPr>
        <w:t>摘要：先抓住四个结论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95"/>
        <w:gridCol w:w="7429"/>
      </w:tblGrid>
      <w:tr>
        <w:trPr/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9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核心判断</w:t>
            </w:r>
          </w:p>
        </w:tc>
        <w:tc>
          <w:tcPr>
            <w:tcW w:w="7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9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完整主仓库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该目录同时包含内核、公共组件、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 xml:space="preserve">CPU 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 xml:space="preserve">移植和大量 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>BSP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，不是单一开发板工程。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公共主干集中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eastAsia="Noto Sans CJK SC" w:ascii="Noto Sans CJK SC" w:hAnsi="Noto Sans CJK SC"/>
                <w:color w:val="243B53"/>
                <w:sz w:val="19"/>
              </w:rPr>
              <w:t xml:space="preserve">src/include 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是内核主干，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 xml:space="preserve">components 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承载上层能力，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 xml:space="preserve">libcpu 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 xml:space="preserve">与 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 xml:space="preserve">bsp 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完成硬件适配。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配置决定成品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 xml:space="preserve">目录存在不代表源码参与编译；最终固件由“目标 </w:t>
            </w:r>
            <w:r>
              <w:rPr>
                <w:rFonts w:eastAsia="Noto Sans CJK SC" w:ascii="Noto Sans CJK SC" w:hAnsi="Noto Sans CJK SC"/>
                <w:color w:val="243B53"/>
                <w:sz w:val="19"/>
              </w:rPr>
              <w:t>BSP + .config”</w:t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共同决定。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分析边界明确</w:t>
            </w:r>
          </w:p>
        </w:tc>
        <w:tc>
          <w:tcPr>
            <w:tcW w:w="74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9"/>
              </w:rPr>
            </w:pPr>
            <w:r>
              <w:rPr>
                <w:rFonts w:ascii="Noto Sans CJK SC" w:hAnsi="Noto Sans CJK SC" w:eastAsia="Noto Sans CJK SC"/>
                <w:color w:val="243B53"/>
                <w:sz w:val="19"/>
              </w:rPr>
              <w:t>本文描述公共框架和代表性调用链，不代表任何特定固件的完整文件集合或运行性能。</w:t>
            </w:r>
          </w:p>
        </w:tc>
      </w:tr>
    </w:tbl>
    <w:p>
      <w:pPr>
        <w:pStyle w:val="TextBody"/>
        <w:bidi w:val="0"/>
        <w:spacing w:before="147" w:after="125"/>
        <w:jc w:val="start"/>
        <w:rPr>
          <w:b/>
          <w:b/>
          <w:color w:val="102A43"/>
          <w:sz w:val="36"/>
        </w:rPr>
      </w:pPr>
      <w:r>
        <w:rPr/>
      </w:r>
    </w:p>
    <w:p>
      <w:pPr>
        <w:pStyle w:val="TextBody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>从阅读者视角看，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RT-Thread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最值得先建立的不是“所有文件清单”，而是三张地图：软件分层图、配置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/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构建图和运行时调用链。掌握这三张地图后，数万文件会自然收敛为少数公共入口与一个目标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BSP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</w:p>
    <w:p>
      <w:pPr>
        <w:pStyle w:val="TextBody"/>
        <w:shd w:fill="EAF8F0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2D8A57"/>
          <w:sz w:val="21"/>
        </w:rPr>
      </w:pPr>
      <w:r>
        <w:rPr>
          <w:rFonts w:ascii="Noto Sans CJK SC" w:hAnsi="Noto Sans CJK SC" w:eastAsia="Noto Sans CJK SC"/>
          <w:b/>
          <w:color w:val="2D8A57"/>
          <w:sz w:val="21"/>
        </w:rPr>
        <w:t xml:space="preserve">一句话总览 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应用通过组件和设备框架使用内核服务；内核通过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libcpu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完成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CPU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上下文管理，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则提供具体开发板的时钟、中断、内存和外设实例。</w:t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1" w:name="__RefHeading___Toc39_1096083890"/>
      <w:bookmarkEnd w:id="1"/>
      <w:r>
        <w:rPr>
          <w:b/>
          <w:color w:val="102A43"/>
          <w:sz w:val="36"/>
        </w:rPr>
        <w:t xml:space="preserve">1  </w:t>
      </w:r>
      <w:r>
        <w:rPr>
          <w:b/>
          <w:color w:val="102A43"/>
          <w:sz w:val="36"/>
        </w:rPr>
        <w:t>仓库全景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2" w:name="__RefHeading___Toc41_1096083890"/>
      <w:bookmarkEnd w:id="2"/>
      <w:r>
        <w:rPr>
          <w:b/>
          <w:color w:val="1F5A94"/>
          <w:sz w:val="28"/>
        </w:rPr>
        <w:t xml:space="preserve">1.1 </w:t>
      </w:r>
      <w:r>
        <w:rPr>
          <w:b/>
          <w:color w:val="1F5A94"/>
          <w:sz w:val="28"/>
        </w:rPr>
        <w:t>仓库定位与规模</w:t>
      </w:r>
    </w:p>
    <w:p>
      <w:pPr>
        <w:pStyle w:val="TextBody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该快照共有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37,665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个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Git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跟踪文件，统计口径包括源码、配置、文档、厂商文件和工程文件。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bsp/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有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33,596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个文件，占约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89.2%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。这个比例反映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RT-Thread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对芯片和开发板的覆盖面，不等于代码量、运行体积或复杂度占比。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1  </w:t>
      </w:r>
      <w:r>
        <w:rPr>
          <w:b w:val="false"/>
          <w:color w:val="526D82"/>
          <w:sz w:val="18"/>
        </w:rPr>
        <w:t xml:space="preserve">主要目录的 </w:t>
      </w:r>
      <w:r>
        <w:rPr>
          <w:b w:val="false"/>
          <w:color w:val="526D82"/>
          <w:sz w:val="18"/>
        </w:rPr>
        <w:t xml:space="preserve">Git </w:t>
      </w:r>
      <w:r>
        <w:rPr>
          <w:b w:val="false"/>
          <w:color w:val="526D82"/>
          <w:sz w:val="18"/>
        </w:rPr>
        <w:t>跟踪文件数量（柱长采用对数比例以便观察小目录，标注值为实际数量）</w:t>
      </w:r>
    </w:p>
    <w:p>
      <w:pPr>
        <w:pStyle w:val="Caption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1  </w:t>
      </w:r>
      <w:r>
        <w:rPr>
          <w:rFonts w:ascii="Noto Sans CJK SC" w:hAnsi="Noto Sans CJK SC" w:eastAsia="Noto Sans CJK SC"/>
          <w:b/>
          <w:color w:val="526D82"/>
          <w:sz w:val="18"/>
        </w:rPr>
        <w:t>目录规模统计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19"/>
        <w:gridCol w:w="1333"/>
        <w:gridCol w:w="1333"/>
        <w:gridCol w:w="5239"/>
      </w:tblGrid>
      <w:tr>
        <w:trPr/>
        <w:tc>
          <w:tcPr>
            <w:tcW w:w="16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w="13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文件数</w:t>
            </w:r>
          </w:p>
        </w:tc>
        <w:tc>
          <w:tcPr>
            <w:tcW w:w="13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占比</w:t>
            </w:r>
          </w:p>
        </w:tc>
        <w:tc>
          <w:tcPr>
            <w:tcW w:w="52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bsp/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33,596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89.20%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BSP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、厂商库、工程配置与板级应用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components/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2,715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7.21%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设备、文件系统、网络、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Shell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POSIX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等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libcpu/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592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1.57%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19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类架构一级目录下的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CPU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移植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documentation/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414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1.10%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内核、组件、工具与移植文档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tools/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107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0.28%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SCons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Kconfig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和工程生成工具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src/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85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0.23%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公共内核实现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examples/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55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0.15%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示例与手工验证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include/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14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0.04%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内核公共头文件</w:t>
            </w:r>
          </w:p>
        </w:tc>
      </w:tr>
      <w:tr>
        <w:trPr/>
        <w:tc>
          <w:tcPr>
            <w:tcW w:w="161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其他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end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87</w:t>
            </w:r>
          </w:p>
        </w:tc>
        <w:tc>
          <w:tcPr>
            <w:tcW w:w="1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0.23%</w:t>
            </w:r>
          </w:p>
        </w:tc>
        <w:tc>
          <w:tcPr>
            <w:tcW w:w="52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根文件和平台配置</w:t>
            </w:r>
          </w:p>
        </w:tc>
      </w:tr>
    </w:tbl>
    <w:p>
      <w:pPr>
        <w:pStyle w:val="Caption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3" w:name="__RefHeading___Toc43_1096083890"/>
      <w:bookmarkEnd w:id="3"/>
      <w:r>
        <w:rPr>
          <w:b/>
          <w:color w:val="1F5A94"/>
          <w:sz w:val="28"/>
        </w:rPr>
        <w:t xml:space="preserve">1.2 </w:t>
      </w:r>
      <w:r>
        <w:rPr>
          <w:b/>
          <w:color w:val="1F5A94"/>
          <w:sz w:val="28"/>
        </w:rPr>
        <w:t>顶层目录职责</w:t>
      </w:r>
    </w:p>
    <w:p>
      <w:pPr>
        <w:pStyle w:val="TextBody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2  </w:t>
      </w:r>
      <w:r>
        <w:rPr>
          <w:rFonts w:ascii="Noto Sans CJK SC" w:hAnsi="Noto Sans CJK SC" w:eastAsia="Noto Sans CJK SC"/>
          <w:b/>
          <w:color w:val="526D82"/>
          <w:sz w:val="18"/>
        </w:rPr>
        <w:t>顶层目录职责与阅读优先级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8"/>
        <w:gridCol w:w="2286"/>
        <w:gridCol w:w="4095"/>
        <w:gridCol w:w="1715"/>
      </w:tblGrid>
      <w:tr>
        <w:trPr/>
        <w:tc>
          <w:tcPr>
            <w:tcW w:w="14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</w:t>
            </w:r>
          </w:p>
        </w:tc>
        <w:tc>
          <w:tcPr>
            <w:tcW w:w="2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w="4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典型内容</w:t>
            </w:r>
          </w:p>
        </w:tc>
        <w:tc>
          <w:tcPr>
            <w:tcW w:w="1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建议优先级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内核实现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object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thread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scheduler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ipc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timer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memory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高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include/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公共接口与数据结构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rtdef.h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rtthread.h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rthw.h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rtsched.h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高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components/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上层服务和通用设备类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drivers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DFS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net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FinSH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libc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LWP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ulog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按目标选择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libcpu/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CPU/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体系结构共性移植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初始栈、上下文切换、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trap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MMU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cache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SMP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选定架构后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bsp/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SoC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与开发板实现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时钟、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Tick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IRQ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、链接脚本、驱动实例、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main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选定板卡后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tools/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构建与工程生成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building.py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、配置转换、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IDE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工程生成器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理解构建时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documentation/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配套说明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内核、组件、移植、贡献文档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辅助</w:t>
            </w:r>
          </w:p>
        </w:tc>
      </w:tr>
      <w:tr>
        <w:trPr/>
        <w:tc>
          <w:tcPr>
            <w:tcW w:w="142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examples/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示例与验证</w:t>
            </w:r>
          </w:p>
        </w:tc>
        <w:tc>
          <w:tcPr>
            <w:tcW w:w="4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网络、文件、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ulog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ymodem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等</w:t>
            </w:r>
          </w:p>
        </w:tc>
        <w:tc>
          <w:tcPr>
            <w:tcW w:w="17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按需求</w:t>
            </w:r>
          </w:p>
        </w:tc>
      </w:tr>
    </w:tbl>
    <w:p>
      <w:pPr>
        <w:pStyle w:val="TextBody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  <w:r>
        <w:br w:type="page"/>
      </w:r>
    </w:p>
    <w:p>
      <w:pPr>
        <w:pStyle w:val="TextBody"/>
        <w:bidi w:val="0"/>
        <w:spacing w:lineRule="auto" w:line="0" w:before="0" w:after="102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4" w:name="__RefHeading___Toc45_1096083890"/>
      <w:bookmarkEnd w:id="4"/>
      <w:r>
        <w:rPr>
          <w:b/>
          <w:color w:val="102A43"/>
          <w:sz w:val="36"/>
        </w:rPr>
        <w:t xml:space="preserve">2  </w:t>
      </w:r>
      <w:r>
        <w:rPr>
          <w:b/>
          <w:color w:val="102A43"/>
          <w:sz w:val="36"/>
        </w:rPr>
        <w:t>软件分层与调用边界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2  RT-Thread </w:t>
      </w:r>
      <w:r>
        <w:rPr>
          <w:b w:val="false"/>
          <w:color w:val="526D82"/>
          <w:sz w:val="18"/>
        </w:rPr>
        <w:t>软件分层与职责边界</w:t>
      </w:r>
    </w:p>
    <w:p>
      <w:pPr>
        <w:pStyle w:val="Caption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应用通常不直接接触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CPU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移植或板级寄存器。它经由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POSIX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Socket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FinSH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、文件系统或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rt_device API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使用组件与内核；内核负责并发、时间和资源管理；硬件差异则由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libcpu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与厂商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HAL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吸收。</w:t>
      </w:r>
    </w:p>
    <w:p>
      <w:pPr>
        <w:pStyle w:val="Caption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3  </w:t>
      </w:r>
      <w:r>
        <w:rPr>
          <w:rFonts w:ascii="Noto Sans CJK SC" w:hAnsi="Noto Sans CJK SC" w:eastAsia="Noto Sans CJK SC"/>
          <w:b/>
          <w:color w:val="526D82"/>
          <w:sz w:val="18"/>
        </w:rPr>
        <w:t>相邻层之间的典型接口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95"/>
        <w:gridCol w:w="2095"/>
        <w:gridCol w:w="5334"/>
      </w:tblGrid>
      <w:tr>
        <w:trPr/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上层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下层</w:t>
            </w:r>
          </w:p>
        </w:tc>
        <w:tc>
          <w:tcPr>
            <w:tcW w:w="53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典型接口或契约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应用</w:t>
            </w:r>
          </w:p>
        </w:tc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组件</w:t>
            </w:r>
          </w:p>
        </w:tc>
        <w:tc>
          <w:tcPr>
            <w:tcW w:w="533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文件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API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Socket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Shell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命令、设备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API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应用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组件</w:t>
            </w:r>
          </w:p>
        </w:tc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内核</w:t>
            </w:r>
          </w:p>
        </w:tc>
        <w:tc>
          <w:tcPr>
            <w:tcW w:w="533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线程、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IPC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、定时器、内存、对象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API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内核</w:t>
            </w:r>
          </w:p>
        </w:tc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libcpu</w:t>
            </w:r>
          </w:p>
        </w:tc>
        <w:tc>
          <w:tcPr>
            <w:tcW w:w="533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rt_hw_stack_init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、上下文切换、中断开关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设备框架</w:t>
            </w:r>
          </w:p>
        </w:tc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BSP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驱动</w:t>
            </w:r>
          </w:p>
        </w:tc>
        <w:tc>
          <w:tcPr>
            <w:tcW w:w="533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rt_device_ops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、类驱动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ops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IRQ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回调</w:t>
            </w:r>
          </w:p>
        </w:tc>
      </w:tr>
      <w:tr>
        <w:trPr/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BSP</w:t>
            </w:r>
          </w:p>
        </w:tc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HAL/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硬件</w:t>
            </w:r>
          </w:p>
        </w:tc>
        <w:tc>
          <w:tcPr>
            <w:tcW w:w="533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时钟、寄存器、中断控制器和片上外设</w:t>
            </w:r>
          </w:p>
        </w:tc>
      </w:tr>
    </w:tbl>
    <w:p>
      <w:pPr>
        <w:pStyle w:val="Caption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</w:p>
    <w:p>
      <w:pPr>
        <w:pStyle w:val="Caption"/>
        <w:shd w:fill="EAF3FF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1F5A94"/>
          <w:sz w:val="21"/>
        </w:rPr>
      </w:pPr>
      <w:r>
        <w:rPr>
          <w:rFonts w:ascii="Noto Sans CJK SC" w:hAnsi="Noto Sans CJK SC" w:eastAsia="Noto Sans CJK SC"/>
          <w:b/>
          <w:color w:val="1F5A94"/>
          <w:sz w:val="21"/>
        </w:rPr>
        <w:t xml:space="preserve">判断边界的小技巧 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如果代码描述“某类设备应该怎样被上层访问”，通常在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components/drivers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；如果代码描述“这块板上的某个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UART/SPI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实例如何工作”，通常在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BSP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5" w:name="__RefHeading___Toc47_1096083890"/>
      <w:bookmarkEnd w:id="5"/>
      <w:r>
        <w:rPr>
          <w:b/>
          <w:color w:val="102A43"/>
          <w:sz w:val="36"/>
        </w:rPr>
        <w:t xml:space="preserve">3  </w:t>
      </w:r>
      <w:r>
        <w:rPr>
          <w:b/>
          <w:color w:val="102A43"/>
          <w:sz w:val="36"/>
        </w:rPr>
        <w:t>配置与构建机制</w:t>
      </w:r>
    </w:p>
    <w:p>
      <w:pPr>
        <w:pStyle w:val="TextBody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仓库根目录没有统一的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SConstruct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。真正的构建入口位于具体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BSP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，例如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bsp/stm32/stm32f103-blue-pill/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。选中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后，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Kconfig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配置链与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SCons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构建链共同确定最终源码集合。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3  Kconfig </w:t>
      </w:r>
      <w:r>
        <w:rPr>
          <w:b w:val="false"/>
          <w:color w:val="526D82"/>
          <w:sz w:val="18"/>
        </w:rPr>
        <w:t xml:space="preserve">配置链与 </w:t>
      </w:r>
      <w:r>
        <w:rPr>
          <w:b w:val="false"/>
          <w:color w:val="526D82"/>
          <w:sz w:val="18"/>
        </w:rPr>
        <w:t xml:space="preserve">SCons </w:t>
      </w:r>
      <w:r>
        <w:rPr>
          <w:b w:val="false"/>
          <w:color w:val="526D82"/>
          <w:sz w:val="18"/>
        </w:rPr>
        <w:t>构建链</w:t>
      </w:r>
    </w:p>
    <w:p>
      <w:pPr>
        <w:pStyle w:val="Caption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4  </w:t>
      </w:r>
      <w:r>
        <w:rPr>
          <w:rFonts w:ascii="Noto Sans CJK SC" w:hAnsi="Noto Sans CJK SC" w:eastAsia="Noto Sans CJK SC"/>
          <w:b/>
          <w:color w:val="526D82"/>
          <w:sz w:val="18"/>
        </w:rPr>
        <w:t>配置与构建文件角色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04"/>
        <w:gridCol w:w="4762"/>
        <w:gridCol w:w="2858"/>
      </w:tblGrid>
      <w:tr>
        <w:trPr/>
        <w:tc>
          <w:tcPr>
            <w:tcW w:w="19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w="47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主要角色</w:t>
            </w:r>
          </w:p>
        </w:tc>
        <w:tc>
          <w:tcPr>
            <w:tcW w:w="2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维护方式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Kconfig</w:t>
            </w:r>
          </w:p>
        </w:tc>
        <w:tc>
          <w:tcPr>
            <w:tcW w:w="4762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声明配置项、依赖和配置树入口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源码维护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.config</w:t>
            </w:r>
          </w:p>
        </w:tc>
        <w:tc>
          <w:tcPr>
            <w:tcW w:w="4762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记录当前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BSP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的功能选择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通过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menuconfig/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配置工具维护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rtconfig.h</w:t>
            </w:r>
          </w:p>
        </w:tc>
        <w:tc>
          <w:tcPr>
            <w:tcW w:w="4762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把配置转成供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C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与构建脚本使用的宏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生成文件，不应手工编辑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rtconfig.py</w:t>
            </w:r>
          </w:p>
        </w:tc>
        <w:tc>
          <w:tcPr>
            <w:tcW w:w="4762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架构、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CPU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、工具链、链接脚本和编译参数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由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BSP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维护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SConstruct</w:t>
            </w:r>
          </w:p>
        </w:tc>
        <w:tc>
          <w:tcPr>
            <w:tcW w:w="4762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BSP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工程入口，创建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SCons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环境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源码维护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SConscript</w:t>
            </w:r>
          </w:p>
        </w:tc>
        <w:tc>
          <w:tcPr>
            <w:tcW w:w="4762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按配置组织和选择源文件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源码维护</w:t>
            </w:r>
          </w:p>
        </w:tc>
      </w:tr>
    </w:tbl>
    <w:p>
      <w:pPr>
        <w:pStyle w:val="Caption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</w:p>
    <w:p>
      <w:pPr>
        <w:pStyle w:val="Caption"/>
        <w:shd w:fill="FFF4E3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A45C00"/>
          <w:sz w:val="21"/>
        </w:rPr>
      </w:pPr>
      <w:r>
        <w:rPr>
          <w:rFonts w:ascii="Noto Sans CJK SC" w:hAnsi="Noto Sans CJK SC" w:eastAsia="Noto Sans CJK SC"/>
          <w:b/>
          <w:color w:val="A45C00"/>
          <w:sz w:val="21"/>
        </w:rPr>
        <w:t xml:space="preserve">重要规则 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不要手工编辑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的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rtconfig.h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。应由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.config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通过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scons --menuconfig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scons --pyconfig-silent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等流程生成。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6" w:name="__RefHeading___Toc49_1096083890"/>
      <w:bookmarkEnd w:id="6"/>
      <w:r>
        <w:rPr>
          <w:b/>
          <w:color w:val="1F5A94"/>
          <w:sz w:val="28"/>
        </w:rPr>
        <w:t xml:space="preserve">3.1 </w:t>
      </w:r>
      <w:r>
        <w:rPr>
          <w:b/>
          <w:color w:val="1F5A94"/>
          <w:sz w:val="28"/>
        </w:rPr>
        <w:t>三种系统形态与一个独立维度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85"/>
        <w:gridCol w:w="3048"/>
        <w:gridCol w:w="4191"/>
      </w:tblGrid>
      <w:tr>
        <w:trPr/>
        <w:tc>
          <w:tcPr>
            <w:tcW w:w="2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形态</w:t>
            </w:r>
          </w:p>
        </w:tc>
        <w:tc>
          <w:tcPr>
            <w:tcW w:w="30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w="41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典型能力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Nano</w:t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资源极小的设备</w:t>
            </w:r>
          </w:p>
        </w:tc>
        <w:tc>
          <w:tcPr>
            <w:tcW w:w="41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保留精简内核，裁掉大部分组件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常规组合（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Standard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）</w:t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传统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MCU/RTOS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使用方式</w:t>
            </w:r>
          </w:p>
        </w:tc>
        <w:tc>
          <w:tcPr>
            <w:tcW w:w="41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内核、驱动、文件系统、网络等按需组合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RT-Smart</w:t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带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MMU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的高端处理器</w:t>
            </w:r>
          </w:p>
        </w:tc>
        <w:tc>
          <w:tcPr>
            <w:tcW w:w="41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LWP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、用户态、虚拟内存、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DFS v2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等</w:t>
            </w:r>
          </w:p>
        </w:tc>
      </w:tr>
    </w:tbl>
    <w:p>
      <w:pPr>
        <w:pStyle w:val="TextBody"/>
        <w:bidi w:val="0"/>
        <w:spacing w:before="125" w:after="79"/>
        <w:jc w:val="start"/>
        <w:rPr>
          <w:b/>
          <w:b/>
          <w:color w:val="1F5A94"/>
          <w:sz w:val="28"/>
        </w:rPr>
      </w:pPr>
      <w:r>
        <w:rPr/>
      </w:r>
    </w:p>
    <w:p>
      <w:pPr>
        <w:pStyle w:val="TextBody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UP/SMP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是另一配置维度：构建时选择单核或多核调度及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CPU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管理实现，它不能简单等同于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Nano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、常规组合或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RT-Smart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  <w:r>
        <w:br w:type="page"/>
      </w:r>
    </w:p>
    <w:p>
      <w:pPr>
        <w:pStyle w:val="TextBody"/>
        <w:bidi w:val="0"/>
        <w:spacing w:lineRule="auto" w:line="0" w:before="0" w:after="102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7" w:name="__RefHeading___Toc51_1096083890"/>
      <w:bookmarkEnd w:id="7"/>
      <w:r>
        <w:rPr>
          <w:b/>
          <w:color w:val="102A43"/>
          <w:sz w:val="36"/>
        </w:rPr>
        <w:t xml:space="preserve">4  </w:t>
      </w:r>
      <w:r>
        <w:rPr>
          <w:b/>
          <w:color w:val="102A43"/>
          <w:sz w:val="36"/>
        </w:rPr>
        <w:t>内核核心模块</w:t>
      </w:r>
    </w:p>
    <w:p>
      <w:pPr>
        <w:pStyle w:val="TextBody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5  </w:t>
      </w:r>
      <w:r>
        <w:rPr>
          <w:rFonts w:ascii="Noto Sans CJK SC" w:hAnsi="Noto Sans CJK SC" w:eastAsia="Noto Sans CJK SC"/>
          <w:b/>
          <w:color w:val="526D82"/>
          <w:sz w:val="18"/>
        </w:rPr>
        <w:t>内核模块与关键源码入口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18"/>
        <w:gridCol w:w="3620"/>
        <w:gridCol w:w="4286"/>
      </w:tblGrid>
      <w:tr>
        <w:trPr/>
        <w:tc>
          <w:tcPr>
            <w:tcW w:w="1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3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关键源码</w:t>
            </w:r>
          </w:p>
        </w:tc>
        <w:tc>
          <w:tcPr>
            <w:tcW w:w="4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核心作用</w:t>
            </w:r>
          </w:p>
        </w:tc>
      </w:tr>
      <w:tr>
        <w:trPr/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对象系统</w:t>
            </w:r>
          </w:p>
        </w:tc>
        <w:tc>
          <w:tcPr>
            <w:tcW w:w="362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include/rtdef.h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src/object.c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统一管理线程、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IPC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timer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device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等对象</w:t>
            </w:r>
          </w:p>
        </w:tc>
      </w:tr>
      <w:tr>
        <w:trPr/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线程</w:t>
            </w:r>
          </w:p>
        </w:tc>
        <w:tc>
          <w:tcPr>
            <w:tcW w:w="362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src/thread.c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创建、启动、挂起、恢复、睡眠、退出</w:t>
            </w:r>
          </w:p>
        </w:tc>
      </w:tr>
      <w:tr>
        <w:trPr/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调度</w:t>
            </w:r>
          </w:p>
        </w:tc>
        <w:tc>
          <w:tcPr>
            <w:tcW w:w="362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scheduler_comm.c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scheduler_up.c / scheduler_mp.c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就绪队列、抢占、时间片和上下文切换决策</w:t>
            </w:r>
          </w:p>
        </w:tc>
      </w:tr>
      <w:tr>
        <w:trPr/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IPC</w:t>
            </w:r>
          </w:p>
        </w:tc>
        <w:tc>
          <w:tcPr>
            <w:tcW w:w="362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src/ipc.c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信号量、互斥量、事件、邮箱、消息队列</w:t>
            </w:r>
          </w:p>
        </w:tc>
      </w:tr>
      <w:tr>
        <w:trPr/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Tick/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定时器</w:t>
            </w:r>
          </w:p>
        </w:tc>
        <w:tc>
          <w:tcPr>
            <w:tcW w:w="362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src/clock.c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src/timer.c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时间片、等待超时、软硬定时器</w:t>
            </w:r>
          </w:p>
        </w:tc>
      </w:tr>
      <w:tr>
        <w:trPr/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内存</w:t>
            </w:r>
          </w:p>
        </w:tc>
        <w:tc>
          <w:tcPr>
            <w:tcW w:w="362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kservice.c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mem.c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memheap.c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slab.c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mempool.c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统一分配接口及多种内存后端</w:t>
            </w:r>
          </w:p>
        </w:tc>
      </w:tr>
      <w:tr>
        <w:trPr/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退出回收</w:t>
            </w:r>
          </w:p>
        </w:tc>
        <w:tc>
          <w:tcPr>
            <w:tcW w:w="362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src/defunct.c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src/idle.c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在线程不再使用自身栈后延迟回收资源</w:t>
            </w:r>
          </w:p>
        </w:tc>
      </w:tr>
    </w:tbl>
    <w:p>
      <w:pPr>
        <w:pStyle w:val="TextBody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8" w:name="__RefHeading___Toc53_1096083890"/>
      <w:bookmarkEnd w:id="8"/>
      <w:r>
        <w:rPr>
          <w:b/>
          <w:color w:val="1F5A94"/>
          <w:sz w:val="28"/>
        </w:rPr>
        <w:t xml:space="preserve">4.1 </w:t>
      </w:r>
      <w:r>
        <w:rPr>
          <w:b/>
          <w:color w:val="1F5A94"/>
          <w:sz w:val="28"/>
        </w:rPr>
        <w:t>统一对象模型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4  rt_object </w:t>
      </w:r>
      <w:r>
        <w:rPr>
          <w:b w:val="false"/>
          <w:color w:val="526D82"/>
          <w:sz w:val="18"/>
        </w:rPr>
        <w:t>统一对象模型</w:t>
      </w:r>
    </w:p>
    <w:p>
      <w:pPr>
        <w:pStyle w:val="Caption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>对象系统用侵入式链表维护各类型容器。线程、定时器、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IPC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和设备等结构把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parent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放在首成员位置，形成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C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风格的继承关系。静态对象由调用者提供存储，使用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init/detach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；动态对象由系统分配存储，使用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create/delete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9" w:name="__RefHeading___Toc55_1096083890"/>
      <w:bookmarkEnd w:id="9"/>
      <w:r>
        <w:rPr>
          <w:b/>
          <w:color w:val="1F5A94"/>
          <w:sz w:val="28"/>
        </w:rPr>
        <w:t xml:space="preserve">4.2 </w:t>
      </w:r>
      <w:r>
        <w:rPr>
          <w:b/>
          <w:color w:val="1F5A94"/>
          <w:sz w:val="28"/>
        </w:rPr>
        <w:t>线程和调度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5  </w:t>
      </w:r>
      <w:r>
        <w:rPr>
          <w:b w:val="false"/>
          <w:color w:val="526D82"/>
          <w:sz w:val="18"/>
        </w:rPr>
        <w:t>线程状态转换与调度规则</w:t>
      </w:r>
    </w:p>
    <w:p>
      <w:pPr>
        <w:pStyle w:val="Caption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>单核调度器按优先级维护就绪链表，并通过位图快速定位最高优先级。优先级数值越小，优先级越高；同优先级线程通过时间片轮转。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SMP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则在此基础上增加全局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/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每核就绪队列、亲和性和调度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IPI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</w:p>
    <w:p>
      <w:pPr>
        <w:pStyle w:val="Caption"/>
        <w:shd w:fill="EAF3FF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1F5A94"/>
          <w:sz w:val="21"/>
        </w:rPr>
      </w:pPr>
      <w:r>
        <w:rPr>
          <w:rFonts w:ascii="Noto Sans CJK SC" w:hAnsi="Noto Sans CJK SC" w:eastAsia="Noto Sans CJK SC"/>
          <w:b/>
          <w:color w:val="1F5A94"/>
          <w:sz w:val="21"/>
        </w:rPr>
        <w:t xml:space="preserve">上下文切换边界 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内核调度器只决定“切换到谁”；寄存器保存、栈切换和异常返回由对应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libcpu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端口实现。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PendSV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只是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Cortex-M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的一种具体实现。</w:t>
      </w:r>
      <w:r>
        <w:br w:type="page"/>
      </w:r>
    </w:p>
    <w:p>
      <w:pPr>
        <w:pStyle w:val="Caption"/>
        <w:shd w:fill="EAF3FF" w:val="clear"/>
        <w:bidi w:val="0"/>
        <w:spacing w:lineRule="auto" w:line="0" w:before="0" w:after="102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10" w:name="__RefHeading___Toc57_1096083890"/>
      <w:bookmarkEnd w:id="10"/>
      <w:r>
        <w:rPr>
          <w:b/>
          <w:color w:val="102A43"/>
          <w:sz w:val="36"/>
        </w:rPr>
        <w:t xml:space="preserve">5  </w:t>
      </w:r>
      <w:r>
        <w:rPr>
          <w:b/>
          <w:color w:val="102A43"/>
          <w:sz w:val="36"/>
        </w:rPr>
        <w:t>系统启动过程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249237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6  </w:t>
      </w:r>
      <w:r>
        <w:rPr>
          <w:b w:val="false"/>
          <w:color w:val="526D82"/>
          <w:sz w:val="18"/>
        </w:rPr>
        <w:t xml:space="preserve">典型 </w:t>
      </w:r>
      <w:r>
        <w:rPr>
          <w:b w:val="false"/>
          <w:color w:val="526D82"/>
          <w:sz w:val="18"/>
        </w:rPr>
        <w:t xml:space="preserve">RT_USING_USER_MAIN </w:t>
      </w:r>
      <w:r>
        <w:rPr>
          <w:b w:val="false"/>
          <w:color w:val="526D82"/>
          <w:sz w:val="18"/>
        </w:rPr>
        <w:t>配置的启动主链</w:t>
      </w:r>
    </w:p>
    <w:p>
      <w:pPr>
        <w:pStyle w:val="Caption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rtthread_startup()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先在调度器启动前完成板级初始化、系统定时器和调度器初始化，再建立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main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idle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、软定时器及必要的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defunct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回收线程，最后启动调度器。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main_thread_entry()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在线程上下文中按配置执行组件初始化，然后调用用户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main()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</w:p>
    <w:p>
      <w:pPr>
        <w:pStyle w:val="Caption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6  </w:t>
      </w:r>
      <w:r>
        <w:rPr>
          <w:rFonts w:ascii="Noto Sans CJK SC" w:hAnsi="Noto Sans CJK SC" w:eastAsia="Noto Sans CJK SC"/>
          <w:b/>
          <w:color w:val="526D82"/>
          <w:sz w:val="18"/>
        </w:rPr>
        <w:t>启动阶段与执行上下文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85"/>
        <w:gridCol w:w="2286"/>
        <w:gridCol w:w="4953"/>
      </w:tblGrid>
      <w:tr>
        <w:trPr/>
        <w:tc>
          <w:tcPr>
            <w:tcW w:w="2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2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执行环境</w:t>
            </w:r>
          </w:p>
        </w:tc>
        <w:tc>
          <w:tcPr>
            <w:tcW w:w="49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主要任务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架构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编译器入口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尚未进入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RT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调度</w:t>
            </w:r>
          </w:p>
        </w:tc>
        <w:tc>
          <w:tcPr>
            <w:tcW w:w="49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建立早期栈、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BSS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、异常环境，进入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rtthread_startup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板级初始化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调度器启动前</w:t>
            </w:r>
          </w:p>
        </w:tc>
        <w:tc>
          <w:tcPr>
            <w:tcW w:w="49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时钟、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heap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IRQ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console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和板级初始化导出项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系统线程建立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调度器启动前</w:t>
            </w:r>
          </w:p>
        </w:tc>
        <w:tc>
          <w:tcPr>
            <w:tcW w:w="49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main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idle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、软定时器以及按配置启用的回收线程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组件初始化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main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线程上下文</w:t>
            </w:r>
          </w:p>
        </w:tc>
        <w:tc>
          <w:tcPr>
            <w:tcW w:w="49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仅初始化已编入且通过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INIT_*_EXPORT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注册的组件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用户入口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main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线程上下文</w:t>
            </w:r>
          </w:p>
        </w:tc>
        <w:tc>
          <w:tcPr>
            <w:tcW w:w="49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执行应用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main()</w:t>
            </w:r>
          </w:p>
        </w:tc>
      </w:tr>
    </w:tbl>
    <w:p>
      <w:pPr>
        <w:pStyle w:val="Caption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</w:p>
    <w:p>
      <w:pPr>
        <w:pStyle w:val="Caption"/>
        <w:shd w:fill="FFF4E3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A45C00"/>
          <w:sz w:val="21"/>
        </w:rPr>
      </w:pPr>
      <w:r>
        <w:rPr>
          <w:rFonts w:ascii="Noto Sans CJK SC" w:hAnsi="Noto Sans CJK SC" w:eastAsia="Noto Sans CJK SC"/>
          <w:b/>
          <w:color w:val="A45C00"/>
          <w:sz w:val="21"/>
        </w:rPr>
        <w:t xml:space="preserve">两个不要误读的点 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main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不保证是调度器启动后第一个真正运行的线程；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rt_components_init()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还受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RT_USING_COMPONENTS_INIT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配置控制。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11" w:name="__RefHeading___Toc59_1096083890"/>
      <w:bookmarkEnd w:id="11"/>
      <w:r>
        <w:rPr>
          <w:b/>
          <w:color w:val="1F5A94"/>
          <w:sz w:val="28"/>
        </w:rPr>
        <w:t xml:space="preserve">5.1 </w:t>
      </w:r>
      <w:r>
        <w:rPr>
          <w:b/>
          <w:color w:val="1F5A94"/>
          <w:sz w:val="28"/>
        </w:rPr>
        <w:t>自动初始化等级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85"/>
        <w:gridCol w:w="4096"/>
        <w:gridCol w:w="3143"/>
      </w:tblGrid>
      <w:tr>
        <w:trPr/>
        <w:tc>
          <w:tcPr>
            <w:tcW w:w="2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40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典型导出宏</w:t>
            </w:r>
          </w:p>
        </w:tc>
        <w:tc>
          <w:tcPr>
            <w:tcW w:w="31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执行位置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板级早期</w:t>
            </w:r>
          </w:p>
        </w:tc>
        <w:tc>
          <w:tcPr>
            <w:tcW w:w="409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BOARD / CORE / SUBSYS / PLATFORM</w:t>
            </w:r>
          </w:p>
        </w:tc>
        <w:tc>
          <w:tcPr>
            <w:tcW w:w="314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rt_components_board_init()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，调度前</w:t>
            </w:r>
          </w:p>
        </w:tc>
      </w:tr>
      <w:tr>
        <w:trPr/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通用组件</w:t>
            </w:r>
          </w:p>
        </w:tc>
        <w:tc>
          <w:tcPr>
            <w:tcW w:w="409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PREV / DEVICE / COMPONENT / ENV / APP / FS</w:t>
            </w:r>
          </w:p>
        </w:tc>
        <w:tc>
          <w:tcPr>
            <w:tcW w:w="314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rt_components_init()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，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main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线程中</w:t>
            </w:r>
          </w:p>
        </w:tc>
      </w:tr>
    </w:tbl>
    <w:p>
      <w:pPr>
        <w:pStyle w:val="TextBody"/>
        <w:bidi w:val="0"/>
        <w:spacing w:before="125" w:after="79"/>
        <w:jc w:val="start"/>
        <w:rPr>
          <w:b/>
          <w:b/>
          <w:color w:val="1F5A94"/>
          <w:sz w:val="28"/>
        </w:rPr>
      </w:pPr>
      <w:r>
        <w:rPr/>
      </w:r>
    </w:p>
    <w:p>
      <w:pPr>
        <w:pStyle w:val="TextBody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这些函数被放入有序链接段，链接脚本必须保留并排序相应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.rti_fn.*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段；因此链接脚本也是启动机制的一部分。</w:t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12" w:name="__RefHeading___Toc61_1096083890"/>
      <w:bookmarkEnd w:id="12"/>
      <w:r>
        <w:rPr>
          <w:b/>
          <w:color w:val="102A43"/>
          <w:sz w:val="36"/>
        </w:rPr>
        <w:t>6  IPC</w:t>
      </w:r>
      <w:r>
        <w:rPr>
          <w:b/>
          <w:color w:val="102A43"/>
          <w:sz w:val="36"/>
        </w:rPr>
        <w:t>、</w:t>
      </w:r>
      <w:r>
        <w:rPr>
          <w:b/>
          <w:color w:val="102A43"/>
          <w:sz w:val="36"/>
        </w:rPr>
        <w:t xml:space="preserve">Tick </w:t>
      </w:r>
      <w:r>
        <w:rPr>
          <w:b/>
          <w:color w:val="102A43"/>
          <w:sz w:val="36"/>
        </w:rPr>
        <w:t>与定时器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13" w:name="__RefHeading___Toc63_1096083890"/>
      <w:bookmarkEnd w:id="13"/>
      <w:r>
        <w:rPr>
          <w:b/>
          <w:color w:val="1F5A94"/>
          <w:sz w:val="28"/>
        </w:rPr>
        <w:t xml:space="preserve">6.1 IPC </w:t>
      </w:r>
      <w:r>
        <w:rPr>
          <w:b/>
          <w:color w:val="1F5A94"/>
          <w:sz w:val="28"/>
        </w:rPr>
        <w:t>类型与公共阻塞机制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23"/>
        <w:gridCol w:w="2762"/>
        <w:gridCol w:w="2285"/>
        <w:gridCol w:w="2954"/>
      </w:tblGrid>
      <w:tr>
        <w:trPr/>
        <w:tc>
          <w:tcPr>
            <w:tcW w:w="15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w="27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保存的状态</w:t>
            </w:r>
            <w:r>
              <w:rPr>
                <w:rFonts w:eastAsia="Noto Sans CJK SC" w:ascii="Noto Sans CJK SC" w:hAnsi="Noto Sans CJK SC"/>
                <w:b/>
                <w:color w:val="FFFFFF"/>
                <w:sz w:val="17"/>
              </w:rPr>
              <w:t>/</w:t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w="2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常见用途</w:t>
            </w:r>
          </w:p>
        </w:tc>
        <w:tc>
          <w:tcPr>
            <w:tcW w:w="29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关键特性</w:t>
            </w:r>
          </w:p>
        </w:tc>
      </w:tr>
      <w:tr>
        <w:trPr/>
        <w:tc>
          <w:tcPr>
            <w:tcW w:w="152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信号量</w:t>
            </w:r>
          </w:p>
        </w:tc>
        <w:tc>
          <w:tcPr>
            <w:tcW w:w="2762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计数值</w:t>
            </w:r>
          </w:p>
        </w:tc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同步、资源计数</w:t>
            </w:r>
          </w:p>
        </w:tc>
        <w:tc>
          <w:tcPr>
            <w:tcW w:w="29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获取、释放，可超时等待</w:t>
            </w:r>
          </w:p>
        </w:tc>
      </w:tr>
      <w:tr>
        <w:trPr/>
        <w:tc>
          <w:tcPr>
            <w:tcW w:w="152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互斥量</w:t>
            </w:r>
          </w:p>
        </w:tc>
        <w:tc>
          <w:tcPr>
            <w:tcW w:w="2762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所有者、递归计数、优先级</w:t>
            </w:r>
          </w:p>
        </w:tc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临界区保护</w:t>
            </w:r>
          </w:p>
        </w:tc>
        <w:tc>
          <w:tcPr>
            <w:tcW w:w="29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递归；优先级继承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可选天花板用于缓解反转</w:t>
            </w:r>
          </w:p>
        </w:tc>
      </w:tr>
      <w:tr>
        <w:trPr/>
        <w:tc>
          <w:tcPr>
            <w:tcW w:w="152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事件</w:t>
            </w:r>
          </w:p>
        </w:tc>
        <w:tc>
          <w:tcPr>
            <w:tcW w:w="2762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位集合</w:t>
            </w:r>
          </w:p>
        </w:tc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多条件通知</w:t>
            </w:r>
          </w:p>
        </w:tc>
        <w:tc>
          <w:tcPr>
            <w:tcW w:w="29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AND/OR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匹配及清除选项</w:t>
            </w:r>
          </w:p>
        </w:tc>
      </w:tr>
      <w:tr>
        <w:trPr/>
        <w:tc>
          <w:tcPr>
            <w:tcW w:w="152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邮箱</w:t>
            </w:r>
          </w:p>
        </w:tc>
        <w:tc>
          <w:tcPr>
            <w:tcW w:w="2762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指针宽度的环形消息</w:t>
            </w:r>
          </w:p>
        </w:tc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轻量消息传递</w:t>
            </w:r>
          </w:p>
        </w:tc>
        <w:tc>
          <w:tcPr>
            <w:tcW w:w="29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接收和满缓冲发送等待链</w:t>
            </w:r>
          </w:p>
        </w:tc>
      </w:tr>
      <w:tr>
        <w:trPr/>
        <w:tc>
          <w:tcPr>
            <w:tcW w:w="152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消息队列</w:t>
            </w:r>
          </w:p>
        </w:tc>
        <w:tc>
          <w:tcPr>
            <w:tcW w:w="2762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固定大小消息节点池</w:t>
            </w:r>
          </w:p>
        </w:tc>
        <w:tc>
          <w:tcPr>
            <w:tcW w:w="228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复制式消息传递</w:t>
            </w:r>
          </w:p>
        </w:tc>
        <w:tc>
          <w:tcPr>
            <w:tcW w:w="29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消息链和空闲链</w:t>
            </w:r>
          </w:p>
        </w:tc>
      </w:tr>
    </w:tbl>
    <w:p>
      <w:pPr>
        <w:pStyle w:val="TextBody"/>
        <w:bidi w:val="0"/>
        <w:spacing w:before="125" w:after="79"/>
        <w:jc w:val="start"/>
        <w:rPr>
          <w:b/>
          <w:b/>
          <w:color w:val="1F5A94"/>
          <w:sz w:val="28"/>
        </w:rPr>
      </w:pPr>
      <w:r>
        <w:rPr/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7  IPC </w:t>
      </w:r>
      <w:r>
        <w:rPr>
          <w:b w:val="false"/>
          <w:color w:val="526D82"/>
          <w:sz w:val="18"/>
        </w:rPr>
        <w:t>阻塞、超时与唤醒闭环</w:t>
      </w:r>
    </w:p>
    <w:p>
      <w:pPr>
        <w:pStyle w:val="Caption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阻塞等待通常复用每个线程内建的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thread_timer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。资源释放与超时竞争最终汇合到线程重新就绪逻辑：安全地从等待队列移除、停止定时器、加入就绪队列，再按需调度。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14" w:name="__RefHeading___Toc65_1096083890"/>
      <w:bookmarkEnd w:id="14"/>
      <w:r>
        <w:rPr>
          <w:b/>
          <w:color w:val="1F5A94"/>
          <w:sz w:val="28"/>
        </w:rPr>
        <w:t xml:space="preserve">6.2 Tick </w:t>
      </w:r>
      <w:r>
        <w:rPr>
          <w:b/>
          <w:color w:val="1F5A94"/>
          <w:sz w:val="28"/>
        </w:rPr>
        <w:t>和软硬定时器</w:t>
      </w:r>
    </w:p>
    <w:p>
      <w:pPr>
        <w:pStyle w:val="TextBody"/>
        <w:shd w:fill="EAF3FF" w:val="clear"/>
        <w:bidi w:val="0"/>
        <w:spacing w:lineRule="auto" w:line="0" w:before="45" w:after="102"/>
        <w:ind w:start="0" w:end="0" w:hanging="0"/>
        <w:jc w:val="center"/>
        <w:rPr>
          <w:rFonts w:ascii="Noto Sans Mono CJK SC" w:hAnsi="Noto Sans Mono CJK SC" w:eastAsia="Noto Sans Mono CJK SC"/>
          <w:b/>
          <w:b/>
          <w:color w:val="1F5A94"/>
          <w:sz w:val="22"/>
        </w:rPr>
      </w:pPr>
      <w:r>
        <w:rPr>
          <w:rFonts w:eastAsia="Noto Sans Mono CJK SC" w:ascii="Noto Sans Mono CJK SC" w:hAnsi="Noto Sans Mono CJK SC"/>
          <w:b/>
          <w:color w:val="1F5A94"/>
          <w:sz w:val="22"/>
        </w:rPr>
        <w:t xml:space="preserve">Tick ISR  →  rt_tick_increase()  →  </w:t>
      </w:r>
      <w:r>
        <w:rPr>
          <w:rFonts w:ascii="Noto Sans CJK SC" w:hAnsi="Noto Sans CJK SC" w:eastAsia="Noto Sans CJK SC"/>
          <w:b w:val="false"/>
          <w:color w:val="243B53"/>
          <w:sz w:val="22"/>
        </w:rPr>
        <w:t xml:space="preserve">时间片递减 </w:t>
      </w:r>
      <w:r>
        <w:rPr>
          <w:rFonts w:eastAsia="Noto Sans CJK SC" w:ascii="Noto Sans CJK SC" w:hAnsi="Noto Sans CJK SC"/>
          <w:b w:val="false"/>
          <w:color w:val="243B53"/>
          <w:sz w:val="22"/>
        </w:rPr>
        <w:t xml:space="preserve">+ </w:t>
      </w:r>
      <w:r>
        <w:rPr>
          <w:rFonts w:ascii="Noto Sans CJK SC" w:hAnsi="Noto Sans CJK SC" w:eastAsia="Noto Sans CJK SC"/>
          <w:b w:val="false"/>
          <w:color w:val="243B53"/>
          <w:sz w:val="22"/>
        </w:rPr>
        <w:t xml:space="preserve">定时器检查  →  </w:t>
      </w:r>
      <w:r>
        <w:rPr>
          <w:rFonts w:ascii="Noto Sans CJK SC" w:hAnsi="Noto Sans CJK SC" w:eastAsia="Noto Sans CJK SC"/>
          <w:b/>
          <w:color w:val="2D8A57"/>
          <w:sz w:val="22"/>
        </w:rPr>
        <w:t>必要时重新调度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14"/>
        <w:gridCol w:w="2857"/>
        <w:gridCol w:w="2095"/>
        <w:gridCol w:w="2858"/>
      </w:tblGrid>
      <w:tr>
        <w:trPr/>
        <w:tc>
          <w:tcPr>
            <w:tcW w:w="1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w="2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回调上下文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优点</w:t>
            </w:r>
          </w:p>
        </w:tc>
        <w:tc>
          <w:tcPr>
            <w:tcW w:w="2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硬定时器</w:t>
            </w:r>
          </w:p>
        </w:tc>
        <w:tc>
          <w:tcPr>
            <w:tcW w:w="2857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通常在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Tick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中断上下文</w:t>
            </w:r>
          </w:p>
        </w:tc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响应延迟低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回调应短小，不能执行阻塞操作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软定时器</w:t>
            </w:r>
          </w:p>
        </w:tc>
        <w:tc>
          <w:tcPr>
            <w:tcW w:w="2857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专用软定时器线程</w:t>
            </w:r>
          </w:p>
        </w:tc>
        <w:tc>
          <w:tcPr>
            <w:tcW w:w="209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可以承载较复杂逻辑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执行时间受线程调度影响</w:t>
            </w:r>
          </w:p>
        </w:tc>
      </w:tr>
    </w:tbl>
    <w:p>
      <w:pPr>
        <w:pStyle w:val="TextBody"/>
        <w:shd w:fill="EAF3FF" w:val="clear"/>
        <w:bidi w:val="0"/>
        <w:spacing w:lineRule="auto" w:line="0" w:before="45" w:after="102"/>
        <w:ind w:start="0" w:end="0" w:hanging="0"/>
        <w:jc w:val="center"/>
        <w:rPr>
          <w:rFonts w:ascii="Noto Sans CJK SC" w:hAnsi="Noto Sans CJK SC" w:eastAsia="Noto Sans CJK SC"/>
          <w:color w:val="2D8A57"/>
        </w:rPr>
      </w:pPr>
      <w:r>
        <w:rPr>
          <w:rFonts w:eastAsia="Noto Sans Mono CJK SC" w:ascii="Noto Sans Mono CJK SC" w:hAnsi="Noto Sans Mono CJK SC"/>
          <w:b/>
          <w:color w:val="1F5A94"/>
          <w:sz w:val="22"/>
        </w:rPr>
      </w:r>
      <w:r>
        <w:br w:type="page"/>
      </w:r>
    </w:p>
    <w:p>
      <w:pPr>
        <w:pStyle w:val="TextBody"/>
        <w:shd w:fill="EAF3FF" w:val="clear"/>
        <w:bidi w:val="0"/>
        <w:spacing w:lineRule="auto" w:line="0" w:before="0" w:after="102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15" w:name="__RefHeading___Toc67_1096083890"/>
      <w:bookmarkEnd w:id="15"/>
      <w:r>
        <w:rPr>
          <w:b/>
          <w:color w:val="102A43"/>
          <w:sz w:val="36"/>
        </w:rPr>
        <w:t xml:space="preserve">7  </w:t>
      </w:r>
      <w:r>
        <w:rPr>
          <w:b/>
          <w:color w:val="102A43"/>
          <w:sz w:val="36"/>
        </w:rPr>
        <w:t>组件与设备模型</w:t>
      </w:r>
    </w:p>
    <w:p>
      <w:pPr>
        <w:pStyle w:val="TextBody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7  </w:t>
      </w:r>
      <w:r>
        <w:rPr>
          <w:rFonts w:ascii="Noto Sans CJK SC" w:hAnsi="Noto Sans CJK SC" w:eastAsia="Noto Sans CJK SC"/>
          <w:b/>
          <w:color w:val="526D82"/>
          <w:sz w:val="18"/>
        </w:rPr>
        <w:t>主要组件地图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14"/>
        <w:gridCol w:w="5238"/>
        <w:gridCol w:w="2572"/>
      </w:tblGrid>
      <w:tr>
        <w:trPr/>
        <w:tc>
          <w:tcPr>
            <w:tcW w:w="1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组件目录</w:t>
            </w:r>
          </w:p>
        </w:tc>
        <w:tc>
          <w:tcPr>
            <w:tcW w:w="52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</w:t>
            </w:r>
          </w:p>
        </w:tc>
        <w:tc>
          <w:tcPr>
            <w:tcW w:w="2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典型上层入口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drivers/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通用设备框架和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serial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SPI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I²C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CAN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pin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USB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等设备类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rt_device API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dfs/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VFS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devfs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及多种文件系统；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RT-Smart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偏向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DFS v2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POSIX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文件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API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net/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SAL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netdev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lwIP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AT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BSD Socket API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finsh/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FinSH/MSH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命令解释与命令导出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console/Shell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libc/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libc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POSIX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C++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适配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标准库和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POSIX API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lwp/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mm/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RT-Smart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进程、用户态、虚拟内存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系统调用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进程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API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fal/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Flash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抽象层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分区与块设备能力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utilities/</w:t>
            </w:r>
          </w:p>
        </w:tc>
        <w:tc>
          <w:tcPr>
            <w:tcW w:w="5238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ulog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utest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ymodem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var-export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等</w:t>
            </w:r>
          </w:p>
        </w:tc>
        <w:tc>
          <w:tcPr>
            <w:tcW w:w="2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各工具自身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API</w:t>
            </w:r>
          </w:p>
        </w:tc>
      </w:tr>
    </w:tbl>
    <w:p>
      <w:pPr>
        <w:pStyle w:val="TextBody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16" w:name="__RefHeading___Toc69_1096083890"/>
      <w:bookmarkEnd w:id="16"/>
      <w:r>
        <w:rPr>
          <w:b/>
          <w:color w:val="1F5A94"/>
          <w:sz w:val="28"/>
        </w:rPr>
        <w:t xml:space="preserve">7.1 </w:t>
      </w:r>
      <w:r>
        <w:rPr>
          <w:b/>
          <w:color w:val="1F5A94"/>
          <w:sz w:val="28"/>
        </w:rPr>
        <w:t>传统设备访问链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8  </w:t>
      </w:r>
      <w:r>
        <w:rPr>
          <w:b w:val="false"/>
          <w:color w:val="526D82"/>
          <w:sz w:val="18"/>
        </w:rPr>
        <w:t>从应用到硬件的典型设备调用链</w:t>
      </w:r>
    </w:p>
    <w:p>
      <w:pPr>
        <w:pStyle w:val="Caption"/>
        <w:keepNext w:val="false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设备注册后进入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对象容器，上层可按名称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find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，再通过统一的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open/read/write/control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接口调用设备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ops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。通用设备类负责稳定接口和共性逻辑，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驱动负责具体实例、引脚、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IRQ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DMA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、时钟以及厂商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HAL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17" w:name="__RefHeading___Toc71_1096083890"/>
      <w:bookmarkEnd w:id="17"/>
      <w:r>
        <w:rPr>
          <w:b/>
          <w:color w:val="1F5A94"/>
          <w:sz w:val="28"/>
        </w:rPr>
        <w:t xml:space="preserve">7.2 </w:t>
      </w:r>
      <w:r>
        <w:rPr>
          <w:b/>
          <w:color w:val="1F5A94"/>
          <w:sz w:val="28"/>
        </w:rPr>
        <w:t>文件与网络的典型落点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04"/>
        <w:gridCol w:w="7620"/>
      </w:tblGrid>
      <w:tr>
        <w:trPr/>
        <w:tc>
          <w:tcPr>
            <w:tcW w:w="19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w="7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简化调用链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文件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POSIX open/read/write → DFS fd/mount/vnode →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文件系统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file_ops → devfs → rt_device → BSP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驱动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网络发送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BSD socket → SAL → netdev/lwIP → netif → eth_device → BSP MAC eth_tx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网络接收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BSP IRQ → eth_device_ready → RX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线程 → 驱动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eth_rx → netif input</w:t>
            </w:r>
          </w:p>
        </w:tc>
      </w:tr>
      <w:tr>
        <w:trPr/>
        <w:tc>
          <w:tcPr>
            <w:tcW w:w="190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Shell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console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读字符 →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shell → msh_exec →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内建命令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脚本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模块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/LWP</w:t>
            </w:r>
          </w:p>
        </w:tc>
      </w:tr>
    </w:tbl>
    <w:p>
      <w:pPr>
        <w:pStyle w:val="TextBody"/>
        <w:bidi w:val="0"/>
        <w:spacing w:before="125" w:after="79"/>
        <w:jc w:val="start"/>
        <w:rPr>
          <w:b/>
          <w:b/>
          <w:color w:val="1F5A94"/>
          <w:sz w:val="28"/>
        </w:rPr>
      </w:pPr>
      <w:r>
        <w:rPr/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18" w:name="__RefHeading___Toc73_1096083890"/>
      <w:bookmarkEnd w:id="18"/>
      <w:r>
        <w:rPr>
          <w:b/>
          <w:color w:val="102A43"/>
          <w:sz w:val="36"/>
        </w:rPr>
        <w:t xml:space="preserve">8  libcpu </w:t>
      </w:r>
      <w:r>
        <w:rPr>
          <w:b/>
          <w:color w:val="102A43"/>
          <w:sz w:val="36"/>
        </w:rPr>
        <w:t xml:space="preserve">与 </w:t>
      </w:r>
      <w:r>
        <w:rPr>
          <w:b/>
          <w:color w:val="102A43"/>
          <w:sz w:val="36"/>
        </w:rPr>
        <w:t xml:space="preserve">BSP </w:t>
      </w:r>
      <w:r>
        <w:rPr>
          <w:b/>
          <w:color w:val="102A43"/>
          <w:sz w:val="36"/>
        </w:rPr>
        <w:t>的职责边界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344360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9  CPU </w:t>
      </w:r>
      <w:r>
        <w:rPr>
          <w:b w:val="false"/>
          <w:color w:val="526D82"/>
          <w:sz w:val="18"/>
        </w:rPr>
        <w:t>共性与板级个性的分工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33"/>
        <w:gridCol w:w="1905"/>
        <w:gridCol w:w="4286"/>
      </w:tblGrid>
      <w:tr>
        <w:trPr/>
        <w:tc>
          <w:tcPr>
            <w:tcW w:w="33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w="19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负责层</w:t>
            </w:r>
          </w:p>
        </w:tc>
        <w:tc>
          <w:tcPr>
            <w:tcW w:w="4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3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线程寄存器如何保存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恢复</w:t>
            </w:r>
          </w:p>
        </w:tc>
        <w:tc>
          <w:tcPr>
            <w:tcW w:w="190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libcpu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由具体架构的上下文切换实现</w:t>
            </w:r>
          </w:p>
        </w:tc>
      </w:tr>
      <w:tr>
        <w:trPr/>
        <w:tc>
          <w:tcPr>
            <w:tcW w:w="3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线程初始栈如何构造</w:t>
            </w:r>
          </w:p>
        </w:tc>
        <w:tc>
          <w:tcPr>
            <w:tcW w:w="190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libcpu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遵循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CPU ABI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和异常返回约定</w:t>
            </w:r>
          </w:p>
        </w:tc>
      </w:tr>
      <w:tr>
        <w:trPr/>
        <w:tc>
          <w:tcPr>
            <w:tcW w:w="3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芯片使用什么时钟和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Tick</w:t>
            </w:r>
          </w:p>
        </w:tc>
        <w:tc>
          <w:tcPr>
            <w:tcW w:w="190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BSP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由板级时钟源、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timer/SysTick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配置决定</w:t>
            </w:r>
          </w:p>
        </w:tc>
      </w:tr>
      <w:tr>
        <w:trPr/>
        <w:tc>
          <w:tcPr>
            <w:tcW w:w="3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console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使用哪个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UART</w:t>
            </w:r>
          </w:p>
        </w:tc>
        <w:tc>
          <w:tcPr>
            <w:tcW w:w="190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BSP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实例、引脚和时钟均为板级选择</w:t>
            </w:r>
          </w:p>
        </w:tc>
      </w:tr>
      <w:tr>
        <w:trPr/>
        <w:tc>
          <w:tcPr>
            <w:tcW w:w="333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UART/SPI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的统一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API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如何定义</w:t>
            </w:r>
          </w:p>
        </w:tc>
        <w:tc>
          <w:tcPr>
            <w:tcW w:w="1905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components/drivers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提供设备类和公共操作接口</w:t>
            </w:r>
          </w:p>
        </w:tc>
      </w:tr>
      <w:tr>
        <w:trPr/>
        <w:tc>
          <w:tcPr>
            <w:tcW w:w="333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某块板实际有哪些设备</w:t>
            </w:r>
          </w:p>
        </w:tc>
        <w:tc>
          <w:tcPr>
            <w:tcW w:w="1905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BSP + .config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以板级配置和构建条件为准</w:t>
            </w:r>
          </w:p>
        </w:tc>
      </w:tr>
    </w:tbl>
    <w:p>
      <w:pPr>
        <w:pStyle w:val="Caption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</w:r>
    </w:p>
    <w:p>
      <w:pPr>
        <w:pStyle w:val="Caption"/>
        <w:shd w:fill="EAF3FF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1F5A94"/>
          <w:sz w:val="21"/>
        </w:rPr>
      </w:pPr>
      <w:r>
        <w:rPr>
          <w:rFonts w:ascii="Noto Sans CJK SC" w:hAnsi="Noto Sans CJK SC" w:eastAsia="Noto Sans CJK SC"/>
          <w:b/>
          <w:color w:val="1F5A94"/>
          <w:sz w:val="21"/>
        </w:rPr>
        <w:t xml:space="preserve">代表性差异 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MCU 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常在编译期硬编码时钟与外设；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AArch64/RISC-V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大系统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更可能把共享启动放入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libcpu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，并通过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FDT/Device Model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在运行时枚举资源。</w:t>
      </w:r>
      <w:r>
        <w:br w:type="page"/>
      </w:r>
    </w:p>
    <w:p>
      <w:pPr>
        <w:pStyle w:val="Caption"/>
        <w:shd w:fill="EAF3FF" w:val="clear"/>
        <w:bidi w:val="0"/>
        <w:spacing w:lineRule="auto" w:line="0" w:before="0" w:after="102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19" w:name="__RefHeading___Toc75_1096083890"/>
      <w:bookmarkEnd w:id="19"/>
      <w:r>
        <w:rPr>
          <w:b/>
          <w:color w:val="102A43"/>
          <w:sz w:val="36"/>
        </w:rPr>
        <w:t xml:space="preserve">9  </w:t>
      </w:r>
      <w:r>
        <w:rPr>
          <w:b/>
          <w:color w:val="102A43"/>
          <w:sz w:val="36"/>
        </w:rPr>
        <w:t>测试、文档与源码阅读路线</w:t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20" w:name="__RefHeading___Toc77_1096083890"/>
      <w:bookmarkEnd w:id="20"/>
      <w:r>
        <w:rPr>
          <w:b/>
          <w:color w:val="1F5A94"/>
          <w:sz w:val="28"/>
        </w:rPr>
        <w:t xml:space="preserve">9.1 </w:t>
      </w:r>
      <w:r>
        <w:rPr>
          <w:b/>
          <w:color w:val="1F5A94"/>
          <w:sz w:val="28"/>
        </w:rPr>
        <w:t>测试和文档分布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23"/>
        <w:gridCol w:w="6001"/>
      </w:tblGrid>
      <w:tr>
        <w:trPr/>
        <w:tc>
          <w:tcPr>
            <w:tcW w:w="35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位置</w:t>
            </w:r>
          </w:p>
        </w:tc>
        <w:tc>
          <w:tcPr>
            <w:tcW w:w="6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components/utilities/utest/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utest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框架和命令入口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src/utest/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对象、线程、调度、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IPC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、内存、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timer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atomic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SMP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等内核测试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各组件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utest/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驱动、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DFS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、网络、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LWP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等模块就近测试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.github/utest/configs/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QEMU ARM/AArch64/RISC-V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Standard/Smart/SMP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自动测试配置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tools/testcases/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与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tools/ci/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Python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构建工具和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CI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辅助测试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documentation/3.kernel/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内核主题文档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documentation/6.components/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ascii="Noto Sans CJK SC" w:hAnsi="Noto Sans CJK SC" w:eastAsia="Noto Sans CJK SC"/>
                <w:color w:val="243B53"/>
                <w:sz w:val="18"/>
              </w:rPr>
              <w:t>设备、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DFS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、网络、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>FinSH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、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POSIX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等组件文档</w:t>
            </w:r>
          </w:p>
        </w:tc>
      </w:tr>
      <w:tr>
        <w:trPr/>
        <w:tc>
          <w:tcPr>
            <w:tcW w:w="3523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>tools/docs/</w:t>
            </w:r>
          </w:p>
        </w:tc>
        <w:tc>
          <w:tcPr>
            <w:tcW w:w="6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8"/>
              </w:rPr>
            </w:pP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SCons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 xml:space="preserve">构建原理和 </w:t>
            </w:r>
            <w:r>
              <w:rPr>
                <w:rFonts w:eastAsia="Noto Sans CJK SC" w:ascii="Noto Sans CJK SC" w:hAnsi="Noto Sans CJK SC"/>
                <w:color w:val="243B53"/>
                <w:sz w:val="18"/>
              </w:rPr>
              <w:t xml:space="preserve">SConscript </w:t>
            </w:r>
            <w:r>
              <w:rPr>
                <w:rFonts w:ascii="Noto Sans CJK SC" w:hAnsi="Noto Sans CJK SC" w:eastAsia="Noto Sans CJK SC"/>
                <w:color w:val="243B53"/>
                <w:sz w:val="18"/>
              </w:rPr>
              <w:t>编写说明</w:t>
            </w:r>
          </w:p>
        </w:tc>
      </w:tr>
    </w:tbl>
    <w:p>
      <w:pPr>
        <w:pStyle w:val="TextBody"/>
        <w:bidi w:val="0"/>
        <w:spacing w:before="125" w:after="79"/>
        <w:jc w:val="start"/>
        <w:rPr>
          <w:b/>
          <w:b/>
          <w:color w:val="1F5A94"/>
          <w:sz w:val="28"/>
        </w:rPr>
      </w:pPr>
      <w:r>
        <w:rPr/>
      </w:r>
    </w:p>
    <w:p>
      <w:pPr>
        <w:pStyle w:val="Heading2"/>
        <w:keepNext w:val="true"/>
        <w:bidi w:val="0"/>
        <w:spacing w:before="125" w:after="79"/>
        <w:jc w:val="start"/>
        <w:rPr>
          <w:b/>
          <w:b/>
          <w:color w:val="1F5A94"/>
          <w:sz w:val="28"/>
        </w:rPr>
      </w:pPr>
      <w:bookmarkStart w:id="21" w:name="__RefHeading___Toc79_1096083890"/>
      <w:bookmarkEnd w:id="21"/>
      <w:r>
        <w:rPr>
          <w:b/>
          <w:color w:val="1F5A94"/>
          <w:sz w:val="28"/>
        </w:rPr>
        <w:t xml:space="preserve">9.2 </w:t>
      </w:r>
      <w:r>
        <w:rPr>
          <w:b/>
          <w:color w:val="1F5A94"/>
          <w:sz w:val="28"/>
        </w:rPr>
        <w:t>推荐阅读路线</w:t>
      </w:r>
    </w:p>
    <w:p>
      <w:pPr>
        <w:pStyle w:val="TextBody"/>
        <w:bidi w:val="0"/>
        <w:spacing w:lineRule="auto" w:line="0" w:before="0" w:after="102"/>
        <w:ind w:start="0" w:end="0" w:hanging="0"/>
        <w:jc w:val="center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eastAsia="Noto Sans CJK SC" w:ascii="Noto Sans CJK SC" w:hAnsi="Noto Sans CJK SC"/>
          <w:b w:val="false"/>
          <w:color w:val="243B53"/>
          <w:sz w:val="21"/>
        </w:rPr>
        <w:drawing>
          <wp:inline distT="0" distB="0" distL="0" distR="0">
            <wp:extent cx="5904230" cy="262382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bidi w:val="0"/>
        <w:spacing w:before="45" w:after="102"/>
        <w:jc w:val="center"/>
        <w:rPr>
          <w:b w:val="false"/>
          <w:b w:val="false"/>
          <w:color w:val="526D82"/>
          <w:sz w:val="18"/>
        </w:rPr>
      </w:pPr>
      <w:r>
        <w:rPr>
          <w:b w:val="false"/>
          <w:color w:val="526D82"/>
          <w:sz w:val="18"/>
        </w:rPr>
        <w:t xml:space="preserve">图 </w:t>
      </w:r>
      <w:r>
        <w:rPr>
          <w:b w:val="false"/>
          <w:color w:val="526D82"/>
          <w:sz w:val="18"/>
        </w:rPr>
        <w:t xml:space="preserve">10  </w:t>
      </w:r>
      <w:r>
        <w:rPr>
          <w:b w:val="false"/>
          <w:color w:val="526D82"/>
          <w:sz w:val="18"/>
        </w:rPr>
        <w:t xml:space="preserve">从全局配置到具体 </w:t>
      </w:r>
      <w:r>
        <w:rPr>
          <w:b w:val="false"/>
          <w:color w:val="526D82"/>
          <w:sz w:val="18"/>
        </w:rPr>
        <w:t xml:space="preserve">BSP </w:t>
      </w:r>
      <w:r>
        <w:rPr>
          <w:b w:val="false"/>
          <w:color w:val="526D82"/>
          <w:sz w:val="18"/>
        </w:rPr>
        <w:t>的源码阅读路线</w:t>
      </w:r>
    </w:p>
    <w:p>
      <w:pPr>
        <w:pStyle w:val="Caption"/>
        <w:keepNext w:val="true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ascii="Noto Sans CJK SC" w:hAnsi="Noto Sans CJK SC" w:eastAsia="Noto Sans CJK SC"/>
          <w:b/>
          <w:color w:val="526D82"/>
          <w:sz w:val="18"/>
        </w:rPr>
        <w:t xml:space="preserve">表 </w:t>
      </w:r>
      <w:r>
        <w:rPr>
          <w:rFonts w:eastAsia="Noto Sans CJK SC" w:ascii="Noto Sans CJK SC" w:hAnsi="Noto Sans CJK SC"/>
          <w:b/>
          <w:color w:val="526D82"/>
          <w:sz w:val="18"/>
        </w:rPr>
        <w:t xml:space="preserve">8  </w:t>
      </w:r>
      <w:r>
        <w:rPr>
          <w:rFonts w:ascii="Noto Sans CJK SC" w:hAnsi="Noto Sans CJK SC" w:eastAsia="Noto Sans CJK SC"/>
          <w:b/>
          <w:color w:val="526D82"/>
          <w:sz w:val="18"/>
        </w:rPr>
        <w:t>分阶段阅读目标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14"/>
        <w:gridCol w:w="4286"/>
        <w:gridCol w:w="3524"/>
      </w:tblGrid>
      <w:tr>
        <w:trPr/>
        <w:tc>
          <w:tcPr>
            <w:tcW w:w="1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4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建议入口</w:t>
            </w:r>
          </w:p>
        </w:tc>
        <w:tc>
          <w:tcPr>
            <w:tcW w:w="3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要解决的问题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1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配置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src/Kconfig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src/SConscript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哪些能力和源码会进入固件？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2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数据结构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include/rtdef.h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rtsched.h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rthw.h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对象、线程和硬件契约如何定义？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3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启动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src/components.c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系统如何从板级初始化到用户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main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？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4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线程调度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object.c → thread.c → scheduler_*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线程为何运行、抢占、挂起和退出？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5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时间与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IPC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irq.c → clock.c → timer.c → ipc.c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超时、时间片、阻塞和唤醒如何联动？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6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内存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kservice.c →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选中的内存后端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rt_malloc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最终使用哪个分配器？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7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设备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device.c →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某设备类 →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BSP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驱动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统一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API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如何落到具体硬件？</w:t>
            </w:r>
          </w:p>
        </w:tc>
      </w:tr>
      <w:tr>
        <w:trPr/>
        <w:tc>
          <w:tcPr>
            <w:tcW w:w="1714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8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板级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目标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BSP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的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Kconfig/.config/rtconfig.py/board.c/main.c</w:t>
            </w:r>
          </w:p>
        </w:tc>
        <w:tc>
          <w:tcPr>
            <w:tcW w:w="3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当前固件实际配置和入口是什么？</w:t>
            </w:r>
          </w:p>
        </w:tc>
      </w:tr>
    </w:tbl>
    <w:p>
      <w:pPr>
        <w:pStyle w:val="Caption"/>
        <w:bidi w:val="0"/>
        <w:spacing w:lineRule="auto" w:line="0" w:before="57" w:after="51"/>
        <w:ind w:start="0" w:end="0" w:hanging="0"/>
        <w:jc w:val="center"/>
        <w:rPr>
          <w:rFonts w:ascii="Noto Sans CJK SC" w:hAnsi="Noto Sans CJK SC" w:eastAsia="Noto Sans CJK SC"/>
          <w:b/>
          <w:b/>
          <w:color w:val="526D82"/>
          <w:sz w:val="18"/>
        </w:rPr>
      </w:pPr>
      <w:r>
        <w:rPr>
          <w:rFonts w:eastAsia="Noto Sans CJK SC" w:ascii="Noto Sans CJK SC" w:hAnsi="Noto Sans CJK SC"/>
          <w:b/>
          <w:color w:val="526D82"/>
          <w:sz w:val="18"/>
        </w:rPr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22" w:name="__RefHeading___Toc81_1096083890"/>
      <w:bookmarkEnd w:id="22"/>
      <w:r>
        <w:rPr>
          <w:b/>
          <w:color w:val="102A43"/>
          <w:sz w:val="36"/>
        </w:rPr>
        <w:t xml:space="preserve">10  </w:t>
      </w:r>
      <w:r>
        <w:rPr>
          <w:b/>
          <w:color w:val="102A43"/>
          <w:sz w:val="36"/>
        </w:rPr>
        <w:t>结论与分析边界</w:t>
      </w:r>
    </w:p>
    <w:p>
      <w:pPr>
        <w:pStyle w:val="TextBody"/>
        <w:shd w:fill="EAF8F0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2D8A57"/>
          <w:sz w:val="21"/>
        </w:rPr>
      </w:pPr>
      <w:r>
        <w:rPr>
          <w:rFonts w:ascii="Noto Sans CJK SC" w:hAnsi="Noto Sans CJK SC" w:eastAsia="Noto Sans CJK SC"/>
          <w:b/>
          <w:color w:val="2D8A57"/>
          <w:sz w:val="21"/>
        </w:rPr>
        <w:t xml:space="preserve">结论一 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RT-Thread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是配置驱动的分层系统；看到某个目录或源文件，并不能推断它一定参与当前固件。</w:t>
      </w:r>
    </w:p>
    <w:p>
      <w:pPr>
        <w:pStyle w:val="TextBody"/>
        <w:shd w:fill="EAF8F0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2D8A57"/>
          <w:sz w:val="21"/>
        </w:rPr>
      </w:pPr>
      <w:r>
        <w:rPr>
          <w:rFonts w:ascii="Noto Sans CJK SC" w:hAnsi="Noto Sans CJK SC" w:eastAsia="Noto Sans CJK SC"/>
          <w:b/>
          <w:color w:val="2D8A57"/>
          <w:sz w:val="21"/>
        </w:rPr>
        <w:t xml:space="preserve">结论二 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src/include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components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libcpu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和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分别解决内核机制、上层服务、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CPU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共性和板级个性。</w:t>
      </w:r>
    </w:p>
    <w:p>
      <w:pPr>
        <w:pStyle w:val="TextBody"/>
        <w:shd w:fill="EAF8F0" w:val="clear"/>
        <w:bidi w:val="0"/>
        <w:spacing w:lineRule="auto" w:line="0" w:before="51" w:after="96"/>
        <w:ind w:start="0" w:end="0" w:hanging="0"/>
        <w:jc w:val="start"/>
        <w:rPr>
          <w:rFonts w:ascii="Noto Sans CJK SC" w:hAnsi="Noto Sans CJK SC" w:eastAsia="Noto Sans CJK SC"/>
          <w:b/>
          <w:b/>
          <w:color w:val="2D8A57"/>
          <w:sz w:val="21"/>
        </w:rPr>
      </w:pPr>
      <w:r>
        <w:rPr>
          <w:rFonts w:ascii="Noto Sans CJK SC" w:hAnsi="Noto Sans CJK SC" w:eastAsia="Noto Sans CJK SC"/>
          <w:b/>
          <w:color w:val="2D8A57"/>
          <w:sz w:val="21"/>
        </w:rPr>
        <w:t xml:space="preserve">结论三 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后续要做精确调用图、源码清单或性能分析，应先锁定目标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和该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BSP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的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.config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。</w:t>
      </w:r>
    </w:p>
    <w:p>
      <w:pPr>
        <w:pStyle w:val="TextBody"/>
        <w:keepNext w:val="false"/>
        <w:shd w:fill="EAF8F0" w:val="clear"/>
        <w:bidi w:val="0"/>
        <w:spacing w:lineRule="auto" w:line="0" w:before="0" w:after="85"/>
        <w:ind w:start="0" w:end="0" w:hanging="0"/>
        <w:jc w:val="start"/>
        <w:rPr>
          <w:rFonts w:ascii="Noto Sans CJK SC" w:hAnsi="Noto Sans CJK SC" w:eastAsia="Noto Sans CJK SC"/>
          <w:b w:val="false"/>
          <w:b w:val="false"/>
          <w:color w:val="243B53"/>
          <w:sz w:val="21"/>
        </w:rPr>
      </w:pP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本报告是基于提交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76b0267361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的静态、只读架构分析。没有选择唯一目标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BSP</w:t>
      </w:r>
      <w:r>
        <w:rPr>
          <w:rFonts w:ascii="Noto Sans CJK SC" w:hAnsi="Noto Sans CJK SC" w:eastAsia="Noto Sans CJK SC"/>
          <w:b w:val="false"/>
          <w:color w:val="243B53"/>
          <w:sz w:val="21"/>
        </w:rPr>
        <w:t xml:space="preserve">，没有运行 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scons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>menuconfig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、编译、</w:t>
      </w:r>
      <w:r>
        <w:rPr>
          <w:rFonts w:eastAsia="Noto Sans CJK SC" w:ascii="Noto Sans CJK SC" w:hAnsi="Noto Sans CJK SC"/>
          <w:b w:val="false"/>
          <w:color w:val="243B53"/>
          <w:sz w:val="21"/>
        </w:rPr>
        <w:t xml:space="preserve">QEMU </w:t>
      </w:r>
      <w:r>
        <w:rPr>
          <w:rFonts w:ascii="Noto Sans CJK SC" w:hAnsi="Noto Sans CJK SC" w:eastAsia="Noto Sans CJK SC"/>
          <w:b w:val="false"/>
          <w:color w:val="243B53"/>
          <w:sz w:val="21"/>
        </w:rPr>
        <w:t>或硬件测试。因此，本文可以作为公共源码导航，但不能替代某个目标固件的构建清单、运行日志或性能测量。</w:t>
      </w:r>
    </w:p>
    <w:p>
      <w:pPr>
        <w:pStyle w:val="Heading1"/>
        <w:keepNext w:val="true"/>
        <w:bidi w:val="0"/>
        <w:spacing w:before="147" w:after="125"/>
        <w:jc w:val="start"/>
        <w:rPr>
          <w:b/>
          <w:b/>
          <w:color w:val="102A43"/>
          <w:sz w:val="36"/>
        </w:rPr>
      </w:pPr>
      <w:bookmarkStart w:id="23" w:name="__RefHeading___Toc83_1096083890"/>
      <w:bookmarkEnd w:id="23"/>
      <w:r>
        <w:rPr>
          <w:b/>
          <w:color w:val="102A43"/>
          <w:sz w:val="36"/>
        </w:rPr>
        <w:t xml:space="preserve">附录 </w:t>
      </w:r>
      <w:r>
        <w:rPr>
          <w:b/>
          <w:color w:val="102A43"/>
          <w:sz w:val="36"/>
        </w:rPr>
        <w:t xml:space="preserve">A  </w:t>
      </w:r>
      <w:r>
        <w:rPr>
          <w:b/>
          <w:color w:val="102A43"/>
          <w:sz w:val="36"/>
        </w:rPr>
        <w:t>关键源码索引</w:t>
      </w:r>
    </w:p>
    <w:tbl>
      <w:tblPr>
        <w:tblW w:w="9524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80"/>
        <w:gridCol w:w="4286"/>
        <w:gridCol w:w="2858"/>
      </w:tblGrid>
      <w:tr>
        <w:trPr/>
        <w:tc>
          <w:tcPr>
            <w:tcW w:w="23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w="4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仓库相对路径</w:t>
            </w:r>
          </w:p>
        </w:tc>
        <w:tc>
          <w:tcPr>
            <w:tcW w:w="2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1F5A94" w:val="clear"/>
          </w:tcPr>
          <w:p>
            <w:pPr>
              <w:pStyle w:val="TableHeading"/>
              <w:bidi w:val="0"/>
              <w:jc w:val="center"/>
              <w:rPr>
                <w:rFonts w:ascii="Noto Sans CJK SC" w:hAnsi="Noto Sans CJK SC" w:eastAsia="Noto Sans CJK SC"/>
                <w:b/>
                <w:b/>
                <w:color w:val="FFFFFF"/>
                <w:sz w:val="17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关注位置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版本宏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include/rtdef.h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85—93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对象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/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线程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/IPC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数据结构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include/rtdef.h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282—362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852—1124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硬件移植契约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include/rthw.h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97—169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标准启动链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src/components.c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186—289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对象管理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src/object.c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355—582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线程生命周期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src/thread.c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176—300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346—700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945—1145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单核调度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src/scheduler_up.c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104—124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210—415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491—573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公共调度逻辑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src/scheduler_comm.c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229—321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IPC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src/ipc.c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等待队列及各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 xml:space="preserve">IPC 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实现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Tick/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定时器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src/clock.c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src/timer.c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clock 136—168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timer 488—868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 xml:space="preserve">设备 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API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components/drivers/core/device.c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67—451</w:t>
            </w:r>
          </w:p>
        </w:tc>
      </w:tr>
      <w:tr>
        <w:trPr/>
        <w:tc>
          <w:tcPr>
            <w:tcW w:w="2380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构建聚合</w:t>
            </w:r>
          </w:p>
        </w:tc>
        <w:tc>
          <w:tcPr>
            <w:tcW w:w="4286" w:type="dxa"/>
            <w:tcBorders>
              <w:start w:val="single" w:sz="2" w:space="0" w:color="000000"/>
              <w:bottom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tools/building.py</w:t>
            </w:r>
          </w:p>
        </w:tc>
        <w:tc>
          <w:tcPr>
            <w:tcW w:w="285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6F9" w:val="clear"/>
          </w:tcPr>
          <w:p>
            <w:pPr>
              <w:pStyle w:val="TableContents"/>
              <w:bidi w:val="0"/>
              <w:jc w:val="start"/>
              <w:rPr>
                <w:rFonts w:ascii="Noto Sans CJK SC" w:hAnsi="Noto Sans CJK SC" w:eastAsia="Noto Sans CJK SC"/>
                <w:color w:val="243B53"/>
                <w:sz w:val="17"/>
              </w:rPr>
            </w:pPr>
            <w:r>
              <w:rPr>
                <w:rFonts w:eastAsia="Noto Sans CJK SC" w:ascii="Noto Sans CJK SC" w:hAnsi="Noto Sans CJK SC"/>
                <w:color w:val="243B53"/>
                <w:sz w:val="17"/>
              </w:rPr>
              <w:t>350—527</w:t>
            </w:r>
            <w:r>
              <w:rPr>
                <w:rFonts w:ascii="Noto Sans CJK SC" w:hAnsi="Noto Sans CJK SC" w:eastAsia="Noto Sans CJK SC"/>
                <w:color w:val="243B53"/>
                <w:sz w:val="17"/>
              </w:rPr>
              <w:t>；</w:t>
            </w:r>
            <w:r>
              <w:rPr>
                <w:rFonts w:eastAsia="Noto Sans CJK SC" w:ascii="Noto Sans CJK SC" w:hAnsi="Noto Sans CJK SC"/>
                <w:color w:val="243B53"/>
                <w:sz w:val="17"/>
              </w:rPr>
              <w:t>685—923</w:t>
            </w:r>
          </w:p>
        </w:tc>
      </w:tr>
    </w:tbl>
    <w:p>
      <w:pPr>
        <w:pStyle w:val="TextBody"/>
        <w:bidi w:val="0"/>
        <w:spacing w:before="147" w:after="125"/>
        <w:jc w:val="start"/>
        <w:rPr>
          <w:b/>
          <w:b/>
          <w:color w:val="102A43"/>
          <w:sz w:val="36"/>
        </w:rPr>
      </w:pPr>
      <w:r>
        <w:rPr/>
      </w:r>
    </w:p>
    <w:p>
      <w:pPr>
        <w:pStyle w:val="TextBody"/>
        <w:bidi w:val="0"/>
        <w:spacing w:before="147" w:after="125"/>
        <w:jc w:val="start"/>
        <w:rPr>
          <w:b/>
          <w:b/>
          <w:color w:val="102A43"/>
          <w:sz w:val="36"/>
        </w:rPr>
      </w:pPr>
      <w:r>
        <w:rPr/>
      </w:r>
    </w:p>
    <w:sectPr>
      <w:headerReference w:type="default" r:id="rId15"/>
      <w:footerReference w:type="default" r:id="rId16"/>
      <w:type w:val="nextPage"/>
      <w:pgSz w:w="11906" w:h="16838"/>
      <w:pgMar w:left="1191" w:right="1191" w:header="964" w:top="1333" w:footer="964" w:bottom="1333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Noto Sans CJK SC">
    <w:charset w:val="01" w:characterSet="utf-8"/>
    <w:family w:val="roman"/>
    <w:pitch w:val="variable"/>
  </w:font>
  <w:font w:name="Noto Sans Mono CJK SC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bidi w:val="0"/>
      <w:jc w:val="center"/>
      <w:rPr>
        <w:rFonts w:ascii="Noto Sans CJK SC" w:hAnsi="Noto Sans CJK SC" w:eastAsia="Noto Sans CJK SC"/>
        <w:color w:val="526D82"/>
        <w:sz w:val="17"/>
      </w:rPr>
    </w:pPr>
    <w:r>
      <w:rPr>
        <w:rFonts w:ascii="Noto Sans CJK SC" w:hAnsi="Noto Sans CJK SC" w:eastAsia="Noto Sans CJK SC"/>
        <w:color w:val="526D82"/>
        <w:sz w:val="17"/>
      </w:rPr>
      <w:t xml:space="preserve">第 </w:t>
    </w:r>
    <w:r>
      <w:rPr>
        <w:rFonts w:ascii="Noto Sans CJK SC" w:hAnsi="Noto Sans CJK SC" w:eastAsia="Noto Sans CJK SC"/>
        <w:color w:val="526D82"/>
        <w:sz w:val="17"/>
      </w:rPr>
      <w:fldChar w:fldCharType="begin"/>
    </w:r>
    <w:r>
      <w:rPr>
        <w:sz w:val="17"/>
        <w:rFonts w:ascii="Noto Sans CJK SC" w:hAnsi="Noto Sans CJK SC" w:eastAsia="Noto Sans CJK SC"/>
        <w:color w:val="526D82"/>
      </w:rPr>
      <w:instrText> PAGE \* ALPHABETIC </w:instrText>
    </w:r>
    <w:r>
      <w:rPr>
        <w:sz w:val="17"/>
        <w:rFonts w:ascii="Noto Sans CJK SC" w:hAnsi="Noto Sans CJK SC" w:eastAsia="Noto Sans CJK SC"/>
        <w:color w:val="526D82"/>
      </w:rPr>
      <w:fldChar w:fldCharType="separate"/>
    </w:r>
    <w:r>
      <w:rPr>
        <w:sz w:val="17"/>
        <w:rFonts w:ascii="Noto Sans CJK SC" w:hAnsi="Noto Sans CJK SC" w:eastAsia="Noto Sans CJK SC"/>
        <w:color w:val="526D82"/>
      </w:rPr>
      <w:t>O</w:t>
    </w:r>
    <w:r>
      <w:rPr>
        <w:sz w:val="17"/>
        <w:rFonts w:ascii="Noto Sans CJK SC" w:hAnsi="Noto Sans CJK SC" w:eastAsia="Noto Sans CJK SC"/>
        <w:color w:val="526D82"/>
      </w:rPr>
      <w:fldChar w:fldCharType="end"/>
    </w:r>
    <w:r>
      <w:rPr>
        <w:rFonts w:ascii="Noto Sans CJK SC" w:hAnsi="Noto Sans CJK SC" w:eastAsia="Noto Sans CJK SC"/>
        <w:color w:val="526D82"/>
        <w:sz w:val="17"/>
      </w:rPr>
      <w:t xml:space="preserve"> 页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bidi w:val="0"/>
      <w:jc w:val="center"/>
      <w:rPr>
        <w:rFonts w:ascii="Noto Sans CJK SC" w:hAnsi="Noto Sans CJK SC" w:eastAsia="Noto Sans CJK SC"/>
        <w:color w:val="526D82"/>
        <w:sz w:val="17"/>
      </w:rPr>
    </w:pPr>
    <w:r>
      <w:rPr>
        <w:rFonts w:ascii="Noto Sans CJK SC" w:hAnsi="Noto Sans CJK SC" w:eastAsia="Noto Sans CJK SC"/>
        <w:color w:val="526D82"/>
        <w:sz w:val="17"/>
      </w:rPr>
      <w:t xml:space="preserve">第 </w:t>
    </w:r>
    <w:r>
      <w:rPr>
        <w:rFonts w:ascii="Noto Sans CJK SC" w:hAnsi="Noto Sans CJK SC" w:eastAsia="Noto Sans CJK SC"/>
        <w:color w:val="526D82"/>
        <w:sz w:val="17"/>
      </w:rPr>
      <w:fldChar w:fldCharType="begin"/>
    </w:r>
    <w:r>
      <w:rPr>
        <w:sz w:val="17"/>
        <w:rFonts w:ascii="Noto Sans CJK SC" w:hAnsi="Noto Sans CJK SC" w:eastAsia="Noto Sans CJK SC"/>
        <w:color w:val="526D82"/>
      </w:rPr>
      <w:instrText> PAGE \* ALPHABETIC </w:instrText>
    </w:r>
    <w:r>
      <w:rPr>
        <w:sz w:val="17"/>
        <w:rFonts w:ascii="Noto Sans CJK SC" w:hAnsi="Noto Sans CJK SC" w:eastAsia="Noto Sans CJK SC"/>
        <w:color w:val="526D82"/>
      </w:rPr>
      <w:fldChar w:fldCharType="separate"/>
    </w:r>
    <w:r>
      <w:rPr>
        <w:sz w:val="17"/>
        <w:rFonts w:ascii="Noto Sans CJK SC" w:hAnsi="Noto Sans CJK SC" w:eastAsia="Noto Sans CJK SC"/>
        <w:color w:val="526D82"/>
      </w:rPr>
      <w:t>O</w:t>
    </w:r>
    <w:r>
      <w:rPr>
        <w:sz w:val="17"/>
        <w:rFonts w:ascii="Noto Sans CJK SC" w:hAnsi="Noto Sans CJK SC" w:eastAsia="Noto Sans CJK SC"/>
        <w:color w:val="526D82"/>
      </w:rPr>
      <w:fldChar w:fldCharType="end"/>
    </w:r>
    <w:r>
      <w:rPr>
        <w:rFonts w:ascii="Noto Sans CJK SC" w:hAnsi="Noto Sans CJK SC" w:eastAsia="Noto Sans CJK SC"/>
        <w:color w:val="526D82"/>
        <w:sz w:val="17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bidi w:val="0"/>
      <w:jc w:val="both"/>
      <w:rPr>
        <w:rFonts w:ascii="Noto Sans CJK SC" w:hAnsi="Noto Sans CJK SC" w:eastAsia="Noto Sans CJK SC"/>
        <w:color w:val="526D82"/>
        <w:sz w:val="17"/>
      </w:rPr>
    </w:pPr>
    <w:r>
      <w:rPr>
        <w:rFonts w:eastAsia="Noto Sans CJK SC" w:ascii="Noto Sans CJK SC" w:hAnsi="Noto Sans CJK SC"/>
        <w:color w:val="526D82"/>
        <w:sz w:val="17"/>
      </w:rPr>
      <w:t xml:space="preserve">RT-Thread 5.3.0 </w:t>
    </w:r>
    <w:r>
      <w:rPr>
        <w:rFonts w:ascii="Noto Sans CJK SC" w:hAnsi="Noto Sans CJK SC" w:eastAsia="Noto Sans CJK SC"/>
        <w:color w:val="526D82"/>
        <w:sz w:val="17"/>
      </w:rPr>
      <w:t>源码结构与运行机制梳理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bidi w:val="0"/>
      <w:jc w:val="both"/>
      <w:rPr>
        <w:rFonts w:ascii="Noto Sans CJK SC" w:hAnsi="Noto Sans CJK SC" w:eastAsia="Noto Sans CJK SC"/>
        <w:color w:val="526D82"/>
        <w:sz w:val="17"/>
      </w:rPr>
    </w:pPr>
    <w:r>
      <w:rPr>
        <w:rFonts w:eastAsia="Noto Sans CJK SC" w:ascii="Noto Sans CJK SC" w:hAnsi="Noto Sans CJK SC"/>
        <w:color w:val="526D82"/>
        <w:sz w:val="17"/>
      </w:rPr>
      <w:t xml:space="preserve">RT-Thread 5.3.0 </w:t>
    </w:r>
    <w:r>
      <w:rPr>
        <w:rFonts w:ascii="Noto Sans CJK SC" w:hAnsi="Noto Sans CJK SC" w:eastAsia="Noto Sans CJK SC"/>
        <w:color w:val="526D82"/>
        <w:sz w:val="17"/>
      </w:rPr>
      <w:t>源码结构与运行机制梳理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Noto Sans CJK SC" w:hAnsi="Noto Sans CJK SC" w:eastAsia="Noto Sans CJK SC"/>
      <w:b/>
      <w:bCs/>
      <w:color w:val="102A43"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Noto Sans CJK SC" w:hAnsi="Noto Sans CJK SC" w:eastAsia="Noto Sans CJK SC"/>
      <w:b/>
      <w:bCs/>
      <w:color w:val="1F5A94"/>
      <w:sz w:val="28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Noto Sans CJK SC" w:hAnsi="Noto Sans CJK SC" w:eastAsia="Noto Sans CJK SC"/>
      <w:b/>
      <w:bCs/>
      <w:color w:val="102A43"/>
      <w:sz w:val="23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762" w:leader="none"/>
        <w:tab w:val="right" w:pos="9524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ntents1">
    <w:name w:val="TOC 1"/>
    <w:basedOn w:val="Index"/>
    <w:pPr>
      <w:tabs>
        <w:tab w:val="clear" w:pos="709"/>
        <w:tab w:val="right" w:pos="9524" w:leader="dot"/>
      </w:tabs>
      <w:ind w:start="0" w:hanging="0"/>
    </w:pPr>
    <w:rPr/>
  </w:style>
  <w:style w:type="paragraph" w:styleId="Contents2">
    <w:name w:val="TOC 2"/>
    <w:basedOn w:val="Index"/>
    <w:pPr>
      <w:tabs>
        <w:tab w:val="clear" w:pos="709"/>
        <w:tab w:val="right" w:pos="9524" w:leader="dot"/>
      </w:tabs>
      <w:ind w:start="283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2026-08-13T21:06:39Z</dcterms:created>
  <dc:creator>Codex</dc:creator>
  <dc:description>基于提交 76b0267361 的静态只读源码分析。</dc:description>
  <dc:language>en-US</dc:language>
  <cp:lastModifiedBy/>
  <dcterms:modified xsi:type="dcterms:W3CDTF">2026-08-13T21:06:48Z</dcterms:modified>
  <cp:revision>1</cp:revision>
  <dc:subject>目录架构、构建流程、内核机制、组件边界与源码阅读路线</dc:subject>
  <dc:title>RT-Thread 5.3.0 源码结构与运行机制梳理</dc:title>
</cp:coreProperties>
</file>