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3F51B5"/>
          <w:sz w:val="40"/>
        </w:rPr>
        <w:t>Decision Rights &amp; Escalation</w:t>
      </w:r>
    </w:p>
    <w:p>
      <w:pPr>
        <w:spacing w:after="240"/>
      </w:pPr>
      <w:r>
        <w:rPr>
          <w:i/>
          <w:color w:val="606060"/>
          <w:sz w:val="17"/>
        </w:rPr>
        <w:t>Open Data &amp; AI Governance Kit  ·  Licensed CC BY 4.0  ·  https://lsdeva.github.io/governance-kit/</w:t>
      </w:r>
    </w:p>
    <w:p>
      <w:pPr>
        <w:spacing w:after="120"/>
      </w:pPr>
      <w:r>
        <w:rPr>
          <w:b/>
          <w:sz w:val="21"/>
        </w:rPr>
        <w:t xml:space="preserve">Purpose. </w:t>
      </w:r>
      <w:r>
        <w:rPr>
          <w:sz w:val="21"/>
        </w:rPr>
        <w:t>States who can decide what, at what threshold, and what happens when people disagree or a decision is needed urgently. It is the document that stops governance stalling.</w:t>
      </w:r>
    </w:p>
    <w:p>
      <w:pPr>
        <w:spacing w:after="120"/>
      </w:pPr>
      <w:r>
        <w:rPr>
          <w:b/>
          <w:sz w:val="21"/>
        </w:rPr>
        <w:t xml:space="preserve">When to use it. </w:t>
      </w:r>
      <w:r>
        <w:rPr>
          <w:sz w:val="21"/>
        </w:rPr>
        <w:t>With the operating model. Test it after the first real escalation, and again after the first urgent out-of-hours decision.</w:t>
      </w:r>
    </w:p>
    <w:p>
      <w:pPr>
        <w:spacing w:after="120"/>
      </w:pPr>
      <w:r>
        <w:rPr>
          <w:b/>
          <w:sz w:val="21"/>
        </w:rPr>
        <w:t xml:space="preserve">How to use it. </w:t>
      </w:r>
      <w:r>
        <w:rPr>
          <w:sz w:val="21"/>
        </w:rPr>
        <w:t>Set thresholds in concrete terms — money, number of people affected, data classification — not adjectives like "significant". Then walk a real past decision through it and see whether the answer it gives matches what actually happened.</w:t>
      </w:r>
    </w:p>
    <w:p/>
    <w:p>
      <w:pPr>
        <w:spacing w:before="200" w:after="80"/>
      </w:pPr>
      <w:r>
        <w:rPr>
          <w:b/>
          <w:color w:val="3F51B5"/>
          <w:sz w:val="24"/>
        </w:rPr>
        <w:t>1. Decision authority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Decision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Authority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Consult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Escalate if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Deploy a minimal-risk AI system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AI Accountable Owner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Gov Lead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Classification is disputed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Deploy a limited-risk AI system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Gov Lead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Legal, Security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Customer-facing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Deploy a high-risk AI system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Committee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Legal, Security, Audit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Board threshold met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Approve a prohibited-practice exception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Not available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Prohibited means prohibited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Use personal data for training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Data Owner + DPO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Gov Lead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Special category data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Accept residual risk — low / medium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AI Accountable Owner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Gov Lead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Accept residual risk — high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Committee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Legal, Security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Above [threshold]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Accept residual risk — critical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Board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Committee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Approve a new AI vendor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Gov Lead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Security, Legal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Critical tier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Policy exception ≤ [90 days]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Gov Lead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Owner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Repeat request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Policy exception &gt; [90 days]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Committee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Legal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Suspend a live AI system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AI Owner, Gov Lead, or Security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Notify Committee within [24h]</w:t>
            </w:r>
          </w:p>
        </w:tc>
        <w:tc>
          <w:tcPr>
            <w:tcW w:type="dxa" w:w="2412"/>
          </w:tcPr>
          <w:p>
            <w:pPr>
              <w:spacing w:after="40"/>
            </w:pPr>
            <w:r/>
            <w:r>
              <w:rPr>
                <w:sz w:val="17"/>
              </w:rPr>
              <w:t>Always report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3F51B5"/>
          <w:sz w:val="20"/>
        </w:rPr>
        <w:t>Suspension must be fast and blameless</w:t>
      </w:r>
    </w:p>
    <w:p>
      <w:pPr>
        <w:spacing w:after="120"/>
      </w:pPr>
      <w:r>
        <w:rPr>
          <w:i/>
          <w:color w:val="606060"/>
          <w:sz w:val="20"/>
        </w:rPr>
        <w:t>Any of three roles can stop a system, and none of them needs permission first. If stopping a system requires a committee meeting, it will not happen in time. Notification comes after the stop, never before.</w:t>
      </w:r>
    </w:p>
    <w:p>
      <w:pPr>
        <w:spacing w:before="200" w:after="80"/>
      </w:pPr>
      <w:r>
        <w:rPr>
          <w:b/>
          <w:color w:val="3F51B5"/>
          <w:sz w:val="24"/>
        </w:rPr>
        <w:t>2. Escalation thresholds</w:t>
      </w:r>
    </w:p>
    <w:p>
      <w:pPr>
        <w:spacing w:after="120"/>
      </w:pPr>
      <w:r>
        <w:rPr>
          <w:i w:val="0"/>
          <w:sz w:val="21"/>
        </w:rPr>
        <w:t>Escalate to the Committee when any is true:</w:t>
      </w:r>
    </w:p>
    <w:p>
      <w:pPr>
        <w:pStyle w:val="ListBullet"/>
        <w:spacing w:after="60"/>
      </w:pPr>
      <w:r>
        <w:rPr>
          <w:sz w:val="21"/>
        </w:rPr>
        <w:t>Risk is rated high or above after mitigation.</w:t>
      </w:r>
    </w:p>
    <w:p>
      <w:pPr>
        <w:pStyle w:val="ListBullet"/>
        <w:spacing w:after="60"/>
      </w:pPr>
      <w:r>
        <w:rPr>
          <w:sz w:val="21"/>
        </w:rPr>
        <w:t>Personal data of [10,000+] people, or any special category data.</w:t>
      </w:r>
    </w:p>
    <w:p>
      <w:pPr>
        <w:pStyle w:val="ListBullet"/>
        <w:spacing w:after="60"/>
      </w:pPr>
      <w:r>
        <w:rPr>
          <w:sz w:val="21"/>
        </w:rPr>
        <w:t>The system makes or materially informs decisions about individuals.</w:t>
      </w:r>
    </w:p>
    <w:p>
      <w:pPr>
        <w:pStyle w:val="ListBullet"/>
        <w:spacing w:after="60"/>
      </w:pPr>
      <w:r>
        <w:rPr>
          <w:sz w:val="21"/>
        </w:rPr>
        <w:t>Two functions disagree and cannot resolve it within [5 working days].</w:t>
      </w:r>
    </w:p>
    <w:p>
      <w:pPr>
        <w:pStyle w:val="ListBullet"/>
        <w:spacing w:after="60"/>
      </w:pPr>
      <w:r>
        <w:rPr>
          <w:sz w:val="21"/>
        </w:rPr>
        <w:t>An exception is requested for the second time.</w:t>
      </w:r>
    </w:p>
    <w:p>
      <w:pPr>
        <w:spacing w:after="120"/>
      </w:pPr>
      <w:r>
        <w:rPr>
          <w:i w:val="0"/>
          <w:sz w:val="21"/>
        </w:rPr>
        <w:t>Escalate to the Board when any is true:</w:t>
      </w:r>
    </w:p>
    <w:p>
      <w:pPr>
        <w:pStyle w:val="ListBullet"/>
        <w:spacing w:after="60"/>
      </w:pPr>
      <w:r>
        <w:rPr>
          <w:sz w:val="21"/>
        </w:rPr>
        <w:t>Residual risk is critical.</w:t>
      </w:r>
    </w:p>
    <w:p>
      <w:pPr>
        <w:pStyle w:val="ListBullet"/>
        <w:spacing w:after="60"/>
      </w:pPr>
      <w:r>
        <w:rPr>
          <w:sz w:val="21"/>
        </w:rPr>
        <w:t>Regulatory notification is likely or required.</w:t>
      </w:r>
    </w:p>
    <w:p>
      <w:pPr>
        <w:pStyle w:val="ListBullet"/>
        <w:spacing w:after="60"/>
      </w:pPr>
      <w:r>
        <w:rPr>
          <w:sz w:val="21"/>
        </w:rPr>
        <w:t>Potential impact exceeds [£X] or affects [X] customers.</w:t>
      </w:r>
    </w:p>
    <w:p>
      <w:pPr>
        <w:pStyle w:val="ListBullet"/>
        <w:spacing w:after="60"/>
      </w:pPr>
      <w:r>
        <w:rPr>
          <w:sz w:val="21"/>
        </w:rPr>
        <w:t>Reputational exposure is material.</w:t>
      </w:r>
    </w:p>
    <w:p>
      <w:pPr>
        <w:spacing w:before="200" w:after="80"/>
      </w:pPr>
      <w:r>
        <w:rPr>
          <w:b/>
          <w:color w:val="3F51B5"/>
          <w:sz w:val="24"/>
        </w:rPr>
        <w:t>3. Disagreement</w:t>
      </w:r>
    </w:p>
    <w:p>
      <w:pPr>
        <w:pStyle w:val="ListNumber"/>
        <w:spacing w:after="60"/>
      </w:pPr>
      <w:r>
        <w:rPr>
          <w:sz w:val="21"/>
        </w:rPr>
        <w:t>Resolve locally — the two parties, within 5 working days.</w:t>
      </w:r>
    </w:p>
    <w:p>
      <w:pPr>
        <w:pStyle w:val="ListNumber"/>
        <w:spacing w:after="60"/>
      </w:pPr>
      <w:r>
        <w:rPr>
          <w:sz w:val="21"/>
        </w:rPr>
        <w:t>Governance Lead facilitates — within 5 further days.</w:t>
      </w:r>
    </w:p>
    <w:p>
      <w:pPr>
        <w:pStyle w:val="ListNumber"/>
        <w:spacing w:after="60"/>
      </w:pPr>
      <w:r>
        <w:rPr>
          <w:sz w:val="21"/>
        </w:rPr>
        <w:t>Committee decides — at the next meeting, or by written procedure.</w:t>
      </w:r>
    </w:p>
    <w:p>
      <w:pPr>
        <w:pStyle w:val="ListNumber"/>
        <w:spacing w:after="60"/>
      </w:pPr>
      <w:r>
        <w:rPr>
          <w:sz w:val="21"/>
        </w:rPr>
        <w:t>Board — where the committee cannot agree or the threshold is met.</w:t>
      </w:r>
    </w:p>
    <w:p>
      <w:pPr>
        <w:spacing w:after="120"/>
      </w:pPr>
      <w:r>
        <w:rPr>
          <w:i w:val="0"/>
          <w:sz w:val="21"/>
        </w:rPr>
        <w:t>The dissenting position is recorded in the minutes by name. People are far more willing to raise concerns when disagreement is documented rather than absorbed.</w:t>
      </w:r>
    </w:p>
    <w:p>
      <w:pPr>
        <w:spacing w:before="200" w:after="80"/>
      </w:pPr>
      <w:r>
        <w:rPr>
          <w:b/>
          <w:color w:val="3F51B5"/>
          <w:sz w:val="24"/>
        </w:rPr>
        <w:t>4. Urgent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Situation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Who can act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7"/>
              </w:rPr>
              <w:t>Ratification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Live incident, harm occurring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Any of AI Owner / Gov Lead / Security — act first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Committee within [48h]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Regulatory deadline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Gov Lead + Legal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Next meeting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Out of hours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[on-call role]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7"/>
              </w:rPr>
              <w:t>Next working day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b/>
          <w:color w:val="3F51B5"/>
          <w:sz w:val="24"/>
        </w:rPr>
        <w:t>5. Recording</w:t>
      </w:r>
    </w:p>
    <w:p>
      <w:pPr>
        <w:spacing w:after="120"/>
      </w:pPr>
      <w:r>
        <w:rPr>
          <w:i w:val="0"/>
          <w:sz w:val="21"/>
        </w:rPr>
        <w:t>Every decision at committee level or above records: decision, date, who decided, rationale, dissent, and review date. This is the evidence trail a regulator asks for.</w:t>
      </w:r>
    </w:p>
    <w:p>
      <w:pPr>
        <w:spacing w:before="200" w:after="80"/>
      </w:pPr>
      <w:r>
        <w:rPr>
          <w:b/>
          <w:color w:val="3F51B5"/>
          <w:sz w:val="24"/>
        </w:rPr>
        <w:t>6. Review</w:t>
      </w:r>
    </w:p>
    <w:p>
      <w:pPr>
        <w:spacing w:after="120"/>
      </w:pPr>
      <w:r>
        <w:rPr>
          <w:i w:val="0"/>
          <w:sz w:val="21"/>
        </w:rPr>
        <w:t>Test annually against real decisions taken. If people routinely go around the matrix, the matrix is wrong — fix the matrix, not the people.</w:t>
      </w:r>
    </w:p>
    <w:p>
      <w:pPr>
        <w:spacing w:before="280" w:after="80"/>
      </w:pPr>
      <w:r>
        <w:rPr>
          <w:b/>
          <w:color w:val="3F51B5"/>
          <w:sz w:val="28"/>
        </w:rPr>
        <w:t>Adaptation notes</w:t>
      </w:r>
    </w:p>
    <w:p>
      <w:pPr>
        <w:pStyle w:val="ListBullet"/>
        <w:spacing w:after="80"/>
      </w:pPr>
      <w:r>
        <w:rPr>
          <w:b/>
          <w:sz w:val="21"/>
        </w:rPr>
        <w:t xml:space="preserve">Small organisations: </w:t>
      </w:r>
      <w:r>
        <w:rPr>
          <w:sz w:val="21"/>
        </w:rPr>
        <w:t>Two levels are enough — an operational decision-maker and an escalation point. Keep the suspension right distributed regardless of size.</w:t>
      </w:r>
    </w:p>
    <w:p>
      <w:pPr>
        <w:pStyle w:val="ListBullet"/>
        <w:spacing w:after="80"/>
      </w:pPr>
      <w:r>
        <w:rPr>
          <w:b/>
          <w:sz w:val="21"/>
        </w:rPr>
        <w:t xml:space="preserve">Regulated sectors: </w:t>
      </w:r>
      <w:r>
        <w:rPr>
          <w:sz w:val="21"/>
        </w:rPr>
        <w:t>Align thresholds with existing risk acceptance limits so you do not run two incompatible sets of numbers.</w:t>
      </w:r>
    </w:p>
    <w:p>
      <w:pPr>
        <w:pStyle w:val="ListBullet"/>
        <w:spacing w:after="80"/>
      </w:pPr>
      <w:r>
        <w:rPr>
          <w:b/>
          <w:sz w:val="21"/>
        </w:rPr>
        <w:t xml:space="preserve">Fast-moving product teams: </w:t>
      </w:r>
      <w:r>
        <w:rPr>
          <w:sz w:val="21"/>
        </w:rPr>
        <w:t>Set generous authority at the minimal and limited tiers so governance is not the bottleneck, and spend the control effort on high-risk instead.</w:t>
      </w:r>
    </w:p>
    <w:p/>
    <w:p>
      <w:pPr>
        <w:spacing w:before="200"/>
      </w:pPr>
      <w:r>
        <w:rPr>
          <w:i/>
          <w:color w:val="606060"/>
          <w:sz w:val="17"/>
        </w:rPr>
        <w:t>Not legal advice. This template is a head start, not a substitute for professional judgement. Adapt it to your jurisdiction, sector, and risk appetite, and have qualified counsel review anything material before you rely on it.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