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Issue &amp; Incident Log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record of what went wrong, what you did, and what changed as a result. It is both a management tool and the evidence base for serious-incident reporting duties.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From day one. You need the route defined before the first incident, not during it.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Define severity and the reporting clock in advance, and make reporting easy and blameless. The failure mode is not a bad log — it is people not reporting at all because they fear the consequences.</w:t>
      </w:r>
    </w:p>
    <w:p/>
    <w:p>
      <w:pPr>
        <w:spacing w:before="200" w:after="80"/>
      </w:pPr>
      <w:r>
        <w:rPr>
          <w:b/>
          <w:color w:val="3F51B5"/>
          <w:sz w:val="24"/>
        </w:rPr>
        <w:t>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Response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Notify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S1 Critical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Harm to people, regulatory breach, or major data loss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Immediate; incident lead appointed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 immediately; Board; regulator assessment within [24h]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S2 Major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Material impact; significant risk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Within [4h]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 within [24h]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S3 Moderate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Contained impact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Within [1 working day]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Governance Lead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S4 Minor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Negligible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Next cycle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Logged only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The serious-incident clock</w:t>
      </w:r>
    </w:p>
    <w:p>
      <w:pPr>
        <w:spacing w:after="120"/>
      </w:pPr>
      <w:r>
        <w:rPr>
          <w:i/>
          <w:color w:val="606060"/>
          <w:sz w:val="20"/>
        </w:rPr>
        <w:t>Under Art. 73 the reporting window for serious incidents is short and starts when you establish the link between the system and the incident — not when you finish investigating. Assess reportability early and in parallel with fixing it.</w:t>
      </w:r>
    </w:p>
    <w:p>
      <w:pPr>
        <w:spacing w:before="200" w:after="80"/>
      </w:pPr>
      <w:r>
        <w:rPr>
          <w:b/>
          <w:color w:val="3F51B5"/>
          <w:sz w:val="24"/>
        </w:rPr>
        <w:t>The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System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Reported by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Personal data?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Reportable?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Closed</w:t>
            </w:r>
          </w:p>
        </w:tc>
      </w:tr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INC-001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Model returned biased ranking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AI-004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S2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Fairness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Under assessment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Open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INC-002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Confidential doc pasted into public LLM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S2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Data leak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Yes — DPA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Closed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Incident types</w:t>
      </w:r>
    </w:p>
    <w:p>
      <w:pPr>
        <w:spacing w:after="120"/>
      </w:pPr>
      <w:r>
        <w:rPr>
          <w:i w:val="0"/>
          <w:sz w:val="21"/>
        </w:rPr>
        <w:t>Fairness / bias · Accuracy or drift · Data leak · Unauthorised use · Security (injection, poisoning, extraction) · Availability · Transparency failure · Oversight failure · Third-party / vendor · Regulatory</w:t>
      </w:r>
    </w:p>
    <w:p>
      <w:pPr>
        <w:spacing w:before="200" w:after="80"/>
      </w:pPr>
      <w:r>
        <w:rPr>
          <w:b/>
          <w:color w:val="3F51B5"/>
          <w:sz w:val="24"/>
        </w:rPr>
        <w:t>Record for each incident</w:t>
      </w:r>
    </w:p>
    <w:p>
      <w:pPr>
        <w:pStyle w:val="ListNumber"/>
        <w:spacing w:after="60"/>
      </w:pPr>
      <w:r>
        <w:rPr>
          <w:sz w:val="21"/>
        </w:rPr>
        <w:t>What happened — factual, no blame.</w:t>
      </w:r>
    </w:p>
    <w:p>
      <w:pPr>
        <w:pStyle w:val="ListNumber"/>
        <w:spacing w:after="60"/>
      </w:pPr>
      <w:r>
        <w:rPr>
          <w:sz w:val="21"/>
        </w:rPr>
        <w:t>When — occurred, detected, reported. The gap between occurred and detected is itself a finding.</w:t>
      </w:r>
    </w:p>
    <w:p>
      <w:pPr>
        <w:pStyle w:val="ListNumber"/>
        <w:spacing w:after="60"/>
      </w:pPr>
      <w:r>
        <w:rPr>
          <w:sz w:val="21"/>
        </w:rPr>
        <w:t>Impact — who and what was affected, how many people.</w:t>
      </w:r>
    </w:p>
    <w:p>
      <w:pPr>
        <w:pStyle w:val="ListNumber"/>
        <w:spacing w:after="60"/>
      </w:pPr>
      <w:r>
        <w:rPr>
          <w:sz w:val="21"/>
        </w:rPr>
        <w:t>Immediate action — including whether the system was suspended.</w:t>
      </w:r>
    </w:p>
    <w:p>
      <w:pPr>
        <w:pStyle w:val="ListNumber"/>
        <w:spacing w:after="60"/>
      </w:pPr>
      <w:r>
        <w:rPr>
          <w:sz w:val="21"/>
        </w:rPr>
        <w:t>Root cause — the real one, not the proximate one.</w:t>
      </w:r>
    </w:p>
    <w:p>
      <w:pPr>
        <w:pStyle w:val="ListNumber"/>
        <w:spacing w:after="60"/>
      </w:pPr>
      <w:r>
        <w:rPr>
          <w:sz w:val="21"/>
        </w:rPr>
        <w:t>Reportability assessment — with the reasoning and the date decided.</w:t>
      </w:r>
    </w:p>
    <w:p>
      <w:pPr>
        <w:pStyle w:val="ListNumber"/>
        <w:spacing w:after="60"/>
      </w:pPr>
      <w:r>
        <w:rPr>
          <w:sz w:val="21"/>
        </w:rPr>
        <w:t>Remediation — actions, owners, dates.</w:t>
      </w:r>
    </w:p>
    <w:p>
      <w:pPr>
        <w:pStyle w:val="ListNumber"/>
        <w:spacing w:after="60"/>
      </w:pPr>
      <w:r>
        <w:rPr>
          <w:sz w:val="21"/>
        </w:rPr>
        <w:t>Lessons — what changed so it does not recur.</w:t>
      </w:r>
    </w:p>
    <w:p>
      <w:pPr>
        <w:spacing w:before="200" w:after="80"/>
      </w:pPr>
      <w:r>
        <w:rPr>
          <w:b/>
          <w:color w:val="3F51B5"/>
          <w:sz w:val="24"/>
        </w:rPr>
        <w:t>Post-incident review</w:t>
      </w:r>
    </w:p>
    <w:p>
      <w:pPr>
        <w:spacing w:after="120"/>
      </w:pPr>
      <w:r>
        <w:rPr>
          <w:i w:val="0"/>
          <w:sz w:val="21"/>
        </w:rPr>
        <w:t>For S1 and S2, hold a blameless review within [10 working days]. Ask:</w:t>
      </w:r>
    </w:p>
    <w:p>
      <w:pPr>
        <w:pStyle w:val="ListBullet"/>
        <w:spacing w:after="60"/>
      </w:pPr>
      <w:r>
        <w:rPr>
          <w:sz w:val="21"/>
        </w:rPr>
        <w:t>Could we have prevented it? Which control failed or was missing?</w:t>
      </w:r>
    </w:p>
    <w:p>
      <w:pPr>
        <w:pStyle w:val="ListBullet"/>
        <w:spacing w:after="60"/>
      </w:pPr>
      <w:r>
        <w:rPr>
          <w:sz w:val="21"/>
        </w:rPr>
        <w:t>Could we have detected it sooner?</w:t>
      </w:r>
    </w:p>
    <w:p>
      <w:pPr>
        <w:pStyle w:val="ListBullet"/>
        <w:spacing w:after="60"/>
      </w:pPr>
      <w:r>
        <w:rPr>
          <w:sz w:val="21"/>
        </w:rPr>
        <w:t>Did the escalation path work as written?</w:t>
      </w:r>
    </w:p>
    <w:p>
      <w:pPr>
        <w:pStyle w:val="ListBullet"/>
        <w:spacing w:after="60"/>
      </w:pPr>
      <w:r>
        <w:rPr>
          <w:sz w:val="21"/>
        </w:rPr>
        <w:t>What changes in policy, control, or design follow?</w:t>
      </w:r>
    </w:p>
    <w:p>
      <w:pPr>
        <w:pStyle w:val="ListBullet"/>
        <w:spacing w:after="60"/>
      </w:pPr>
      <w:r>
        <w:rPr>
          <w:sz w:val="21"/>
        </w:rPr>
        <w:t>Does anything here change the Risk Register?</w:t>
      </w:r>
    </w:p>
    <w:p>
      <w:pPr>
        <w:spacing w:before="200" w:after="80"/>
      </w:pPr>
      <w:r>
        <w:rPr>
          <w:b/>
          <w:color w:val="3F51B5"/>
          <w:sz w:val="24"/>
        </w:rPr>
        <w:t>Trends</w:t>
      </w:r>
    </w:p>
    <w:p>
      <w:pPr>
        <w:spacing w:after="120"/>
      </w:pPr>
      <w:r>
        <w:rPr>
          <w:i w:val="0"/>
          <w:sz w:val="21"/>
        </w:rPr>
        <w:t>Review quarterly for pattern: repeat causes, systems appearing often, and detection times getting longer. Report to committee via Kpi Dashboard.</w:t>
      </w: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Use your existing incident process and add the AI-specific fields — system, reportability, personal data. A separate AI process will not be remembered under pressure.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Map severity to your existing operational incident taxonomy and regulatory reporting triggers, so one incident does not get two incompatible severities.</w:t>
      </w:r>
    </w:p>
    <w:p>
      <w:pPr>
        <w:pStyle w:val="ListBullet"/>
        <w:spacing w:after="80"/>
      </w:pPr>
      <w:r>
        <w:rPr>
          <w:b/>
          <w:sz w:val="21"/>
        </w:rPr>
        <w:t xml:space="preserve">Consumer-facing services: </w:t>
      </w:r>
      <w:r>
        <w:rPr>
          <w:sz w:val="21"/>
        </w:rPr>
        <w:t>Add a customer communication field: what was said, by whom, and when. It is usually the part that gets scrutinised afterwards.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