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Maturity Assessment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A structured baseline of how capable your governance actually is today, across the dimensions that matter, so you can prioritise honestly and show movement over time.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At programme start, then every six to twelve months. Also useful immediately after an incident, when appetite for investment is briefly high.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Score each dimension 0–4 against the descriptors, evidencing every score with something you could show an auditor. Score what is true, not what is intended — an optimistic baseline destroys the credibility of every later improvement you report.</w:t>
      </w:r>
    </w:p>
    <w:p/>
    <w:p>
      <w:pPr>
        <w:spacing w:before="200" w:after="80"/>
      </w:pPr>
      <w:r>
        <w:rPr>
          <w:b/>
          <w:color w:val="3F51B5"/>
          <w:sz w:val="24"/>
        </w:rPr>
        <w:t>Maturity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Level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Absent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Nothing in place.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Initial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Ad hoc, individual effort, undocumented.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Developing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Documented but inconsistently applied.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Defined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Standardised, applied consistently, evidenced.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Managed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Measured, reviewed, and improved on evidence.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Assessment</w:t>
      </w:r>
    </w:p>
    <w:p>
      <w:pPr>
        <w:spacing w:after="120"/>
      </w:pPr>
      <w:r>
        <w:rPr>
          <w:i w:val="0"/>
          <w:sz w:val="21"/>
        </w:rPr>
        <w:t>Score each dimension. Record evidence — a score without evidence is an opinion.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Score (0–4)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Target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Owner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Governance mandate &amp; sponsorship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Committee &amp; decision rights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Roles &amp; accountability (RACI)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Policy &amp; standards coverage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Data ownership &amp; domains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Data quality management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Data classification &amp; handling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AI inventory &amp; classification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AI risk assessment process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Model documentation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Human oversight design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Third-party / vendor AI risk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Incident management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Control library &amp; assurance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Board reporting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AI literacy &amp; training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Regulatory readiness (EU AI Act)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Interpreting the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Average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Posture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What to do next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0.0–1.0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Early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Establish mandate, inventory, and prohibited-practice screening before anything else.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1.1–2.0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Developing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Close policy and documentation gaps; stand up the committee properly.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2.1–3.0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Established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Shift from writing documents to evidencing that controls operate.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3.1–4.0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Advanced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Focus on measurement, independent assurance, and continuous improvement.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Heat map</w:t>
      </w:r>
    </w:p>
    <w:p>
      <w:pPr>
        <w:spacing w:after="120"/>
      </w:pPr>
      <w:r>
        <w:rPr>
          <w:i w:val="0"/>
          <w:sz w:val="21"/>
        </w:rPr>
        <w:t>Plot dimension against score to show the board where the thin ice is. The pattern usually matters more than the average: a 3.5 average hiding a 0 on inventory is worse than a flat 2.</w:t>
      </w:r>
    </w:p>
    <w:p>
      <w:pPr>
        <w:spacing w:before="200" w:after="80"/>
      </w:pPr>
      <w:r>
        <w:rPr>
          <w:b/>
          <w:color w:val="3F51B5"/>
          <w:sz w:val="24"/>
        </w:rPr>
        <w:t>Re-assessment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Average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Movement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Baseline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Drop dimensions 14 and 15 if you have no formal assurance function or board, and score the remaining 15. Do not score dimensions you have no realistic path to improving.</w:t>
      </w:r>
    </w:p>
    <w:p>
      <w:pPr>
        <w:pStyle w:val="ListBullet"/>
        <w:spacing w:after="80"/>
      </w:pPr>
      <w:r>
        <w:rPr>
          <w:b/>
          <w:sz w:val="21"/>
        </w:rPr>
        <w:t xml:space="preserve">Regulated sectors: </w:t>
      </w:r>
      <w:r>
        <w:rPr>
          <w:sz w:val="21"/>
        </w:rPr>
        <w:t>Add dimensions for model validation independence and regulatory reporting accuracy, and align the level descriptors with your supervisor's own maturity language where one exists.</w:t>
      </w:r>
    </w:p>
    <w:p>
      <w:pPr>
        <w:pStyle w:val="ListBullet"/>
        <w:spacing w:after="80"/>
      </w:pPr>
      <w:r>
        <w:rPr>
          <w:b/>
          <w:sz w:val="21"/>
        </w:rPr>
        <w:t xml:space="preserve">Using this with the assessment tool: </w:t>
      </w:r>
      <w:r>
        <w:rPr>
          <w:sz w:val="21"/>
        </w:rPr>
        <w:t>The role-based assessment scores obligation coverage; this scores organisational capability. They answer different questions — run both, and expect capability to lag coverage.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