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F51B5"/>
          <w:sz w:val="40"/>
        </w:rPr>
        <w:t>Risk Register</w:t>
      </w:r>
    </w:p>
    <w:p>
      <w:pPr>
        <w:spacing w:after="240"/>
      </w:pPr>
      <w:r>
        <w:rPr>
          <w:i/>
          <w:color w:val="606060"/>
          <w:sz w:val="17"/>
        </w:rPr>
        <w:t>Open Data &amp; AI Governance Kit  ·  Licensed CC BY 4.0  ·  https://lsdeva.github.io/governance-kit/</w:t>
      </w:r>
    </w:p>
    <w:p>
      <w:pPr>
        <w:spacing w:after="120"/>
      </w:pPr>
      <w:r>
        <w:rPr>
          <w:b/>
          <w:sz w:val="21"/>
        </w:rPr>
        <w:t xml:space="preserve">Purpose. </w:t>
      </w:r>
      <w:r>
        <w:rPr>
          <w:sz w:val="21"/>
        </w:rPr>
        <w:t>The live record of data and AI risks: what could go wrong, how likely and how bad, what you are doing about it, and who owns it.</w:t>
      </w:r>
    </w:p>
    <w:p>
      <w:pPr>
        <w:spacing w:after="120"/>
      </w:pPr>
      <w:r>
        <w:rPr>
          <w:b/>
          <w:sz w:val="21"/>
        </w:rPr>
        <w:t xml:space="preserve">When to use it. </w:t>
      </w:r>
      <w:r>
        <w:rPr>
          <w:sz w:val="21"/>
        </w:rPr>
        <w:t>Continuously. Review at every committee meeting; refresh scoring at least quarterly.</w:t>
      </w:r>
    </w:p>
    <w:p>
      <w:pPr>
        <w:spacing w:after="120"/>
      </w:pPr>
      <w:r>
        <w:rPr>
          <w:b/>
          <w:sz w:val="21"/>
        </w:rPr>
        <w:t xml:space="preserve">How to use it. </w:t>
      </w:r>
      <w:r>
        <w:rPr>
          <w:sz w:val="21"/>
        </w:rPr>
        <w:t>Write risks as cause, event, and consequence — "because X, Y may happen, leading to Z". A register full of one-word risks like "data quality" cannot be managed, because nobody can tell what treating it would involve.</w:t>
      </w:r>
    </w:p>
    <w:p/>
    <w:p>
      <w:pPr>
        <w:spacing w:before="200" w:after="80"/>
      </w:pPr>
      <w:r>
        <w:rPr>
          <w:b/>
          <w:color w:val="3F51B5"/>
          <w:sz w:val="24"/>
        </w:rPr>
        <w:t>Scoring</w:t>
      </w:r>
    </w:p>
    <w:p>
      <w:pPr>
        <w:spacing w:after="120"/>
      </w:pPr>
      <w:r>
        <w:rPr>
          <w:i w:val="0"/>
          <w:sz w:val="21"/>
        </w:rPr>
        <w:t>Likelihood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Score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Level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Guide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Rare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Not expected in 5 years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Unlikely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Possible in 3–5 years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Possible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Likely within 2 years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Likely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Expected this year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Almost certain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Expected within months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sz w:val="21"/>
        </w:rPr>
        <w:t>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Score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Level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Guide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Negligible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Absorbed in normal operation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Minor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Limited, contained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Moderate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Material; management attention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Major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Regulatory interest; significant harm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Severe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Enforcement, serious harm, or existential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sz w:val="21"/>
        </w:rPr>
        <w:t>Rating = likelihood × impact. 1–4 Low · 5–9 Medium · 10–14 High · 15–25 Critical.</w:t>
      </w:r>
    </w:p>
    <w:p>
      <w:pPr>
        <w:spacing w:before="200" w:after="80"/>
      </w:pPr>
      <w:r>
        <w:rPr>
          <w:b/>
          <w:color w:val="3F51B5"/>
          <w:sz w:val="24"/>
        </w:rPr>
        <w:t>The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c>
          <w:tcPr>
            <w:tcW w:type="dxa" w:w="877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Risk (cause → event → consequence)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L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I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Rating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Treatment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Target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Residual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Review</w:t>
            </w:r>
          </w:p>
        </w:tc>
      </w:tr>
      <w:tr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R-001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Because AI systems are procured without governance review, unassessed high-risk systems may go live, leading to regulatory breach and enforcement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Compliance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Mandatory intake gate; quarterly SaaS sweep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  <w:tr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R-002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Because training data under-represents some groups, the model may produce discriminatory outcomes, leading to harm and legal claims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Fairness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Representativeness testing at G4; subgroup metrics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  <w:tr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R-003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Because staff use unapproved AI tools, confidential data may be disclosed to third parties, leading to breach notification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Security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Approved tool list; DLP; training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  <w:tr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R-004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Because vendors change models without notice, system behaviour may change silently, leading to undetected performance degradation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Operational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Contractual notification; output monitoring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877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Treatment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Option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When appropriate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Record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Treat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Reduce likelihood or impact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The controls and their owner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Tolerate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Within appetite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Who accepted it, and when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Transfer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Insurance or contract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Note that accountability rarely transfers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Terminate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Risk exceeds value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The decision and rationale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3F51B5"/>
          <w:sz w:val="20"/>
        </w:rPr>
        <w:t>Tolerating is a decision with a name on it</w:t>
      </w:r>
    </w:p>
    <w:p>
      <w:pPr>
        <w:spacing w:after="120"/>
      </w:pPr>
      <w:r>
        <w:rPr>
          <w:i/>
          <w:color w:val="606060"/>
          <w:sz w:val="20"/>
        </w:rPr>
        <w:t>Accepted risk must record who accepted it and at what level of authority — see Decision Rights. Risk that is tolerated by nobody in particular is risk that has simply been ignored.</w:t>
      </w:r>
    </w:p>
    <w:p>
      <w:pPr>
        <w:spacing w:before="200" w:after="80"/>
      </w:pPr>
      <w:r>
        <w:rPr>
          <w:b/>
          <w:color w:val="3F51B5"/>
          <w:sz w:val="24"/>
        </w:rPr>
        <w:t>Common AI risks to consider</w:t>
      </w:r>
    </w:p>
    <w:p>
      <w:pPr>
        <w:spacing w:after="120"/>
      </w:pPr>
      <w:r>
        <w:rPr>
          <w:i w:val="0"/>
          <w:sz w:val="21"/>
        </w:rPr>
        <w:t>Use as a prompt, not a checklist to copy:</w:t>
      </w:r>
    </w:p>
    <w:p>
      <w:pPr>
        <w:pStyle w:val="ListBullet"/>
        <w:spacing w:after="60"/>
      </w:pPr>
      <w:r>
        <w:rPr>
          <w:sz w:val="21"/>
        </w:rPr>
        <w:t>Unassessed or unknown systems in production</w:t>
      </w:r>
    </w:p>
    <w:p>
      <w:pPr>
        <w:pStyle w:val="ListBullet"/>
        <w:spacing w:after="60"/>
      </w:pPr>
      <w:r>
        <w:rPr>
          <w:sz w:val="21"/>
        </w:rPr>
        <w:t>Discriminatory outcomes for protected groups</w:t>
      </w:r>
    </w:p>
    <w:p>
      <w:pPr>
        <w:pStyle w:val="ListBullet"/>
        <w:spacing w:after="60"/>
      </w:pPr>
      <w:r>
        <w:rPr>
          <w:sz w:val="21"/>
        </w:rPr>
        <w:t>Model drift degrading performance unnoticed</w:t>
      </w:r>
    </w:p>
    <w:p>
      <w:pPr>
        <w:pStyle w:val="ListBullet"/>
        <w:spacing w:after="60"/>
      </w:pPr>
      <w:r>
        <w:rPr>
          <w:sz w:val="21"/>
        </w:rPr>
        <w:t>Over-reliance: humans rubber-stamping AI output</w:t>
      </w:r>
    </w:p>
    <w:p>
      <w:pPr>
        <w:pStyle w:val="ListBullet"/>
        <w:spacing w:after="60"/>
      </w:pPr>
      <w:r>
        <w:rPr>
          <w:sz w:val="21"/>
        </w:rPr>
        <w:t>Confidential data leaked into external tools</w:t>
      </w:r>
    </w:p>
    <w:p>
      <w:pPr>
        <w:pStyle w:val="ListBullet"/>
        <w:spacing w:after="60"/>
      </w:pPr>
      <w:r>
        <w:rPr>
          <w:sz w:val="21"/>
        </w:rPr>
        <w:t>Prompt injection or training-data poisoning</w:t>
      </w:r>
    </w:p>
    <w:p>
      <w:pPr>
        <w:pStyle w:val="ListBullet"/>
        <w:spacing w:after="60"/>
      </w:pPr>
      <w:r>
        <w:rPr>
          <w:sz w:val="21"/>
        </w:rPr>
        <w:t>Vendor model change altering behaviour</w:t>
      </w:r>
    </w:p>
    <w:p>
      <w:pPr>
        <w:pStyle w:val="ListBullet"/>
        <w:spacing w:after="60"/>
      </w:pPr>
      <w:r>
        <w:rPr>
          <w:sz w:val="21"/>
        </w:rPr>
        <w:t>Inability to explain a decision when challenged</w:t>
      </w:r>
    </w:p>
    <w:p>
      <w:pPr>
        <w:pStyle w:val="ListBullet"/>
        <w:spacing w:after="60"/>
      </w:pPr>
      <w:r>
        <w:rPr>
          <w:sz w:val="21"/>
        </w:rPr>
        <w:t>Missing logs when evidence is needed</w:t>
      </w:r>
    </w:p>
    <w:p>
      <w:pPr>
        <w:pStyle w:val="ListBullet"/>
        <w:spacing w:after="60"/>
      </w:pPr>
      <w:r>
        <w:rPr>
          <w:sz w:val="21"/>
        </w:rPr>
        <w:t>Key-person dependency on one ML engineer</w:t>
      </w:r>
    </w:p>
    <w:p>
      <w:pPr>
        <w:spacing w:before="200" w:after="80"/>
      </w:pPr>
      <w:r>
        <w:rPr>
          <w:b/>
          <w:color w:val="3F51B5"/>
          <w:sz w:val="24"/>
        </w:rPr>
        <w:t>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Level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Cadence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Critical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Monthly, at committee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High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Quarterly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Medium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Half-yearly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Low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Annually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3F51B5"/>
          <w:sz w:val="28"/>
        </w:rPr>
        <w:t>Adaptation notes</w:t>
      </w:r>
    </w:p>
    <w:p>
      <w:pPr>
        <w:pStyle w:val="ListBullet"/>
        <w:spacing w:after="80"/>
      </w:pPr>
      <w:r>
        <w:rPr>
          <w:b/>
          <w:sz w:val="21"/>
        </w:rPr>
        <w:t xml:space="preserve">Small organisations: </w:t>
      </w:r>
      <w:r>
        <w:rPr>
          <w:sz w:val="21"/>
        </w:rPr>
        <w:t>A 3×3 matrix and a single register covering all risk types is easier to sustain than a separate AI register nobody looks at.</w:t>
      </w:r>
    </w:p>
    <w:p>
      <w:pPr>
        <w:pStyle w:val="ListBullet"/>
        <w:spacing w:after="80"/>
      </w:pPr>
      <w:r>
        <w:rPr>
          <w:b/>
          <w:sz w:val="21"/>
        </w:rPr>
        <w:t xml:space="preserve">Existing enterprise risk management: </w:t>
      </w:r>
      <w:r>
        <w:rPr>
          <w:sz w:val="21"/>
        </w:rPr>
        <w:t>Do not create a parallel register. Add AI risks to the enterprise one with an AI tag, so they reach the board through the route that already works.</w:t>
      </w:r>
    </w:p>
    <w:p>
      <w:pPr>
        <w:pStyle w:val="ListBullet"/>
        <w:spacing w:after="80"/>
      </w:pPr>
      <w:r>
        <w:rPr>
          <w:b/>
          <w:sz w:val="21"/>
        </w:rPr>
        <w:t xml:space="preserve">Regulated sectors: </w:t>
      </w:r>
      <w:r>
        <w:rPr>
          <w:sz w:val="21"/>
        </w:rPr>
        <w:t>Align scales with your enterprise risk framework, and map risks to the regulatory obligations they threaten.</w:t>
      </w:r>
    </w:p>
    <w:p/>
    <w:p>
      <w:pPr>
        <w:spacing w:before="200"/>
      </w:pPr>
      <w:r>
        <w:rPr>
          <w:i/>
          <w:color w:val="606060"/>
          <w:sz w:val="17"/>
        </w:rPr>
        <w:t>Not legal advice. This template is a head start, not a substitute for professional judgement. Adapt it to your jurisdiction, sector, and risk appetite, and have qualified counsel review anything material before you rely on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