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Caderno de Estudos – Resoluções do CONTRAN (IDIB)</w:t>
      </w:r>
    </w:p>
    <w:p>
      <w:r>
        <w:rPr>
          <w:b/>
        </w:rPr>
        <w:t xml:space="preserve">Objetivo: </w:t>
      </w:r>
      <w:r>
        <w:t>Estudar apenas o que tem maior incidência para o edital de Agente de Transporte e Trânsito de Araguaína/TO.</w:t>
        <w:br/>
        <w:br/>
      </w:r>
    </w:p>
    <w:p>
      <w:pPr>
        <w:pStyle w:val="Heading2"/>
      </w:pPr>
      <w:r>
        <w:t>Prioridade Máxima</w:t>
      </w:r>
    </w:p>
    <w:p>
      <w:pPr>
        <w:pStyle w:val="ListBullet"/>
      </w:pPr>
      <w:r>
        <w:t>Res. 432/2013 – Fiscalização de álcool: procedimentos, teste, recusa, sinais de alteração.</w:t>
      </w:r>
    </w:p>
    <w:p>
      <w:pPr>
        <w:pStyle w:val="ListBullet"/>
      </w:pPr>
      <w:r>
        <w:t>Res. 900/2022 – Processo administrativo de trânsito.</w:t>
      </w:r>
    </w:p>
    <w:p>
      <w:pPr>
        <w:pStyle w:val="ListBullet"/>
      </w:pPr>
      <w:r>
        <w:t>Res. 911/2022 – Auto de infração e notificações.</w:t>
      </w:r>
    </w:p>
    <w:p>
      <w:pPr>
        <w:pStyle w:val="ListBullet"/>
      </w:pPr>
      <w:r>
        <w:t>Res. 918/2022 – Manual Brasileiro de Fiscalização de Trânsito.</w:t>
      </w:r>
    </w:p>
    <w:p>
      <w:pPr>
        <w:pStyle w:val="ListBullet"/>
      </w:pPr>
      <w:r>
        <w:t>Res. 940/2022 – Registro e licenciamento.</w:t>
      </w:r>
    </w:p>
    <w:p>
      <w:pPr>
        <w:pStyle w:val="ListBullet"/>
      </w:pPr>
      <w:r>
        <w:t>Res. 955/2022 – Habilitação.</w:t>
      </w:r>
    </w:p>
    <w:p>
      <w:pPr>
        <w:pStyle w:val="ListBullet"/>
      </w:pPr>
      <w:r>
        <w:t>Res. 985/2022 – Sinalização e normas correlatas.</w:t>
      </w:r>
    </w:p>
    <w:p>
      <w:pPr>
        <w:pStyle w:val="Heading2"/>
      </w:pPr>
      <w:r>
        <w:t>Prioridade Média</w:t>
      </w:r>
    </w:p>
    <w:p>
      <w:pPr>
        <w:pStyle w:val="ListBullet"/>
      </w:pPr>
      <w:r>
        <w:t>Res. 811/2020</w:t>
      </w:r>
    </w:p>
    <w:p>
      <w:pPr>
        <w:pStyle w:val="ListBullet"/>
      </w:pPr>
      <w:r>
        <w:t>819/2021</w:t>
      </w:r>
    </w:p>
    <w:p>
      <w:pPr>
        <w:pStyle w:val="ListBullet"/>
      </w:pPr>
      <w:r>
        <w:t>912/2022</w:t>
      </w:r>
    </w:p>
    <w:p>
      <w:pPr>
        <w:pStyle w:val="ListBullet"/>
      </w:pPr>
      <w:r>
        <w:t>914/2022</w:t>
      </w:r>
    </w:p>
    <w:p>
      <w:pPr>
        <w:pStyle w:val="ListBullet"/>
      </w:pPr>
      <w:r>
        <w:t>930/2022</w:t>
      </w:r>
    </w:p>
    <w:p>
      <w:pPr>
        <w:pStyle w:val="ListBullet"/>
      </w:pPr>
      <w:r>
        <w:t>958/2022</w:t>
      </w:r>
    </w:p>
    <w:p>
      <w:pPr>
        <w:pStyle w:val="ListBullet"/>
      </w:pPr>
      <w:r>
        <w:t>967/2022</w:t>
      </w:r>
    </w:p>
    <w:p>
      <w:pPr>
        <w:pStyle w:val="ListBullet"/>
      </w:pPr>
      <w:r>
        <w:t>969/2022</w:t>
      </w:r>
    </w:p>
    <w:p>
      <w:pPr>
        <w:pStyle w:val="ListBullet"/>
      </w:pPr>
      <w:r>
        <w:t>976/2022</w:t>
      </w:r>
    </w:p>
    <w:p>
      <w:pPr>
        <w:pStyle w:val="ListBullet"/>
      </w:pPr>
      <w:r>
        <w:t>991/2023</w:t>
      </w:r>
    </w:p>
    <w:p>
      <w:pPr>
        <w:pStyle w:val="ListBullet"/>
      </w:pPr>
      <w:r>
        <w:t>996/2023</w:t>
      </w:r>
    </w:p>
    <w:p>
      <w:pPr>
        <w:pStyle w:val="Heading2"/>
      </w:pPr>
      <w:r>
        <w:t>Prioridade Baixa</w:t>
      </w:r>
    </w:p>
    <w:p>
      <w:pPr>
        <w:pStyle w:val="ListBullet"/>
      </w:pPr>
      <w:r>
        <w:t>14/1998</w:t>
      </w:r>
    </w:p>
    <w:p>
      <w:pPr>
        <w:pStyle w:val="ListBullet"/>
      </w:pPr>
      <w:r>
        <w:t>24/1998</w:t>
      </w:r>
    </w:p>
    <w:p>
      <w:pPr>
        <w:pStyle w:val="ListBullet"/>
      </w:pPr>
      <w:r>
        <w:t>36/1998</w:t>
      </w:r>
    </w:p>
    <w:p>
      <w:pPr>
        <w:pStyle w:val="ListBullet"/>
      </w:pPr>
      <w:r>
        <w:t>43/1998</w:t>
      </w:r>
    </w:p>
    <w:p>
      <w:pPr>
        <w:pStyle w:val="ListBullet"/>
      </w:pPr>
      <w:r>
        <w:t>46/1998</w:t>
      </w:r>
    </w:p>
    <w:p>
      <w:pPr>
        <w:pStyle w:val="ListBullet"/>
      </w:pPr>
      <w:r>
        <w:t>87/1999</w:t>
      </w:r>
    </w:p>
    <w:p>
      <w:pPr>
        <w:pStyle w:val="ListBullet"/>
      </w:pPr>
      <w:r>
        <w:t>108/1999</w:t>
      </w:r>
    </w:p>
    <w:p>
      <w:pPr>
        <w:pStyle w:val="ListBullet"/>
      </w:pPr>
      <w:r>
        <w:t>110/2000</w:t>
      </w:r>
    </w:p>
    <w:p>
      <w:pPr>
        <w:pStyle w:val="ListBullet"/>
      </w:pPr>
      <w:r>
        <w:t>136/2002</w:t>
      </w:r>
    </w:p>
    <w:p>
      <w:pPr>
        <w:pStyle w:val="ListBullet"/>
      </w:pPr>
      <w:r>
        <w:t>149/2003</w:t>
      </w:r>
    </w:p>
    <w:p>
      <w:pPr>
        <w:pStyle w:val="ListBullet"/>
      </w:pPr>
      <w:r>
        <w:t>227/2007</w:t>
      </w:r>
    </w:p>
    <w:p>
      <w:pPr>
        <w:pStyle w:val="ListBullet"/>
      </w:pPr>
      <w:r>
        <w:t>242/2007</w:t>
      </w:r>
    </w:p>
    <w:p>
      <w:pPr>
        <w:pStyle w:val="ListBullet"/>
      </w:pPr>
      <w:r>
        <w:t>508/2014</w:t>
      </w:r>
    </w:p>
    <w:p>
      <w:pPr>
        <w:pStyle w:val="ListBullet"/>
      </w:pPr>
      <w:r>
        <w:t>581/2016</w:t>
      </w:r>
    </w:p>
    <w:p>
      <w:pPr>
        <w:pStyle w:val="Heading2"/>
      </w:pPr>
      <w:r>
        <w:t>Método de estudo</w:t>
      </w:r>
    </w:p>
    <w:p>
      <w:r>
        <w:t>Para cada resolução: leia o resumo do Estratégia (quando existir), consulte a versão consolidada oficial, faça 20 a 30 questões e registre os erros. Priorize conceitos, competências, prazos, infrações, penalidades e procedimentos.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