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AB2E5" w14:textId="49CB7F8E" w:rsidR="006461A0" w:rsidRPr="008412F8" w:rsidRDefault="00E00DC3" w:rsidP="000171F3">
      <w:pPr>
        <w:pStyle w:val="Heading1"/>
        <w:rPr>
          <w:lang w:val="en-US"/>
        </w:rPr>
      </w:pPr>
      <w:r>
        <w:rPr>
          <w:lang w:val="nb-NO"/>
        </w:rPr>
        <w:t xml:space="preserve">Energy </w:t>
      </w:r>
      <w:r w:rsidR="000171F3">
        <w:rPr>
          <w:lang w:val="nb-NO"/>
        </w:rPr>
        <w:t>Spectrum</w:t>
      </w:r>
      <w:r w:rsidRPr="008412F8">
        <w:rPr>
          <w:lang w:val="en-US"/>
        </w:rPr>
        <w:t xml:space="preserve"> </w:t>
      </w:r>
    </w:p>
    <w:p w14:paraId="4BB219A9" w14:textId="0A8F54AB" w:rsidR="000375C1" w:rsidRPr="008412F8" w:rsidRDefault="000375C1">
      <w:pPr>
        <w:rPr>
          <w:lang w:val="en-US"/>
        </w:rPr>
      </w:pPr>
    </w:p>
    <w:p w14:paraId="37AFE9A8" w14:textId="5E1CB0CA" w:rsidR="000375C1" w:rsidRDefault="008412F8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Gd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n,gamma</w:t>
      </w:r>
      <w:proofErr w:type="spellEnd"/>
      <w:proofErr w:type="gramEnd"/>
      <w:r>
        <w:rPr>
          <w:lang w:val="en-US"/>
        </w:rPr>
        <w:t>) capture, t</w:t>
      </w:r>
      <w:r w:rsidR="000375C1" w:rsidRPr="0027498B">
        <w:rPr>
          <w:lang w:val="en-US"/>
        </w:rPr>
        <w:t xml:space="preserve">he excitation energy is distributed among </w:t>
      </w:r>
      <w:r w:rsidR="000375C1">
        <w:rPr>
          <w:lang w:val="en-US"/>
        </w:rPr>
        <w:t xml:space="preserve">reaction products; </w:t>
      </w:r>
      <w:r w:rsidR="0000780A">
        <w:rPr>
          <w:lang w:val="en-US"/>
        </w:rPr>
        <w:t xml:space="preserve">roughly </w:t>
      </w:r>
      <w:r w:rsidR="000375C1" w:rsidRPr="0027498B">
        <w:rPr>
          <w:lang w:val="en-US"/>
        </w:rPr>
        <w:t xml:space="preserve">99% </w:t>
      </w:r>
      <w:r w:rsidR="000375C1">
        <w:rPr>
          <w:lang w:val="en-US"/>
        </w:rPr>
        <w:t xml:space="preserve">of the energy </w:t>
      </w:r>
      <w:r w:rsidR="000375C1" w:rsidRPr="0027498B">
        <w:rPr>
          <w:lang w:val="en-US"/>
        </w:rPr>
        <w:t xml:space="preserve">is carried by prompt gamma-rays and </w:t>
      </w:r>
      <w:r w:rsidR="0000780A">
        <w:rPr>
          <w:lang w:val="en-US"/>
        </w:rPr>
        <w:t>the rest</w:t>
      </w:r>
      <w:r w:rsidR="000375C1" w:rsidRPr="0027498B">
        <w:rPr>
          <w:lang w:val="en-US"/>
        </w:rPr>
        <w:t xml:space="preserve"> by</w:t>
      </w:r>
      <w:r w:rsidR="0000780A">
        <w:rPr>
          <w:lang w:val="en-US"/>
        </w:rPr>
        <w:t xml:space="preserve"> low energy</w:t>
      </w:r>
      <w:r w:rsidR="000375C1" w:rsidRPr="0027498B">
        <w:rPr>
          <w:lang w:val="en-US"/>
        </w:rPr>
        <w:t xml:space="preserve"> electrons [</w:t>
      </w:r>
      <w:r w:rsidR="0000780A">
        <w:rPr>
          <w:lang w:val="en-US"/>
        </w:rPr>
        <w:t>Sakurai et al.</w:t>
      </w:r>
      <w:r w:rsidR="000375C1" w:rsidRPr="0027498B">
        <w:rPr>
          <w:lang w:val="en-US"/>
        </w:rPr>
        <w:t>].</w:t>
      </w:r>
      <w:r w:rsidR="000375C1">
        <w:rPr>
          <w:lang w:val="en-US"/>
        </w:rPr>
        <w:t xml:space="preserve"> </w:t>
      </w:r>
      <w:r w:rsidR="000375C1" w:rsidRPr="0027498B">
        <w:rPr>
          <w:lang w:val="en-US"/>
        </w:rPr>
        <w:t xml:space="preserve">The energy spectrum </w:t>
      </w:r>
      <w:r w:rsidR="000375C1">
        <w:rPr>
          <w:lang w:val="en-US"/>
        </w:rPr>
        <w:t>ranges</w:t>
      </w:r>
      <w:r w:rsidR="000375C1" w:rsidRPr="0027498B">
        <w:rPr>
          <w:lang w:val="en-US"/>
        </w:rPr>
        <w:t xml:space="preserve"> from 0 to </w:t>
      </w:r>
      <w:r w:rsidR="000375C1">
        <w:rPr>
          <w:lang w:val="en-US"/>
        </w:rPr>
        <w:t xml:space="preserve">the </w:t>
      </w:r>
      <w:r w:rsidR="000375C1" w:rsidRPr="0027498B">
        <w:rPr>
          <w:lang w:val="en-US"/>
        </w:rPr>
        <w:t>Q-valu</w:t>
      </w:r>
      <w:r w:rsidR="000375C1">
        <w:rPr>
          <w:lang w:val="en-US"/>
        </w:rPr>
        <w:t xml:space="preserve">e of the </w:t>
      </w:r>
      <w:r w:rsidR="000171F3">
        <w:rPr>
          <w:lang w:val="en-US"/>
        </w:rPr>
        <w:t>nuclear</w:t>
      </w:r>
      <w:r w:rsidR="000375C1">
        <w:rPr>
          <w:lang w:val="en-US"/>
        </w:rPr>
        <w:t xml:space="preserve"> reaction. Energies of prompt gamma-rays lie all over the spectrum, while energies of IC electrons and their biproducts are mainly located at the lower end, below 0.2 MeV.</w:t>
      </w:r>
    </w:p>
    <w:p w14:paraId="7BDD74EB" w14:textId="5849524F" w:rsidR="000375C1" w:rsidRDefault="000375C1" w:rsidP="000375C1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The resulting spectrum is an overlap of two basic components. The first is a continuous spectrum</w:t>
      </w:r>
      <w:r w:rsidR="000171F3">
        <w:rPr>
          <w:lang w:val="en-US"/>
        </w:rPr>
        <w:t>,</w:t>
      </w:r>
      <w:r>
        <w:rPr>
          <w:lang w:val="en-US"/>
        </w:rPr>
        <w:t xml:space="preserve"> generated by prompt gamma-rays</w:t>
      </w:r>
      <w:r w:rsidR="000171F3">
        <w:rPr>
          <w:lang w:val="en-US"/>
        </w:rPr>
        <w:t xml:space="preserve"> </w:t>
      </w:r>
      <w:r>
        <w:rPr>
          <w:lang w:val="en-US"/>
        </w:rPr>
        <w:t>in the medium to high energy range</w:t>
      </w:r>
      <w:r w:rsidR="000171F3">
        <w:rPr>
          <w:lang w:val="en-US"/>
        </w:rPr>
        <w:t>, and t</w:t>
      </w:r>
      <w:r>
        <w:rPr>
          <w:lang w:val="en-US"/>
        </w:rPr>
        <w:t>he second is a set of discrete lines</w:t>
      </w:r>
      <w:r w:rsidR="000171F3">
        <w:rPr>
          <w:lang w:val="en-US"/>
        </w:rPr>
        <w:t>,</w:t>
      </w:r>
      <w:r>
        <w:rPr>
          <w:lang w:val="en-US"/>
        </w:rPr>
        <w:t xml:space="preserve"> produced by low energy prompt gamma-rays, IC electrons, Auger electrons and X-rays. In other words, prompt gamma-ray emission </w:t>
      </w:r>
      <w:r w:rsidR="000171F3">
        <w:rPr>
          <w:lang w:val="en-US"/>
        </w:rPr>
        <w:t>adds</w:t>
      </w:r>
      <w:r>
        <w:rPr>
          <w:lang w:val="en-US"/>
        </w:rPr>
        <w:t xml:space="preserve"> to both component</w:t>
      </w:r>
      <w:r w:rsidR="000171F3">
        <w:rPr>
          <w:lang w:val="en-US"/>
        </w:rPr>
        <w:t>s</w:t>
      </w:r>
      <w:r>
        <w:rPr>
          <w:lang w:val="en-US"/>
        </w:rPr>
        <w:t xml:space="preserve">, while the remaining reaction products supply </w:t>
      </w:r>
      <w:r w:rsidR="000171F3">
        <w:rPr>
          <w:lang w:val="en-US"/>
        </w:rPr>
        <w:t xml:space="preserve">just </w:t>
      </w:r>
      <w:r>
        <w:rPr>
          <w:lang w:val="en-US"/>
        </w:rPr>
        <w:t>the discret</w:t>
      </w:r>
      <w:r w:rsidR="000171F3">
        <w:rPr>
          <w:lang w:val="en-US"/>
        </w:rPr>
        <w:t>e</w:t>
      </w:r>
      <w:r>
        <w:rPr>
          <w:lang w:val="en-US"/>
        </w:rPr>
        <w:t xml:space="preserve">. </w:t>
      </w:r>
    </w:p>
    <w:p w14:paraId="6F4C4876" w14:textId="77777777" w:rsidR="000375C1" w:rsidRDefault="000375C1" w:rsidP="000375C1">
      <w:pPr>
        <w:pBdr>
          <w:bottom w:val="single" w:sz="12" w:space="1" w:color="auto"/>
        </w:pBdr>
        <w:rPr>
          <w:lang w:val="en-US"/>
        </w:rPr>
      </w:pPr>
    </w:p>
    <w:p w14:paraId="4C36BA33" w14:textId="1E7FD869" w:rsidR="000375C1" w:rsidRDefault="000375C1" w:rsidP="000375C1">
      <w:pPr>
        <w:pBdr>
          <w:bottom w:val="single" w:sz="12" w:space="1" w:color="auto"/>
        </w:pBdr>
        <w:rPr>
          <w:lang w:val="en-US"/>
        </w:rPr>
      </w:pPr>
      <w:r w:rsidRPr="00747037">
        <w:rPr>
          <w:color w:val="000000" w:themeColor="text1"/>
          <w:lang w:val="en-US"/>
        </w:rPr>
        <w:t xml:space="preserve">The spectrums form is closely related to the </w:t>
      </w:r>
      <w:r w:rsidR="000171F3">
        <w:rPr>
          <w:color w:val="000000" w:themeColor="text1"/>
          <w:lang w:val="en-US"/>
        </w:rPr>
        <w:t xml:space="preserve">nuclear structure </w:t>
      </w:r>
      <w:r w:rsidRPr="00747037">
        <w:rPr>
          <w:color w:val="000000" w:themeColor="text1"/>
          <w:lang w:val="en-US"/>
        </w:rPr>
        <w:t xml:space="preserve">of </w:t>
      </w:r>
      <w:r w:rsidR="000171F3">
        <w:rPr>
          <w:color w:val="000000" w:themeColor="text1"/>
          <w:lang w:val="en-US"/>
        </w:rPr>
        <w:t>gadolinium</w:t>
      </w:r>
      <w:r w:rsidRPr="00747037">
        <w:rPr>
          <w:color w:val="000000" w:themeColor="text1"/>
          <w:lang w:val="en-US"/>
        </w:rPr>
        <w:t xml:space="preserve">. </w:t>
      </w:r>
      <w:proofErr w:type="gramStart"/>
      <w:r>
        <w:rPr>
          <w:lang w:val="en-US"/>
        </w:rPr>
        <w:t>Figure ?</w:t>
      </w:r>
      <w:proofErr w:type="gramEnd"/>
      <w:r>
        <w:rPr>
          <w:lang w:val="en-US"/>
        </w:rPr>
        <w:t xml:space="preserve"> illustrates excited states of an arbitrary nucleus. A </w:t>
      </w:r>
      <w:r w:rsidR="000171F3">
        <w:rPr>
          <w:lang w:val="en-US"/>
        </w:rPr>
        <w:t>low-lying</w:t>
      </w:r>
      <w:r>
        <w:rPr>
          <w:lang w:val="en-US"/>
        </w:rPr>
        <w:t xml:space="preserve"> level </w:t>
      </w:r>
      <w:r w:rsidR="000171F3">
        <w:rPr>
          <w:lang w:val="en-US"/>
        </w:rPr>
        <w:t>has</w:t>
      </w:r>
      <w:r>
        <w:rPr>
          <w:lang w:val="en-US"/>
        </w:rPr>
        <w:t xml:space="preserve"> less excitation energy than a high lying level. Low</w:t>
      </w:r>
      <w:r w:rsidR="000171F3">
        <w:rPr>
          <w:lang w:val="en-US"/>
        </w:rPr>
        <w:t>-</w:t>
      </w:r>
      <w:r>
        <w:rPr>
          <w:lang w:val="en-US"/>
        </w:rPr>
        <w:t>lying</w:t>
      </w:r>
      <w:r w:rsidR="000171F3">
        <w:rPr>
          <w:lang w:val="en-US"/>
        </w:rPr>
        <w:t xml:space="preserve"> </w:t>
      </w:r>
      <w:r>
        <w:rPr>
          <w:lang w:val="en-US"/>
        </w:rPr>
        <w:t xml:space="preserve">levels are easily distinguishable, each with a known spin and parity, they are discrete. As the excitation energy increases so does the nuclear level density, until high lying levels eventually become indistinguishable from one another and resemble a continuum. In </w:t>
      </w:r>
      <w:proofErr w:type="gramStart"/>
      <w:r>
        <w:rPr>
          <w:lang w:val="en-US"/>
        </w:rPr>
        <w:t>fig. ?</w:t>
      </w:r>
      <w:proofErr w:type="gramEnd"/>
      <w:r>
        <w:rPr>
          <w:lang w:val="en-US"/>
        </w:rPr>
        <w:t xml:space="preserve">, the </w:t>
      </w:r>
      <w:proofErr w:type="spellStart"/>
      <w:r>
        <w:rPr>
          <w:lang w:val="en-US"/>
        </w:rPr>
        <w:t>quasicontinuum</w:t>
      </w:r>
      <w:proofErr w:type="spellEnd"/>
      <w:r>
        <w:rPr>
          <w:lang w:val="en-US"/>
        </w:rPr>
        <w:t xml:space="preserve"> domain of energy states is represented by a gradient, where energy level density increases as the gradient darkens. Energy levels within the </w:t>
      </w:r>
      <w:proofErr w:type="spellStart"/>
      <w:r>
        <w:rPr>
          <w:lang w:val="en-US"/>
        </w:rPr>
        <w:t>quasicontinuum</w:t>
      </w:r>
      <w:proofErr w:type="spellEnd"/>
      <w:r>
        <w:rPr>
          <w:lang w:val="en-US"/>
        </w:rPr>
        <w:t xml:space="preserve"> are marked by dotted lines and the discrete domain with uninterrupted lines. There is no clear boundary between the continuous and discrete domain, but rather a smooth transition between the two. The highest energy level represents neutron capture state and the lowest level ground state, both are indicated by a bold uninterrupted line. A transition from one level to another is indicated by and arrow.</w:t>
      </w:r>
    </w:p>
    <w:p w14:paraId="171D6086" w14:textId="245F488B" w:rsidR="000375C1" w:rsidRDefault="000375C1" w:rsidP="000375C1">
      <w:pPr>
        <w:pBdr>
          <w:bottom w:val="single" w:sz="12" w:space="1" w:color="auto"/>
        </w:pBdr>
        <w:rPr>
          <w:lang w:val="en-US"/>
        </w:rPr>
      </w:pPr>
    </w:p>
    <w:p w14:paraId="21BD379F" w14:textId="77777777" w:rsidR="000375C1" w:rsidRDefault="000375C1" w:rsidP="000375C1">
      <w:pPr>
        <w:pBdr>
          <w:bottom w:val="single" w:sz="12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Prompt gamma-rays</w:t>
      </w:r>
    </w:p>
    <w:p w14:paraId="20E87246" w14:textId="77777777" w:rsidR="000375C1" w:rsidRDefault="000375C1" w:rsidP="000375C1">
      <w:pPr>
        <w:pBdr>
          <w:bottom w:val="single" w:sz="12" w:space="1" w:color="auto"/>
        </w:pBdr>
        <w:rPr>
          <w:b/>
          <w:bCs/>
          <w:lang w:val="en-US"/>
        </w:rPr>
      </w:pPr>
    </w:p>
    <w:p w14:paraId="4456B84D" w14:textId="730BA5E7" w:rsidR="000375C1" w:rsidRPr="000375C1" w:rsidRDefault="000375C1" w:rsidP="000375C1">
      <w:pPr>
        <w:pBdr>
          <w:bottom w:val="single" w:sz="12" w:space="1" w:color="auto"/>
        </w:pBdr>
        <w:rPr>
          <w:b/>
          <w:bCs/>
          <w:color w:val="000000" w:themeColor="text1"/>
          <w:lang w:val="en-US"/>
        </w:rPr>
      </w:pPr>
      <w:r w:rsidRPr="000375C1">
        <w:rPr>
          <w:color w:val="000000" w:themeColor="text1"/>
          <w:lang w:val="en-US"/>
        </w:rPr>
        <w:t xml:space="preserve">A nucleus may transition once or several times before it reaches ground state. </w:t>
      </w:r>
    </w:p>
    <w:p w14:paraId="16B66980" w14:textId="16E2D89A" w:rsidR="0022175B" w:rsidRDefault="000375C1" w:rsidP="000375C1">
      <w:pPr>
        <w:pBdr>
          <w:bottom w:val="single" w:sz="12" w:space="1" w:color="auto"/>
        </w:pBdr>
        <w:rPr>
          <w:color w:val="000000" w:themeColor="text1"/>
          <w:lang w:val="en-US"/>
        </w:rPr>
      </w:pPr>
      <w:r w:rsidRPr="000375C1">
        <w:rPr>
          <w:color w:val="000000" w:themeColor="text1"/>
          <w:lang w:val="en-US"/>
        </w:rPr>
        <w:t xml:space="preserve">Transitions can occur between (1) states in the continuous domain, (2) states in the discrete domain or (3) </w:t>
      </w:r>
      <w:r w:rsidR="00656320">
        <w:rPr>
          <w:color w:val="000000" w:themeColor="text1"/>
          <w:lang w:val="en-US"/>
        </w:rPr>
        <w:t xml:space="preserve">between </w:t>
      </w:r>
      <w:r w:rsidRPr="000375C1">
        <w:rPr>
          <w:color w:val="000000" w:themeColor="text1"/>
          <w:lang w:val="en-US"/>
        </w:rPr>
        <w:t>the two.</w:t>
      </w:r>
      <w:r>
        <w:rPr>
          <w:color w:val="000000" w:themeColor="text1"/>
          <w:lang w:val="en-US"/>
        </w:rPr>
        <w:t xml:space="preserve"> In the continuous domain there are nearly endless possible states from which a nucleus can decay. </w:t>
      </w:r>
      <w:r w:rsidRPr="000375C1">
        <w:rPr>
          <w:color w:val="000000" w:themeColor="text1"/>
          <w:lang w:val="en-US"/>
        </w:rPr>
        <w:t xml:space="preserve"> It is the transitions </w:t>
      </w:r>
      <w:r>
        <w:rPr>
          <w:color w:val="000000" w:themeColor="text1"/>
          <w:lang w:val="en-US"/>
        </w:rPr>
        <w:t>with</w:t>
      </w:r>
      <w:r w:rsidRPr="000375C1">
        <w:rPr>
          <w:color w:val="000000" w:themeColor="text1"/>
          <w:lang w:val="en-US"/>
        </w:rPr>
        <w:t xml:space="preserve"> initial states in </w:t>
      </w:r>
      <w:r>
        <w:rPr>
          <w:color w:val="000000" w:themeColor="text1"/>
          <w:lang w:val="en-US"/>
        </w:rPr>
        <w:t>this</w:t>
      </w:r>
      <w:r w:rsidRPr="000375C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domain</w:t>
      </w:r>
      <w:r w:rsidRPr="000375C1">
        <w:rPr>
          <w:color w:val="000000" w:themeColor="text1"/>
          <w:lang w:val="en-US"/>
        </w:rPr>
        <w:t xml:space="preserve"> that bring about the spectrum’s apparent continuity</w:t>
      </w:r>
      <w:r>
        <w:rPr>
          <w:color w:val="000000" w:themeColor="text1"/>
          <w:lang w:val="en-US"/>
        </w:rPr>
        <w:t>.</w:t>
      </w:r>
      <w:r w:rsidR="00A5125B">
        <w:rPr>
          <w:color w:val="000000" w:themeColor="text1"/>
          <w:lang w:val="en-US"/>
        </w:rPr>
        <w:t xml:space="preserve"> </w:t>
      </w:r>
    </w:p>
    <w:p w14:paraId="0908110E" w14:textId="43C5637B" w:rsidR="000375C1" w:rsidRDefault="00A5125B" w:rsidP="000375C1">
      <w:pPr>
        <w:pBdr>
          <w:bottom w:val="single" w:sz="12" w:space="1" w:color="auto"/>
        </w:pBd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the spectrum, gamma-rays take the form of a broad peak structure</w:t>
      </w:r>
      <w:r w:rsidR="00656320">
        <w:rPr>
          <w:color w:val="000000" w:themeColor="text1"/>
          <w:lang w:val="en-US"/>
        </w:rPr>
        <w:t xml:space="preserve"> along with a couple of prominent spikes. The distribution</w:t>
      </w:r>
      <w:r w:rsidR="009310D9">
        <w:rPr>
          <w:color w:val="000000" w:themeColor="text1"/>
          <w:lang w:val="en-US"/>
        </w:rPr>
        <w:t xml:space="preserve"> </w:t>
      </w:r>
      <w:r w:rsidR="00B84F87">
        <w:rPr>
          <w:color w:val="000000" w:themeColor="text1"/>
          <w:lang w:val="en-US"/>
        </w:rPr>
        <w:t>stretches</w:t>
      </w:r>
      <w:r w:rsidR="009310D9">
        <w:rPr>
          <w:color w:val="000000" w:themeColor="text1"/>
          <w:lang w:val="en-US"/>
        </w:rPr>
        <w:t xml:space="preserve"> from one end of the spectrum to the other. </w:t>
      </w:r>
      <w:r w:rsidR="0022175B">
        <w:rPr>
          <w:color w:val="000000" w:themeColor="text1"/>
          <w:lang w:val="en-US"/>
        </w:rPr>
        <w:t xml:space="preserve">The </w:t>
      </w:r>
      <w:r w:rsidR="00340E33">
        <w:rPr>
          <w:color w:val="000000" w:themeColor="text1"/>
          <w:lang w:val="en-US"/>
        </w:rPr>
        <w:t>broad peak</w:t>
      </w:r>
      <w:r w:rsidR="0022175B">
        <w:rPr>
          <w:color w:val="000000" w:themeColor="text1"/>
          <w:lang w:val="en-US"/>
        </w:rPr>
        <w:t xml:space="preserve"> favors energies in the bottom half of the spectrum</w:t>
      </w:r>
      <w:r w:rsidR="00656320">
        <w:rPr>
          <w:color w:val="000000" w:themeColor="text1"/>
          <w:lang w:val="en-US"/>
        </w:rPr>
        <w:t xml:space="preserve">, </w:t>
      </w:r>
      <w:r w:rsidR="00340E33">
        <w:rPr>
          <w:color w:val="000000" w:themeColor="text1"/>
          <w:lang w:val="en-US"/>
        </w:rPr>
        <w:t>its apex</w:t>
      </w:r>
      <w:r w:rsidR="00656320">
        <w:rPr>
          <w:color w:val="000000" w:themeColor="text1"/>
          <w:lang w:val="en-US"/>
        </w:rPr>
        <w:t xml:space="preserve"> between 0 and 2MeV,</w:t>
      </w:r>
      <w:r w:rsidR="0022175B">
        <w:rPr>
          <w:color w:val="000000" w:themeColor="text1"/>
          <w:lang w:val="en-US"/>
        </w:rPr>
        <w:t xml:space="preserve"> and tapers off slowly as it approaches</w:t>
      </w:r>
      <w:r w:rsidR="009310D9">
        <w:rPr>
          <w:color w:val="000000" w:themeColor="text1"/>
          <w:lang w:val="en-US"/>
        </w:rPr>
        <w:t xml:space="preserve"> </w:t>
      </w:r>
      <w:r w:rsidR="00656320">
        <w:rPr>
          <w:color w:val="000000" w:themeColor="text1"/>
          <w:lang w:val="en-US"/>
        </w:rPr>
        <w:t xml:space="preserve">maximum energy </w:t>
      </w:r>
      <w:r w:rsidR="00B84F87">
        <w:rPr>
          <w:color w:val="000000" w:themeColor="text1"/>
          <w:lang w:val="en-US"/>
        </w:rPr>
        <w:t>release.</w:t>
      </w:r>
      <w:r w:rsidR="0022175B">
        <w:rPr>
          <w:color w:val="000000" w:themeColor="text1"/>
          <w:lang w:val="en-US"/>
        </w:rPr>
        <w:t xml:space="preserve">  </w:t>
      </w:r>
    </w:p>
    <w:p w14:paraId="756E069E" w14:textId="77777777" w:rsidR="00A32F1E" w:rsidRDefault="00A32F1E" w:rsidP="000375C1">
      <w:pPr>
        <w:pBdr>
          <w:bottom w:val="single" w:sz="12" w:space="1" w:color="auto"/>
        </w:pBdr>
        <w:rPr>
          <w:color w:val="000000" w:themeColor="text1"/>
          <w:lang w:val="en-US"/>
        </w:rPr>
      </w:pPr>
    </w:p>
    <w:p w14:paraId="7B048B01" w14:textId="3D7510AD" w:rsidR="00A32F1E" w:rsidRDefault="00A32F1E" w:rsidP="00A32F1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As the nucleus de-excites and </w:t>
      </w:r>
      <w:r w:rsidR="009310D9">
        <w:rPr>
          <w:lang w:val="en-US"/>
        </w:rPr>
        <w:t>gets closer to</w:t>
      </w:r>
      <w:r>
        <w:rPr>
          <w:lang w:val="en-US"/>
        </w:rPr>
        <w:t xml:space="preserve"> ground state transitions between states in the discrete domain occurs. There </w:t>
      </w:r>
      <w:r w:rsidR="00340E33">
        <w:rPr>
          <w:lang w:val="en-US"/>
        </w:rPr>
        <w:t>is a</w:t>
      </w:r>
      <w:r>
        <w:rPr>
          <w:lang w:val="en-US"/>
        </w:rPr>
        <w:t xml:space="preserve"> limited amount of discrete levels, consequently the number of possible gamma-emission energies are finite, in contrast to the continuum. This results in discrete peaks near the lowest part of the energy spectrum.</w:t>
      </w:r>
      <w:r w:rsidR="00A5125B">
        <w:rPr>
          <w:lang w:val="en-US"/>
        </w:rPr>
        <w:t xml:space="preserve"> </w:t>
      </w:r>
    </w:p>
    <w:p w14:paraId="1FA074FB" w14:textId="413A9153" w:rsidR="009310D9" w:rsidRDefault="00A32F1E" w:rsidP="00A32F1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Two peaks, in the lower end, dominate the spectrum. In a purely isotopic material of either Gd-156* or Gd-158* a set of two energy pairs is emitted, {88.97 keV, 199.22 keV} and {79.51 keV, 181.94 keV}, respectively. The lowest energy of each set is characteristic for the transition between first excited state with spin-parity (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J</m:t>
            </m:r>
          </m:e>
          <m:sup>
            <m:r>
              <w:rPr>
                <w:rFonts w:ascii="Cambria Math" w:hAnsi="Cambria Math"/>
                <w:lang w:val="en-US"/>
              </w:rPr>
              <m:t>π</m:t>
            </m:r>
          </m:sup>
        </m:sSup>
      </m:oMath>
      <w:r>
        <w:rPr>
          <w:rFonts w:eastAsiaTheme="minorEastAsia"/>
          <w:lang w:val="en-US"/>
        </w:rPr>
        <w:t>)</w:t>
      </w:r>
      <w:r>
        <w:rPr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and ground state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 xml:space="preserve">, while </w:t>
      </w:r>
      <w:r>
        <w:rPr>
          <w:lang w:val="en-US"/>
        </w:rPr>
        <w:lastRenderedPageBreak/>
        <w:t>the larger energy is characteristic for transitions between second excited state</w:t>
      </w:r>
      <w:r w:rsidR="00A5125B">
        <w:rPr>
          <w:lang w:val="en-US"/>
        </w:rPr>
        <w:t xml:space="preserve"> with spin-parity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 xml:space="preserve"> state and first excited state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</m:oMath>
      <w:r>
        <w:rPr>
          <w:lang w:val="en-US"/>
        </w:rPr>
        <w:t>[</w:t>
      </w:r>
      <w:r w:rsidRPr="00282A45">
        <w:rPr>
          <w:lang w:val="en-US"/>
        </w:rPr>
        <w:t xml:space="preserve">C.W. Reich, Nuclear Data Sheets for A = 156, </w:t>
      </w:r>
      <w:proofErr w:type="spellStart"/>
      <w:r w:rsidRPr="00282A45">
        <w:rPr>
          <w:lang w:val="en-US"/>
        </w:rPr>
        <w:t>Nucl</w:t>
      </w:r>
      <w:proofErr w:type="spellEnd"/>
      <w:r w:rsidRPr="00282A45">
        <w:rPr>
          <w:lang w:val="en-US"/>
        </w:rPr>
        <w:t>. Data Sheets 113 (11) (2012) 2537–2840.</w:t>
      </w:r>
      <w:r>
        <w:rPr>
          <w:lang w:val="en-US"/>
        </w:rPr>
        <w:t>]</w:t>
      </w:r>
      <w:r w:rsidR="00B93CD2">
        <w:rPr>
          <w:lang w:val="en-US"/>
        </w:rPr>
        <w:t>.</w:t>
      </w:r>
      <w:r>
        <w:rPr>
          <w:lang w:val="en-US"/>
        </w:rPr>
        <w:t xml:space="preserve"> </w:t>
      </w:r>
      <w:r w:rsidR="001B05A0">
        <w:rPr>
          <w:lang w:val="en-US"/>
        </w:rPr>
        <w:t>Gamma-ray emission rate probability (per neutron capture) of Gd-157 and Gd-155 for are</w:t>
      </w:r>
      <w:r w:rsidR="00B93CD2">
        <w:rPr>
          <w:lang w:val="en-US"/>
        </w:rPr>
        <w:t xml:space="preserve"> listed in </w:t>
      </w:r>
      <w:proofErr w:type="gramStart"/>
      <w:r w:rsidR="00B93CD2">
        <w:rPr>
          <w:lang w:val="en-US"/>
        </w:rPr>
        <w:t>table ??</w:t>
      </w:r>
      <w:proofErr w:type="gramEnd"/>
      <w:r w:rsidR="00B93CD2">
        <w:rPr>
          <w:lang w:val="en-US"/>
        </w:rPr>
        <w:t xml:space="preserve"> [</w:t>
      </w:r>
      <w:proofErr w:type="spellStart"/>
      <w:r w:rsidR="00B93CD2">
        <w:rPr>
          <w:lang w:val="en-US"/>
        </w:rPr>
        <w:t>Gräfe</w:t>
      </w:r>
      <w:proofErr w:type="spellEnd"/>
      <w:r w:rsidR="00B93CD2">
        <w:rPr>
          <w:lang w:val="en-US"/>
        </w:rPr>
        <w:t xml:space="preserve"> et. al]</w:t>
      </w:r>
      <w:r w:rsidR="00340E33">
        <w:rPr>
          <w:lang w:val="en-US"/>
        </w:rPr>
        <w:t xml:space="preserve"> </w:t>
      </w:r>
    </w:p>
    <w:p w14:paraId="68910B4E" w14:textId="2C16F138" w:rsidR="00B93CD2" w:rsidRDefault="00B93CD2" w:rsidP="00A32F1E">
      <w:pPr>
        <w:pBdr>
          <w:bottom w:val="single" w:sz="12" w:space="1" w:color="auto"/>
        </w:pBdr>
        <w:rPr>
          <w:lang w:val="en-US"/>
        </w:rPr>
      </w:pPr>
      <w:r w:rsidRPr="00B93CD2">
        <w:rPr>
          <w:noProof/>
          <w:lang w:val="en-US"/>
        </w:rPr>
        <w:drawing>
          <wp:inline distT="0" distB="0" distL="0" distR="0" wp14:anchorId="0730B7C8" wp14:editId="5CCF4013">
            <wp:extent cx="3967872" cy="2612571"/>
            <wp:effectExtent l="0" t="0" r="0" b="381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7" cy="261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E35F" w14:textId="5C2AA881" w:rsidR="001B05A0" w:rsidRDefault="00B93CD2" w:rsidP="00A32F1E">
      <w:pPr>
        <w:pBdr>
          <w:bottom w:val="single" w:sz="12" w:space="1" w:color="auto"/>
        </w:pBdr>
        <w:rPr>
          <w:lang w:val="en-US"/>
        </w:rPr>
      </w:pPr>
      <w:r w:rsidRPr="00B93CD2">
        <w:rPr>
          <w:noProof/>
          <w:lang w:val="en-US"/>
        </w:rPr>
        <w:drawing>
          <wp:inline distT="0" distB="0" distL="0" distR="0" wp14:anchorId="6B8F3966" wp14:editId="6AF06096">
            <wp:extent cx="5731510" cy="1600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466" w14:textId="77777777" w:rsidR="00B93CD2" w:rsidRDefault="00B93CD2" w:rsidP="00A32F1E">
      <w:pPr>
        <w:pBdr>
          <w:bottom w:val="single" w:sz="12" w:space="1" w:color="auto"/>
        </w:pBdr>
        <w:rPr>
          <w:lang w:val="en-US"/>
        </w:rPr>
      </w:pPr>
    </w:p>
    <w:p w14:paraId="1560E4AB" w14:textId="199769EF" w:rsidR="00A32F1E" w:rsidRDefault="00A32F1E" w:rsidP="00A32F1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Similar</w:t>
      </w:r>
      <w:r w:rsidR="00B93CD2">
        <w:rPr>
          <w:lang w:val="en-US"/>
        </w:rPr>
        <w:t xml:space="preserve"> characteristic</w:t>
      </w:r>
      <w:r>
        <w:rPr>
          <w:lang w:val="en-US"/>
        </w:rPr>
        <w:t xml:space="preserve"> peaks can be observed in the prompt gamma spectrum of natural Gd</w:t>
      </w:r>
      <w:r w:rsidR="00A5125B">
        <w:rPr>
          <w:lang w:val="en-US"/>
        </w:rPr>
        <w:t>. Intensity of the peaks are</w:t>
      </w:r>
      <w:r>
        <w:rPr>
          <w:lang w:val="en-US"/>
        </w:rPr>
        <w:t xml:space="preserve">, merely a combination of the </w:t>
      </w:r>
      <w:r w:rsidRPr="009724DF">
        <w:rPr>
          <w:lang w:val="en-US"/>
        </w:rPr>
        <w:t xml:space="preserve">aforementioned </w:t>
      </w:r>
      <w:r>
        <w:rPr>
          <w:lang w:val="en-US"/>
        </w:rPr>
        <w:t>isotopic spectrums.</w:t>
      </w:r>
    </w:p>
    <w:p w14:paraId="66B31E27" w14:textId="752ECE09" w:rsidR="00A32F1E" w:rsidRDefault="00A32F1E" w:rsidP="000375C1">
      <w:pPr>
        <w:pBdr>
          <w:bottom w:val="single" w:sz="12" w:space="1" w:color="auto"/>
        </w:pBdr>
        <w:rPr>
          <w:lang w:val="en-US"/>
        </w:rPr>
      </w:pPr>
    </w:p>
    <w:p w14:paraId="639886AD" w14:textId="77777777" w:rsidR="00B47B21" w:rsidRDefault="00B47B21" w:rsidP="00B47B21">
      <w:pPr>
        <w:pBdr>
          <w:bottom w:val="single" w:sz="12" w:space="1" w:color="auto"/>
        </w:pBdr>
        <w:rPr>
          <w:b/>
          <w:bCs/>
          <w:lang w:val="en-US"/>
        </w:rPr>
      </w:pPr>
      <w:r w:rsidRPr="00B47B21">
        <w:rPr>
          <w:b/>
          <w:bCs/>
          <w:lang w:val="en-US"/>
        </w:rPr>
        <w:t>Internal Conversion Electrons</w:t>
      </w:r>
    </w:p>
    <w:p w14:paraId="64B266CF" w14:textId="07FDD15E" w:rsidR="008412F8" w:rsidRDefault="00B47B21" w:rsidP="007F6A49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lternatively, the atom</w:t>
      </w:r>
      <w:r>
        <w:rPr>
          <w:lang w:val="en-US"/>
        </w:rPr>
        <w:t xml:space="preserve"> </w:t>
      </w:r>
      <w:r>
        <w:rPr>
          <w:lang w:val="en-US"/>
        </w:rPr>
        <w:t xml:space="preserve">can de-excite by means of </w:t>
      </w:r>
      <w:r>
        <w:rPr>
          <w:lang w:val="en-US"/>
        </w:rPr>
        <w:t>internal conversion (IC), the direct emission of an orbital electron.</w:t>
      </w:r>
      <w:r>
        <w:rPr>
          <w:lang w:val="en-US"/>
        </w:rPr>
        <w:t xml:space="preserve"> In gadolinium excited by neutron capture,</w:t>
      </w:r>
      <w:r>
        <w:rPr>
          <w:lang w:val="en-US"/>
        </w:rPr>
        <w:t xml:space="preserve"> IC is most probable for transitions </w:t>
      </w:r>
      <w:r>
        <w:rPr>
          <w:lang w:val="en-US"/>
        </w:rPr>
        <w:t>from</w:t>
      </w:r>
      <w:r>
        <w:rPr>
          <w:lang w:val="en-US"/>
        </w:rPr>
        <w:t xml:space="preserve"> first state </w:t>
      </w:r>
      <w:r>
        <w:rPr>
          <w:lang w:val="en-US"/>
        </w:rPr>
        <w:t>to</w:t>
      </w:r>
      <w:r>
        <w:rPr>
          <w:lang w:val="en-US"/>
        </w:rPr>
        <w:t xml:space="preserve"> ground state</w:t>
      </w:r>
      <w:r>
        <w:rPr>
          <w:lang w:val="en-US"/>
        </w:rPr>
        <w:t xml:space="preserve"> (2+-&gt;</w:t>
      </w:r>
      <w:r>
        <w:rPr>
          <w:lang w:val="en-US"/>
        </w:rPr>
        <w:t xml:space="preserve"> 0+</w:t>
      </w:r>
      <w:r>
        <w:rPr>
          <w:lang w:val="en-US"/>
        </w:rPr>
        <w:t>) and</w:t>
      </w:r>
      <w:r>
        <w:rPr>
          <w:lang w:val="en-US"/>
        </w:rPr>
        <w:t xml:space="preserve"> second state to first state </w:t>
      </w:r>
      <w:r>
        <w:rPr>
          <w:lang w:val="en-US"/>
        </w:rPr>
        <w:t>(</w:t>
      </w:r>
      <w:r>
        <w:rPr>
          <w:lang w:val="en-US"/>
        </w:rPr>
        <w:t xml:space="preserve">4+ </w:t>
      </w:r>
      <w:r>
        <w:rPr>
          <w:lang w:val="en-US"/>
        </w:rPr>
        <w:t>-&gt;</w:t>
      </w:r>
      <w:r>
        <w:rPr>
          <w:lang w:val="en-US"/>
        </w:rPr>
        <w:t>2+</w:t>
      </w:r>
      <w:r>
        <w:rPr>
          <w:lang w:val="en-US"/>
        </w:rPr>
        <w:t>)</w:t>
      </w:r>
      <w:r>
        <w:rPr>
          <w:lang w:val="en-US"/>
        </w:rPr>
        <w:t>. T</w:t>
      </w:r>
      <w:r>
        <w:rPr>
          <w:lang w:val="en-US"/>
        </w:rPr>
        <w:t xml:space="preserve">hese transitions </w:t>
      </w:r>
      <w:r>
        <w:rPr>
          <w:lang w:val="en-US"/>
        </w:rPr>
        <w:t>are responsible for 96.7% of the energy carried by IC electrons</w:t>
      </w:r>
      <w:r w:rsidR="008412F8">
        <w:rPr>
          <w:lang w:val="en-US"/>
        </w:rPr>
        <w:t xml:space="preserve"> [??!]</w:t>
      </w:r>
      <w:r>
        <w:rPr>
          <w:lang w:val="en-US"/>
        </w:rPr>
        <w:t xml:space="preserve">. </w:t>
      </w:r>
      <w:r>
        <w:rPr>
          <w:lang w:val="en-US"/>
        </w:rPr>
        <w:t xml:space="preserve">They also happen to be </w:t>
      </w:r>
      <w:r w:rsidR="007F6A49">
        <w:rPr>
          <w:lang w:val="en-US"/>
        </w:rPr>
        <w:t xml:space="preserve">the same transitions from which </w:t>
      </w:r>
      <w:r>
        <w:rPr>
          <w:lang w:val="en-US"/>
        </w:rPr>
        <w:t>the discrete gamma-ray duplets</w:t>
      </w:r>
      <w:r w:rsidR="00120F0A">
        <w:rPr>
          <w:lang w:val="en-US"/>
        </w:rPr>
        <w:t xml:space="preserve">, mentioned previously, </w:t>
      </w:r>
      <w:r w:rsidR="007F6A49">
        <w:rPr>
          <w:lang w:val="en-US"/>
        </w:rPr>
        <w:t>are produced</w:t>
      </w:r>
      <w:r>
        <w:rPr>
          <w:lang w:val="en-US"/>
        </w:rPr>
        <w:t xml:space="preserve">. </w:t>
      </w:r>
    </w:p>
    <w:p w14:paraId="38F96262" w14:textId="7771D2D7" w:rsidR="007F6A49" w:rsidRDefault="007F6A49" w:rsidP="007F6A49">
      <w:pPr>
        <w:pBdr>
          <w:bottom w:val="single" w:sz="12" w:space="1" w:color="auto"/>
        </w:pBdr>
        <w:rPr>
          <w:b/>
          <w:bCs/>
          <w:lang w:val="en-US"/>
        </w:rPr>
      </w:pPr>
      <w:r>
        <w:rPr>
          <w:lang w:val="en-US"/>
        </w:rPr>
        <w:t xml:space="preserve">IC and gamma emission </w:t>
      </w:r>
      <w:r w:rsidR="00B47B21">
        <w:rPr>
          <w:lang w:val="en-US"/>
        </w:rPr>
        <w:t xml:space="preserve">are </w:t>
      </w:r>
      <w:r>
        <w:rPr>
          <w:lang w:val="en-US"/>
        </w:rPr>
        <w:t>competing</w:t>
      </w:r>
      <w:r w:rsidR="00B47B21">
        <w:rPr>
          <w:lang w:val="en-US"/>
        </w:rPr>
        <w:t xml:space="preserve"> decay modes. </w:t>
      </w:r>
      <w:r w:rsidR="00B47B21">
        <w:rPr>
          <w:rFonts w:eastAsiaTheme="minorEastAsia"/>
          <w:lang w:val="en-US"/>
        </w:rPr>
        <w:t xml:space="preserve">The ratio of </w:t>
      </w:r>
      <w:r w:rsidR="00B47B21">
        <w:rPr>
          <w:lang w:val="en-US"/>
        </w:rPr>
        <w:t xml:space="preserve">IC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IC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</m:sup>
            </m:sSup>
          </m:sub>
        </m:sSub>
      </m:oMath>
      <w:r w:rsidR="00B47B21">
        <w:rPr>
          <w:lang w:val="en-US"/>
        </w:rPr>
        <w:t xml:space="preserve"> to gamma decay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γ</m:t>
            </m:r>
          </m:sub>
        </m:sSub>
      </m:oMath>
      <w:r w:rsidR="00B47B21">
        <w:rPr>
          <w:rFonts w:eastAsiaTheme="minorEastAsia"/>
          <w:lang w:val="en-US"/>
        </w:rPr>
        <w:t xml:space="preserve"> can be described by </w:t>
      </w:r>
      <w:r w:rsidR="00B47B21">
        <w:rPr>
          <w:lang w:val="en-US"/>
        </w:rPr>
        <w:t xml:space="preserve">the internal conversion coefficient (ICC) </w:t>
      </w:r>
      <m:oMath>
        <m:r>
          <w:rPr>
            <w:rFonts w:ascii="Cambria Math" w:hAnsi="Cambria Math"/>
            <w:lang w:val="en-US"/>
          </w:rPr>
          <m:t>α</m:t>
        </m:r>
      </m:oMath>
      <w:r w:rsidR="00B47B21">
        <w:rPr>
          <w:lang w:val="en-US"/>
        </w:rPr>
        <w:t>:</w:t>
      </w:r>
    </w:p>
    <w:p w14:paraId="349ACC65" w14:textId="77777777" w:rsidR="009416A5" w:rsidRDefault="007F6A49" w:rsidP="009416A5">
      <w:pPr>
        <w:pBdr>
          <w:bottom w:val="single" w:sz="12" w:space="1" w:color="auto"/>
        </w:pBdr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den>
          </m:f>
        </m:oMath>
      </m:oMathPara>
    </w:p>
    <w:p w14:paraId="026CD8B5" w14:textId="77777777" w:rsidR="00521A53" w:rsidRDefault="00521A53" w:rsidP="009416A5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4D73A09B" w14:textId="77777777" w:rsidR="00521A53" w:rsidRDefault="00521A53" w:rsidP="009416A5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611C6FCF" w14:textId="77777777" w:rsidR="00521A53" w:rsidRDefault="00521A53" w:rsidP="009416A5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0D444574" w14:textId="77777777" w:rsidR="00521A53" w:rsidRDefault="00521A53" w:rsidP="009416A5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3070204A" w14:textId="752CF50A" w:rsidR="00521A53" w:rsidRDefault="00521A53" w:rsidP="00521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 probability of IC depends on electron shell (</w:t>
      </w:r>
      <w:proofErr w:type="gramStart"/>
      <w:r>
        <w:rPr>
          <w:rFonts w:eastAsiaTheme="minorEastAsia"/>
          <w:lang w:val="en-US"/>
        </w:rPr>
        <w:t>K,L</w:t>
      </w:r>
      <w:proofErr w:type="gramEnd"/>
      <w:r>
        <w:rPr>
          <w:rFonts w:eastAsiaTheme="minorEastAsia"/>
          <w:lang w:val="en-US"/>
        </w:rPr>
        <w:t>, M, …)</w:t>
      </w:r>
      <w:r>
        <w:rPr>
          <w:rFonts w:eastAsiaTheme="minorEastAsia"/>
          <w:lang w:val="en-US"/>
        </w:rPr>
        <w:t xml:space="preserve"> and shells therefor have respective coefficients</w:t>
      </w:r>
      <w:r>
        <w:rPr>
          <w:rFonts w:eastAsiaTheme="minorEastAsia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, …)</m:t>
        </m:r>
      </m:oMath>
      <w:r>
        <w:rPr>
          <w:rFonts w:eastAsiaTheme="minorEastAsia"/>
          <w:lang w:val="en-US"/>
        </w:rPr>
        <w:t xml:space="preserve">. </w:t>
      </w:r>
    </w:p>
    <w:p w14:paraId="58C1657C" w14:textId="77777777" w:rsidR="008412F8" w:rsidRDefault="008412F8" w:rsidP="00521A53">
      <w:pPr>
        <w:rPr>
          <w:rFonts w:eastAsiaTheme="minorEastAsia"/>
          <w:lang w:val="en-US"/>
        </w:rPr>
      </w:pPr>
    </w:p>
    <w:p w14:paraId="589383D5" w14:textId="5D306207" w:rsidR="00521A53" w:rsidRPr="00B221FC" w:rsidRDefault="00521A53" w:rsidP="00521A53">
      <w:pPr>
        <w:rPr>
          <w:lang w:val="en-US"/>
        </w:rPr>
      </w:pPr>
      <w:r>
        <w:rPr>
          <w:rFonts w:eastAsiaTheme="minorEastAsia"/>
          <w:lang w:val="en-US"/>
        </w:rPr>
        <w:t>Inner shell electrons, such as those from the K shell, are more likely to interact directly with the nucleus</w:t>
      </w:r>
      <w:r w:rsidR="008412F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since its wavefunction has finite probability of penetrating the nucleus. The probability of IC in a shell becomes less likely the further away it lies from the nucleus. </w:t>
      </w:r>
      <w:r>
        <w:rPr>
          <w:lang w:val="en-US"/>
        </w:rPr>
        <w:t>In other words, internal conversion depends heavily on the atomic electron density inside the nucleus. (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of the probability of IC from shells [ref?], table?). </w:t>
      </w:r>
      <w:r>
        <w:rPr>
          <w:rFonts w:eastAsiaTheme="minorEastAsia"/>
          <w:lang w:val="en-US"/>
        </w:rPr>
        <w:t xml:space="preserve">Consequently, odds of nuclear interaction with the K-shell is more likely than with the L-shell, than the M-shell and so on. </w:t>
      </w:r>
      <w:r w:rsidRPr="00631737">
        <w:rPr>
          <w:rFonts w:eastAsiaTheme="minorEastAsia"/>
          <w:color w:val="ED7D31" w:themeColor="accent2"/>
          <w:lang w:val="en-US"/>
        </w:rPr>
        <w:t>(Observations of most K shells</w:t>
      </w:r>
      <w:r>
        <w:rPr>
          <w:rFonts w:eastAsiaTheme="minorEastAsia"/>
          <w:color w:val="ED7D31" w:themeColor="accent2"/>
          <w:lang w:val="en-US"/>
        </w:rPr>
        <w:t>?</w:t>
      </w:r>
      <w:r w:rsidRPr="00631737">
        <w:rPr>
          <w:rFonts w:eastAsiaTheme="minorEastAsia"/>
          <w:color w:val="ED7D31" w:themeColor="accent2"/>
          <w:lang w:val="en-US"/>
        </w:rPr>
        <w:t>)</w:t>
      </w:r>
      <w:r w:rsidRPr="00631737">
        <w:rPr>
          <w:rFonts w:eastAsiaTheme="minorEastAsia"/>
          <w:lang w:val="en-US"/>
        </w:rPr>
        <w:t xml:space="preserve">  </w:t>
      </w:r>
    </w:p>
    <w:p w14:paraId="2E357120" w14:textId="22EF855D" w:rsidR="00521A53" w:rsidRDefault="00521A53" w:rsidP="00521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ICC is the ratio of total number of IC electrons to gamma-rays emitted by a nucleus</w:t>
      </w:r>
      <w:r w:rsidR="008412F8">
        <w:rPr>
          <w:rFonts w:eastAsiaTheme="minorEastAsia"/>
          <w:lang w:val="en-US"/>
        </w:rPr>
        <w:t>. I</w:t>
      </w:r>
      <w:r>
        <w:rPr>
          <w:rFonts w:eastAsiaTheme="minorEastAsia"/>
          <w:lang w:val="en-US"/>
        </w:rPr>
        <w:t xml:space="preserve">t can be expressed as a sum of </w:t>
      </w:r>
      <w:r w:rsidR="008412F8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shell coefficients:</w:t>
      </w:r>
    </w:p>
    <w:p w14:paraId="53419DEF" w14:textId="77777777" w:rsidR="00521A53" w:rsidRDefault="00521A53" w:rsidP="00521A53">
      <w:pPr>
        <w:rPr>
          <w:rFonts w:eastAsiaTheme="minorEastAsia"/>
          <w:lang w:val="en-US"/>
        </w:rPr>
      </w:pPr>
    </w:p>
    <w:p w14:paraId="1754B457" w14:textId="7AF77D69" w:rsidR="00521A53" w:rsidRPr="003E5DC7" w:rsidRDefault="00521A53" w:rsidP="00521A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</m:sup>
                      </m:sSup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γTOT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i=K,L,M…</m:t>
          </m:r>
        </m:oMath>
      </m:oMathPara>
    </w:p>
    <w:p w14:paraId="6E49D85D" w14:textId="77777777" w:rsidR="00521A53" w:rsidRDefault="00521A53" w:rsidP="009416A5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69972279" w14:textId="77777777" w:rsidR="0000780A" w:rsidRDefault="009416A5" w:rsidP="0000780A">
      <w:pPr>
        <w:pBdr>
          <w:bottom w:val="single" w:sz="12" w:space="1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Transition levels of lower energy favor internal conversion</w:t>
      </w:r>
      <w:r w:rsidR="00031A4B">
        <w:rPr>
          <w:rFonts w:eastAsiaTheme="minorEastAsia"/>
          <w:lang w:val="en-US"/>
        </w:rPr>
        <w:t>. As calculated by [</w:t>
      </w:r>
      <w:proofErr w:type="spellStart"/>
      <w:proofErr w:type="gramStart"/>
      <w:r w:rsidR="00031A4B">
        <w:rPr>
          <w:rFonts w:eastAsiaTheme="minorEastAsia"/>
          <w:lang w:val="en-US"/>
        </w:rPr>
        <w:t>A.AHarms</w:t>
      </w:r>
      <w:proofErr w:type="spellEnd"/>
      <w:proofErr w:type="gramEnd"/>
      <w:r w:rsidR="00031A4B">
        <w:rPr>
          <w:rFonts w:eastAsiaTheme="minorEastAsia"/>
          <w:lang w:val="en-US"/>
        </w:rPr>
        <w:t>, Table 4</w:t>
      </w:r>
      <w:r w:rsidR="00031A4B">
        <w:rPr>
          <w:rFonts w:eastAsiaTheme="minorEastAsia"/>
          <w:lang w:val="en-US"/>
        </w:rPr>
        <w:t>], transitions of Gd-157* from</w:t>
      </w:r>
      <w:r w:rsidR="008412F8">
        <w:rPr>
          <w:rFonts w:eastAsiaTheme="minorEastAsia"/>
          <w:lang w:val="en-US"/>
        </w:rPr>
        <w:t xml:space="preserve"> the second lowest transition level,</w:t>
      </w:r>
      <w:r w:rsidR="00031A4B">
        <w:rPr>
          <w:rFonts w:eastAsiaTheme="minorEastAsia"/>
          <w:lang w:val="en-US"/>
        </w:rPr>
        <w:t xml:space="preserve"> </w:t>
      </w:r>
      <w:r w:rsidR="00992AF3">
        <w:rPr>
          <w:rFonts w:eastAsiaTheme="minorEastAsia"/>
          <w:lang w:val="en-US"/>
        </w:rPr>
        <w:t>L</w:t>
      </w:r>
      <w:r w:rsidR="00031A4B">
        <w:rPr>
          <w:rFonts w:eastAsiaTheme="minorEastAsia"/>
          <w:lang w:val="en-US"/>
        </w:rPr>
        <w:t>-shell</w:t>
      </w:r>
      <w:r w:rsidR="008412F8">
        <w:rPr>
          <w:rFonts w:eastAsiaTheme="minorEastAsia"/>
          <w:lang w:val="en-US"/>
        </w:rPr>
        <w:t xml:space="preserve"> of the</w:t>
      </w:r>
      <w:r w:rsidR="00521A53">
        <w:rPr>
          <w:rFonts w:eastAsiaTheme="minorEastAsia"/>
          <w:lang w:val="en-US"/>
        </w:rPr>
        <w:t xml:space="preserve"> </w:t>
      </w:r>
      <w:r w:rsidR="00992AF3">
        <w:rPr>
          <w:rFonts w:eastAsiaTheme="minorEastAsia"/>
          <w:lang w:val="en-US"/>
        </w:rPr>
        <w:t>first excited state</w:t>
      </w:r>
      <w:r w:rsidR="008412F8">
        <w:rPr>
          <w:rFonts w:eastAsiaTheme="minorEastAsia"/>
          <w:lang w:val="en-US"/>
        </w:rPr>
        <w:t xml:space="preserve">, </w:t>
      </w:r>
      <w:r w:rsidR="00031A4B">
        <w:rPr>
          <w:rFonts w:eastAsiaTheme="minorEastAsia"/>
          <w:lang w:val="en-US"/>
        </w:rPr>
        <w:t>are 3 times more likely</w:t>
      </w:r>
      <w:r w:rsidR="00992AF3">
        <w:rPr>
          <w:rFonts w:eastAsiaTheme="minorEastAsia"/>
          <w:lang w:val="en-US"/>
        </w:rPr>
        <w:t xml:space="preserve"> </w:t>
      </w:r>
      <w:r w:rsidR="00031A4B">
        <w:rPr>
          <w:rFonts w:eastAsiaTheme="minorEastAsia"/>
          <w:lang w:val="en-US"/>
        </w:rPr>
        <w:t>of mediation by IC than gamma-emission.</w:t>
      </w:r>
      <w:r>
        <w:rPr>
          <w:rFonts w:eastAsiaTheme="minorEastAsia"/>
          <w:lang w:val="en-US"/>
        </w:rPr>
        <w:t xml:space="preserve"> </w:t>
      </w:r>
      <w:r w:rsidR="008412F8">
        <w:rPr>
          <w:rFonts w:eastAsiaTheme="minorEastAsia"/>
          <w:lang w:val="en-US"/>
        </w:rPr>
        <w:t>While d</w:t>
      </w:r>
      <w:r w:rsidR="00992AF3">
        <w:rPr>
          <w:rFonts w:eastAsiaTheme="minorEastAsia"/>
          <w:lang w:val="en-US"/>
        </w:rPr>
        <w:t>e-</w:t>
      </w:r>
      <w:r w:rsidR="008412F8">
        <w:rPr>
          <w:rFonts w:eastAsiaTheme="minorEastAsia"/>
          <w:lang w:val="en-US"/>
        </w:rPr>
        <w:t>excitation</w:t>
      </w:r>
      <w:r w:rsidR="00992AF3">
        <w:rPr>
          <w:rFonts w:eastAsiaTheme="minorEastAsia"/>
          <w:lang w:val="en-US"/>
        </w:rPr>
        <w:t xml:space="preserve"> from higher states are less prone to IC. Already </w:t>
      </w:r>
      <w:r w:rsidR="00521A53">
        <w:rPr>
          <w:rFonts w:eastAsiaTheme="minorEastAsia"/>
          <w:lang w:val="en-US"/>
        </w:rPr>
        <w:t xml:space="preserve">at the </w:t>
      </w:r>
      <w:r w:rsidR="00992AF3">
        <w:rPr>
          <w:rFonts w:eastAsiaTheme="minorEastAsia"/>
          <w:lang w:val="en-US"/>
        </w:rPr>
        <w:t>third excitation state</w:t>
      </w:r>
      <w:r w:rsidR="00521A53">
        <w:rPr>
          <w:rFonts w:eastAsiaTheme="minorEastAsia"/>
          <w:lang w:val="en-US"/>
        </w:rPr>
        <w:t>,</w:t>
      </w:r>
      <w:r w:rsidR="00992AF3">
        <w:rPr>
          <w:rFonts w:eastAsiaTheme="minorEastAsia"/>
          <w:lang w:val="en-US"/>
        </w:rPr>
        <w:t xml:space="preserve"> Gd-157* </w:t>
      </w:r>
      <w:r w:rsidR="00521A53">
        <w:rPr>
          <w:rFonts w:eastAsiaTheme="minorEastAsia"/>
          <w:lang w:val="en-US"/>
        </w:rPr>
        <w:t>e</w:t>
      </w:r>
      <w:r w:rsidR="00992AF3">
        <w:rPr>
          <w:rFonts w:eastAsiaTheme="minorEastAsia"/>
          <w:lang w:val="en-US"/>
        </w:rPr>
        <w:t xml:space="preserve">xhibits a low coefficient </w:t>
      </w:r>
      <w:r w:rsidR="008412F8">
        <w:rPr>
          <w:rFonts w:eastAsiaTheme="minorEastAsia"/>
          <w:lang w:val="en-US"/>
        </w:rPr>
        <w:t>of</w:t>
      </w:r>
      <w:r w:rsidR="00992AF3">
        <w:rPr>
          <w:rFonts w:eastAsiaTheme="minorEastAsia"/>
          <w:lang w:val="en-US"/>
        </w:rPr>
        <w:t xml:space="preserve"> 0.1, meaning IC </w:t>
      </w:r>
      <w:r w:rsidR="00521A53">
        <w:rPr>
          <w:rFonts w:eastAsiaTheme="minorEastAsia"/>
          <w:lang w:val="en-US"/>
        </w:rPr>
        <w:t xml:space="preserve">electron </w:t>
      </w:r>
      <w:r w:rsidR="00992AF3">
        <w:rPr>
          <w:rFonts w:eastAsiaTheme="minorEastAsia"/>
          <w:lang w:val="en-US"/>
        </w:rPr>
        <w:t xml:space="preserve">rates are 10 times lower than gamma rates.  </w:t>
      </w:r>
    </w:p>
    <w:p w14:paraId="69D0F500" w14:textId="77777777" w:rsidR="0000780A" w:rsidRDefault="0000780A" w:rsidP="0000780A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0D6AF96F" w14:textId="77777777" w:rsidR="0000780A" w:rsidRPr="00120F0A" w:rsidRDefault="0000780A" w:rsidP="0000780A">
      <w:pPr>
        <w:pBdr>
          <w:bottom w:val="single" w:sz="12" w:space="1" w:color="auto"/>
        </w:pBdr>
        <w:rPr>
          <w:rFonts w:eastAsiaTheme="minorEastAsia"/>
          <w:lang w:val="en-US"/>
        </w:rPr>
      </w:pPr>
      <w:r w:rsidRPr="00120F0A">
        <w:rPr>
          <w:lang w:val="en-US"/>
        </w:rPr>
        <w:t xml:space="preserve">The energy of an IC electron is determined by the available transition energy and the binding energy of a shell. </w:t>
      </w:r>
    </w:p>
    <w:p w14:paraId="39D7802F" w14:textId="1047BA48" w:rsidR="0000780A" w:rsidRDefault="0000780A" w:rsidP="0000780A">
      <w:pPr>
        <w:pBdr>
          <w:bottom w:val="single" w:sz="12" w:space="1" w:color="auto"/>
        </w:pBd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IC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bi, i</m:t>
              </m:r>
            </m:sub>
          </m:sSub>
          <m:r>
            <w:rPr>
              <w:rFonts w:ascii="Cambria Math" w:hAnsi="Cambria Math"/>
              <w:lang w:val="en-US"/>
            </w:rPr>
            <m:t>,  i=K,L,M…</m:t>
          </m:r>
        </m:oMath>
      </m:oMathPara>
    </w:p>
    <w:p w14:paraId="6A6DC5BC" w14:textId="77777777" w:rsidR="0000780A" w:rsidRDefault="0000780A" w:rsidP="0000780A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639D4DD8" w14:textId="67DB4B20" w:rsidR="0000780A" w:rsidRPr="0000780A" w:rsidRDefault="0000780A" w:rsidP="0000780A">
      <w:pPr>
        <w:pBdr>
          <w:bottom w:val="single" w:sz="12" w:space="1" w:color="auto"/>
        </w:pBdr>
        <w:rPr>
          <w:rFonts w:eastAsiaTheme="minorEastAsia"/>
          <w:lang w:val="en-US"/>
        </w:rPr>
      </w:pPr>
      <w:r w:rsidRPr="00741C9C">
        <w:rPr>
          <w:lang w:val="en-US"/>
        </w:rPr>
        <w:t>IC electrons contribute to</w:t>
      </w:r>
      <w:r w:rsidR="00A22A73">
        <w:rPr>
          <w:lang w:val="en-US"/>
        </w:rPr>
        <w:t xml:space="preserve"> discrete</w:t>
      </w:r>
      <w:r w:rsidRPr="00741C9C">
        <w:rPr>
          <w:lang w:val="en-US"/>
        </w:rPr>
        <w:t xml:space="preserve"> lines in the 2</w:t>
      </w:r>
      <w:r w:rsidR="00A22A73">
        <w:rPr>
          <w:lang w:val="en-US"/>
        </w:rPr>
        <w:t>0</w:t>
      </w:r>
      <w:r w:rsidRPr="00741C9C">
        <w:rPr>
          <w:lang w:val="en-US"/>
        </w:rPr>
        <w:t>-</w:t>
      </w:r>
      <w:r w:rsidR="00A22A73">
        <w:rPr>
          <w:lang w:val="en-US"/>
        </w:rPr>
        <w:t>200</w:t>
      </w:r>
      <w:r w:rsidRPr="00741C9C">
        <w:rPr>
          <w:lang w:val="en-US"/>
        </w:rPr>
        <w:t xml:space="preserve"> keV </w:t>
      </w:r>
      <w:r w:rsidR="00A22A73">
        <w:rPr>
          <w:lang w:val="en-US"/>
        </w:rPr>
        <w:t>range. Eminent is the intensity at which specifically 71keV electrons are produced</w:t>
      </w:r>
      <w:r w:rsidR="00B84F87">
        <w:rPr>
          <w:lang w:val="en-US"/>
        </w:rPr>
        <w:t>, nearly 0.27nc^-1 in natural gadolinium [</w:t>
      </w:r>
      <w:proofErr w:type="gramStart"/>
      <w:r w:rsidR="00B84F87">
        <w:rPr>
          <w:lang w:val="en-US"/>
        </w:rPr>
        <w:t>] .</w:t>
      </w:r>
      <w:proofErr w:type="gramEnd"/>
      <w:r w:rsidR="00B84F87">
        <w:rPr>
          <w:lang w:val="en-US"/>
        </w:rPr>
        <w:t xml:space="preserve">  </w:t>
      </w:r>
    </w:p>
    <w:p w14:paraId="34E4DD1D" w14:textId="77777777" w:rsidR="0000780A" w:rsidRDefault="0000780A" w:rsidP="009416A5">
      <w:pPr>
        <w:pBdr>
          <w:bottom w:val="single" w:sz="12" w:space="1" w:color="auto"/>
        </w:pBdr>
        <w:rPr>
          <w:rFonts w:eastAsiaTheme="minorEastAsia"/>
          <w:lang w:val="en-US"/>
        </w:rPr>
      </w:pPr>
    </w:p>
    <w:p w14:paraId="0DF80CFD" w14:textId="77777777" w:rsidR="00B47B21" w:rsidRPr="00B47B21" w:rsidRDefault="00B47B21" w:rsidP="000375C1">
      <w:pPr>
        <w:pBdr>
          <w:bottom w:val="single" w:sz="12" w:space="1" w:color="auto"/>
        </w:pBdr>
        <w:rPr>
          <w:lang w:val="en-US"/>
        </w:rPr>
      </w:pPr>
    </w:p>
    <w:p w14:paraId="54FC2FA3" w14:textId="4CF5264A" w:rsidR="000171F3" w:rsidRDefault="000171F3" w:rsidP="000171F3">
      <w:pPr>
        <w:pBdr>
          <w:bottom w:val="single" w:sz="12" w:space="1" w:color="auto"/>
        </w:pBdr>
        <w:rPr>
          <w:b/>
          <w:bCs/>
          <w:lang w:val="en-US"/>
        </w:rPr>
      </w:pPr>
      <w:r w:rsidRPr="000171F3">
        <w:rPr>
          <w:b/>
          <w:bCs/>
          <w:lang w:val="en-US"/>
        </w:rPr>
        <w:t xml:space="preserve">X-rays and Auger </w:t>
      </w:r>
      <w:r w:rsidR="00B47B21">
        <w:rPr>
          <w:b/>
          <w:bCs/>
          <w:lang w:val="en-US"/>
        </w:rPr>
        <w:t>E</w:t>
      </w:r>
      <w:r w:rsidRPr="000171F3">
        <w:rPr>
          <w:b/>
          <w:bCs/>
          <w:lang w:val="en-US"/>
        </w:rPr>
        <w:t>lectrons</w:t>
      </w:r>
    </w:p>
    <w:p w14:paraId="403E6DFD" w14:textId="101320E8" w:rsidR="000171F3" w:rsidRDefault="000171F3" w:rsidP="000171F3">
      <w:pPr>
        <w:pBdr>
          <w:bottom w:val="single" w:sz="12" w:space="1" w:color="auto"/>
        </w:pBdr>
        <w:rPr>
          <w:b/>
          <w:bCs/>
          <w:lang w:val="en-US"/>
        </w:rPr>
      </w:pP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When a conversion electron is expelled from subshell </w:t>
      </w:r>
      <w:r w:rsidRPr="000171F3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>m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 vacancy is left behind. Still in an excited state, the atom undergoes further de-excitation. An electron from a higher subshell p (&gt;n) descends and fills the vacancy, releasing atomic excitation energy by either emission of x-rays or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A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uger electrons. </w:t>
      </w:r>
    </w:p>
    <w:p w14:paraId="0660E662" w14:textId="714BC262" w:rsidR="000171F3" w:rsidRDefault="000171F3" w:rsidP="000171F3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X-ray emission occurs when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the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transition energy goes into electromagnetic radiation. Difference in binding energy makes up the x-ray energy.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(rewrite)</w:t>
      </w:r>
    </w:p>
    <w:p w14:paraId="579547BE" w14:textId="77777777" w:rsidR="000171F3" w:rsidRDefault="000171F3" w:rsidP="000171F3">
      <w:pPr>
        <w:pBdr>
          <w:bottom w:val="single" w:sz="12" w:space="1" w:color="auto"/>
        </w:pBdr>
        <w:rPr>
          <w:b/>
          <w:bCs/>
          <w:lang w:val="en-US"/>
        </w:rPr>
      </w:pPr>
    </w:p>
    <w:p w14:paraId="64387152" w14:textId="0D4A3CA8" w:rsidR="000171F3" w:rsidRDefault="000171F3" w:rsidP="000171F3">
      <w:pPr>
        <w:pBdr>
          <w:bottom w:val="single" w:sz="12" w:space="1" w:color="auto"/>
        </w:pBdr>
        <w:rPr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x-ray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 xml:space="preserve"> 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T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=</m:t>
          </m:r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bi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,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bi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,m</m:t>
              </m:r>
            </m:sub>
          </m:sSub>
        </m:oMath>
      </m:oMathPara>
    </w:p>
    <w:p w14:paraId="2D1397B2" w14:textId="77777777" w:rsidR="000171F3" w:rsidRDefault="000171F3" w:rsidP="000171F3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0E76D998" w14:textId="48A55395" w:rsidR="000171F3" w:rsidRDefault="000171F3" w:rsidP="000171F3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On the other hand, the transition energy may go into freeing an electron of an intermediate subshell n where </w:t>
      </w:r>
      <w:r w:rsidRPr="000171F3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n 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>lies between shell</w:t>
      </w:r>
      <w:r w:rsidRPr="000171F3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 m 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>and</w:t>
      </w:r>
      <w:r w:rsidRPr="000171F3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 p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. The 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>so-called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Auger electron has energy equal to the difference in transition energy and binding energy. </w:t>
      </w:r>
    </w:p>
    <w:p w14:paraId="0984696D" w14:textId="77777777" w:rsidR="000171F3" w:rsidRDefault="000171F3" w:rsidP="000171F3">
      <w:pPr>
        <w:pBdr>
          <w:bottom w:val="single" w:sz="12" w:space="1" w:color="auto"/>
        </w:pBdr>
        <w:rPr>
          <w:b/>
          <w:bCs/>
          <w:lang w:val="en-US"/>
        </w:rPr>
      </w:pPr>
    </w:p>
    <w:p w14:paraId="5CF4BB73" w14:textId="66DAD87B" w:rsidR="000171F3" w:rsidRDefault="000171F3" w:rsidP="000171F3">
      <w:pPr>
        <w:pBdr>
          <w:bottom w:val="single" w:sz="12" w:space="1" w:color="auto"/>
        </w:pBdr>
        <w:rPr>
          <w:b/>
          <w:bCs/>
          <w:lang w:val="nb-NO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nb-NO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A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nb-NO"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nb-NO" w:eastAsia="en-GB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sz w:val="22"/>
                      <w:szCs w:val="22"/>
                      <w:lang w:val="nb-NO" w:eastAsia="en-GB"/>
                    </w:rPr>
                    <m:t>-</m:t>
                  </m:r>
                </m:sup>
              </m:sSup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nb-NO" w:eastAsia="en-GB"/>
            </w:rPr>
            <m:t xml:space="preserve"> </m:t>
          </m:r>
          <m:r>
            <w:rPr>
              <w:rFonts w:ascii="Cambria Math" w:eastAsia="Times New Roman" w:hAnsi="Cambria Math" w:cs="Calibri"/>
              <w:sz w:val="22"/>
              <w:szCs w:val="22"/>
              <w:lang w:val="nb-NO" w:eastAsia="en-GB"/>
            </w:rPr>
            <m:t xml:space="preserve"> = 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nb-NO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T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nb-NO" w:eastAsia="en-GB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nb-NO" w:eastAsia="en-GB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E</m:t>
              </m:r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bi</m:t>
              </m:r>
              <m:r>
                <w:rPr>
                  <w:rFonts w:ascii="Cambria Math" w:eastAsia="Times New Roman" w:hAnsi="Cambria Math" w:cs="Calibri"/>
                  <w:sz w:val="22"/>
                  <w:szCs w:val="22"/>
                  <w:lang w:val="nb-NO" w:eastAsia="en-GB"/>
                </w:rPr>
                <m:t>,n</m:t>
              </m:r>
            </m:sub>
          </m:sSub>
        </m:oMath>
      </m:oMathPara>
    </w:p>
    <w:p w14:paraId="56990D70" w14:textId="77777777" w:rsidR="000171F3" w:rsidRDefault="000171F3" w:rsidP="000171F3">
      <w:pPr>
        <w:pBdr>
          <w:bottom w:val="single" w:sz="12" w:space="1" w:color="auto"/>
        </w:pBdr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C785302" w14:textId="3507218B" w:rsidR="000171F3" w:rsidRPr="000171F3" w:rsidRDefault="000171F3" w:rsidP="000171F3">
      <w:pPr>
        <w:pBdr>
          <w:bottom w:val="single" w:sz="12" w:space="1" w:color="auto"/>
        </w:pBdr>
        <w:rPr>
          <w:b/>
          <w:bCs/>
          <w:lang w:val="en-US"/>
        </w:rPr>
      </w:pP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lastRenderedPageBreak/>
        <w:t xml:space="preserve"> X-rays and Auger electrons, from L- and K-shell, of gadolinium-neutron capture are radiated in the 0-50keV range. The most prominent x-ray has energy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of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43keV and an emission rate of 0.47nc^-1 (per neutron capture). Auger electrons worth noting are of energy 35keV (0.08nc^-) and 5keV (0.21nc^-1). In comparison to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x</w:t>
      </w:r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-rays, they are less frequent and of lower energies.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[</w:t>
      </w:r>
      <w:proofErr w:type="spellStart"/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>Dumartez</w:t>
      </w:r>
      <w:proofErr w:type="spellEnd"/>
      <w:r w:rsidRPr="000171F3">
        <w:rPr>
          <w:rFonts w:ascii="Calibri" w:eastAsia="Times New Roman" w:hAnsi="Calibri" w:cs="Calibri"/>
          <w:sz w:val="22"/>
          <w:szCs w:val="22"/>
          <w:lang w:val="en-US" w:eastAsia="en-GB"/>
        </w:rPr>
        <w:t>]</w:t>
      </w:r>
    </w:p>
    <w:p w14:paraId="24337677" w14:textId="77777777" w:rsidR="000171F3" w:rsidRPr="000375C1" w:rsidRDefault="000171F3" w:rsidP="000375C1">
      <w:pPr>
        <w:pBdr>
          <w:bottom w:val="single" w:sz="12" w:space="1" w:color="auto"/>
        </w:pBdr>
        <w:rPr>
          <w:lang w:val="en-US"/>
        </w:rPr>
      </w:pPr>
    </w:p>
    <w:sectPr w:rsidR="000171F3" w:rsidRPr="0003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C3"/>
    <w:rsid w:val="0000780A"/>
    <w:rsid w:val="000171F3"/>
    <w:rsid w:val="00031A4B"/>
    <w:rsid w:val="000375C1"/>
    <w:rsid w:val="00120F0A"/>
    <w:rsid w:val="001B05A0"/>
    <w:rsid w:val="0022175B"/>
    <w:rsid w:val="00340E33"/>
    <w:rsid w:val="00521A53"/>
    <w:rsid w:val="006461A0"/>
    <w:rsid w:val="00656320"/>
    <w:rsid w:val="00701938"/>
    <w:rsid w:val="007F6A49"/>
    <w:rsid w:val="008412F8"/>
    <w:rsid w:val="009310D9"/>
    <w:rsid w:val="009416A5"/>
    <w:rsid w:val="00992AF3"/>
    <w:rsid w:val="009D364B"/>
    <w:rsid w:val="00A22A73"/>
    <w:rsid w:val="00A32F1E"/>
    <w:rsid w:val="00A5125B"/>
    <w:rsid w:val="00A750B2"/>
    <w:rsid w:val="00B47B21"/>
    <w:rsid w:val="00B84F87"/>
    <w:rsid w:val="00B93CD2"/>
    <w:rsid w:val="00E00DC3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ED36B"/>
  <w15:chartTrackingRefBased/>
  <w15:docId w15:val="{3B82CCB3-AA46-DB40-9E01-1407BCB4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1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05A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17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2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7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1157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3</cp:revision>
  <dcterms:created xsi:type="dcterms:W3CDTF">2020-07-13T13:24:00Z</dcterms:created>
  <dcterms:modified xsi:type="dcterms:W3CDTF">2020-07-14T13:22:00Z</dcterms:modified>
</cp:coreProperties>
</file>