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920" w:line="278" w:lineRule="auto"/>
      </w:pPr>
      <w:r>
        <w:rPr>
          <w:rFonts w:ascii="Aptos" w:hAnsi="Aptos" w:eastAsia="Aptos"/>
          <w:b/>
          <w:color w:val="1F6B56"/>
          <w:sz w:val="17"/>
        </w:rPr>
        <w:t>LOCAL DATA PIPELINE · OPERATOR MANUAL</w:t>
      </w:r>
    </w:p>
    <w:p>
      <w:pPr>
        <w:pStyle w:val="Title"/>
        <w:spacing w:before="0" w:after="160" w:line="278" w:lineRule="auto"/>
      </w:pPr>
      <w:r>
        <w:rPr>
          <w:rFonts w:ascii="Microsoft YaHei" w:hAnsi="Microsoft YaHei" w:eastAsia="Microsoft YaHei"/>
          <w:b/>
          <w:color w:val="202426"/>
          <w:sz w:val="58"/>
        </w:rPr>
        <w:t>E621 标签替换索引</w:t>
      </w:r>
    </w:p>
    <w:p>
      <w:pPr>
        <w:pStyle w:val="Subtitle"/>
        <w:spacing w:before="0" w:after="60" w:line="278" w:lineRule="auto"/>
      </w:pPr>
      <w:r>
        <w:rPr>
          <w:rFonts w:ascii="Microsoft YaHei" w:hAnsi="Microsoft YaHei" w:eastAsia="Microsoft YaHei"/>
          <w:b/>
          <w:color w:val="1F6B56"/>
          <w:sz w:val="36"/>
        </w:rPr>
        <w:t>构建、语义边界与本地修复说明书</w:t>
      </w:r>
    </w:p>
    <w:p>
      <w:pPr>
        <w:spacing w:before="0" w:after="480" w:line="278" w:lineRule="auto"/>
      </w:pPr>
      <w:r>
        <w:rPr>
          <w:rFonts w:ascii="Microsoft YaHei" w:hAnsi="Microsoft YaHei" w:eastAsia="Microsoft YaHei"/>
          <w:b w:val="0"/>
          <w:color w:val="626A70"/>
          <w:sz w:val="21"/>
        </w:rPr>
        <w:t>面向 Animalora 大数据训练；文本编码器为具备 Danbooru 知识、缺少 e621 专有知识的 LLM。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6F0EC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1F6B56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1F6B56"/>
                <w:sz w:val="18"/>
              </w:rPr>
              <w:t>当前发布结论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v5 在 v4 来源侧传播边界上增加最终输出侧条件词根校验：构造型 e621_semantic 输出若继续使用旧词根，必须改用已接受的主词根词汇。本次只修正 7 个 canonical，并同步其 alias；未调用 LLM 或外部 API。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F7F8F6"/>
            <w:tcMar>
              <w:top w:w="150" w:type="dxa"/>
              <w:start w:w="90" w:type="dxa"/>
              <w:bottom w:w="125" w:type="dxa"/>
              <w:end w:w="90" w:type="dxa"/>
            </w:tcMar>
            <w:tcBorders>
              <w:top w:val="single" w:sz="16" w:color="1F6B56"/>
            </w:tcBorders>
          </w:tcPr>
          <w:p>
            <w:pPr>
              <w:spacing w:before="0" w:after="20" w:line="278" w:lineRule="auto"/>
              <w:jc w:val="center"/>
            </w:pPr>
            <w:r>
              <w:rPr>
                <w:rFonts w:ascii="Aptos Display" w:hAnsi="Aptos Display" w:eastAsia="Aptos Display"/>
                <w:b/>
                <w:color w:val="1F6B56"/>
                <w:sz w:val="30"/>
              </w:rPr>
              <w:t>49,070</w:t>
            </w:r>
          </w:p>
          <w:p>
            <w:pPr>
              <w:spacing w:before="0" w:after="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26A70"/>
                <w:sz w:val="14"/>
              </w:rPr>
              <w:t>canonical</w:t>
            </w:r>
          </w:p>
        </w:tc>
        <w:tc>
          <w:tcPr>
            <w:tcW w:type="dxa" w:w="2509"/>
            <w:shd w:fill="F7F8F6"/>
            <w:tcMar>
              <w:top w:w="150" w:type="dxa"/>
              <w:start w:w="90" w:type="dxa"/>
              <w:bottom w:w="125" w:type="dxa"/>
              <w:end w:w="90" w:type="dxa"/>
            </w:tcMar>
            <w:tcBorders>
              <w:top w:val="single" w:sz="16" w:color="356B8C"/>
            </w:tcBorders>
          </w:tcPr>
          <w:p>
            <w:pPr>
              <w:spacing w:before="0" w:after="20" w:line="278" w:lineRule="auto"/>
              <w:jc w:val="center"/>
            </w:pPr>
            <w:r>
              <w:rPr>
                <w:rFonts w:ascii="Aptos Display" w:hAnsi="Aptos Display" w:eastAsia="Aptos Display"/>
                <w:b/>
                <w:color w:val="356B8C"/>
                <w:sz w:val="30"/>
              </w:rPr>
              <w:t>86,922</w:t>
            </w:r>
          </w:p>
          <w:p>
            <w:pPr>
              <w:spacing w:before="0" w:after="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26A70"/>
                <w:sz w:val="14"/>
              </w:rPr>
              <w:t>CSV rows</w:t>
            </w:r>
          </w:p>
        </w:tc>
        <w:tc>
          <w:tcPr>
            <w:tcW w:type="dxa" w:w="2509"/>
            <w:shd w:fill="F7F8F6"/>
            <w:tcMar>
              <w:top w:w="150" w:type="dxa"/>
              <w:start w:w="90" w:type="dxa"/>
              <w:bottom w:w="125" w:type="dxa"/>
              <w:end w:w="90" w:type="dxa"/>
            </w:tcMar>
            <w:tcBorders>
              <w:top w:val="single" w:sz="16" w:color="B4473A"/>
            </w:tcBorders>
          </w:tcPr>
          <w:p>
            <w:pPr>
              <w:spacing w:before="0" w:after="20" w:line="278" w:lineRule="auto"/>
              <w:jc w:val="center"/>
            </w:pPr>
            <w:r>
              <w:rPr>
                <w:rFonts w:ascii="Aptos Display" w:hAnsi="Aptos Display" w:eastAsia="Aptos Display"/>
                <w:b/>
                <w:color w:val="B4473A"/>
                <w:sz w:val="30"/>
              </w:rPr>
              <w:t>7</w:t>
            </w:r>
          </w:p>
          <w:p>
            <w:pPr>
              <w:spacing w:before="0" w:after="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26A70"/>
                <w:sz w:val="14"/>
              </w:rPr>
              <w:t>v5 corrections</w:t>
            </w:r>
          </w:p>
        </w:tc>
        <w:tc>
          <w:tcPr>
            <w:tcW w:type="dxa" w:w="2509"/>
            <w:shd w:fill="F7F8F6"/>
            <w:tcMar>
              <w:top w:w="150" w:type="dxa"/>
              <w:start w:w="90" w:type="dxa"/>
              <w:bottom w:w="125" w:type="dxa"/>
              <w:end w:w="90" w:type="dxa"/>
            </w:tcMar>
            <w:tcBorders>
              <w:top w:val="single" w:sz="16" w:color="9A6A19"/>
            </w:tcBorders>
          </w:tcPr>
          <w:p>
            <w:pPr>
              <w:spacing w:before="0" w:after="20" w:line="278" w:lineRule="auto"/>
              <w:jc w:val="center"/>
            </w:pPr>
            <w:r>
              <w:rPr>
                <w:rFonts w:ascii="Aptos Display" w:hAnsi="Aptos Display" w:eastAsia="Aptos Display"/>
                <w:b/>
                <w:color w:val="9A6A19"/>
                <w:sz w:val="30"/>
              </w:rPr>
              <w:t>0</w:t>
            </w:r>
          </w:p>
          <w:p>
            <w:pPr>
              <w:spacing w:before="0" w:after="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26A70"/>
                <w:sz w:val="14"/>
              </w:rPr>
              <w:t>policy failures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2665"/>
        <w:gridCol w:w="1928"/>
      </w:tblGrid>
      <w:tr>
        <w:trPr>
          <w:tblHeader w:val="true"/>
        </w:trPr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文档版本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发布构建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数据快照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生成日期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1.1 / v5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115b7e0bcc749e30e342</w:t>
            </w:r>
          </w:p>
        </w:tc>
        <w:tc>
          <w:tcPr>
            <w:tcW w:type="dxa" w:w="266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20260720T142804Z</w:t>
            </w:r>
          </w:p>
        </w:tc>
        <w:tc>
          <w:tcPr>
            <w:tcW w:type="dxa" w:w="192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2026-07-25</w:t>
            </w:r>
          </w:p>
        </w:tc>
      </w:tr>
    </w:tbl>
    <w:p>
      <w:pPr>
        <w:spacing w:after="0"/>
      </w:pPr>
    </w:p>
    <w:p>
      <w:pPr>
        <w:spacing w:before="640" w:after="0" w:line="278" w:lineRule="auto"/>
      </w:pPr>
      <w:r>
        <w:rPr>
          <w:rFonts w:ascii="Aptos" w:hAnsi="Aptos" w:eastAsia="Aptos"/>
          <w:b/>
          <w:color w:val="626A70"/>
          <w:sz w:val="15"/>
        </w:rPr>
        <w:t xml:space="preserve">SHA-256  </w:t>
      </w:r>
      <w:r>
        <w:rPr>
          <w:rFonts w:ascii="Consolas" w:hAnsi="Consolas" w:eastAsia="Consolas"/>
          <w:b w:val="0"/>
          <w:color w:val="202426"/>
          <w:sz w:val="15"/>
        </w:rPr>
        <w:t>33a4b59d689cd9c675313a279ef93e5863a805d6ff2664cee18258f8c5c6d911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9"/>
        <w:gridCol w:w="9014"/>
      </w:tblGrid>
      <w:tr>
        <w:tc>
          <w:tcPr>
            <w:tcW w:type="dxa" w:w="5018"/>
            <w:shd w:fill="1F6B56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0"/>
              </w:rPr>
              <w:t>01</w:t>
            </w:r>
          </w:p>
        </w:tc>
        <w:tc>
          <w:tcPr>
            <w:tcW w:type="dxa" w:w="5018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Heading1"/>
              <w:spacing w:before="0" w:after="20" w:line="278" w:lineRule="auto"/>
            </w:pPr>
            <w:r>
              <w:rPr>
                <w:rFonts w:ascii="Microsoft YaHei" w:hAnsi="Microsoft YaHei" w:eastAsia="Microsoft YaHei"/>
                <w:b/>
                <w:color w:val="202426"/>
                <w:sz w:val="38"/>
              </w:rPr>
              <w:t>快速参考</w:t>
            </w:r>
          </w:p>
          <w:p>
            <w:pPr>
              <w:spacing w:before="0" w:after="100" w:line="278" w:lineRule="auto"/>
            </w:pPr>
            <w:r>
              <w:rPr>
                <w:rFonts w:ascii="Microsoft YaHei" w:hAnsi="Microsoft YaHei" w:eastAsia="Microsoft YaHei"/>
                <w:b w:val="0"/>
                <w:color w:val="626A70"/>
                <w:sz w:val="17"/>
              </w:rPr>
              <w:t>先确认当前产物、使用目标和三个动作的含义。</w:t>
            </w:r>
          </w:p>
        </w:tc>
      </w:tr>
    </w:tbl>
    <w:p>
      <w:pPr>
        <w:spacing w:after="0"/>
      </w:pPr>
    </w:p>
    <w:p>
      <w:pPr>
        <w:pStyle w:val="Heading2"/>
      </w:pPr>
      <w:r>
        <w:t>发布产物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tblHeader w:val="true"/>
        </w:trPr>
        <w:tc>
          <w:tcPr>
            <w:tcW w:type="dxa" w:w="5018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5018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已验证值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CSV</w:t>
            </w:r>
          </w:p>
        </w:tc>
        <w:tc>
          <w:tcPr>
            <w:tcW w:type="dxa" w:w="703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data\output\e621_tag_replacement_index.csv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构建</w:t>
            </w:r>
          </w:p>
        </w:tc>
        <w:tc>
          <w:tcPr>
            <w:tcW w:type="dxa" w:w="7030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115b7e0bcc749e30e342 / published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筛选范围</w:t>
            </w:r>
          </w:p>
        </w:tc>
        <w:tc>
          <w:tcPr>
            <w:tcW w:type="dxa" w:w="703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post_count &gt; 100；最小值 101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规模</w:t>
            </w:r>
          </w:p>
        </w:tc>
        <w:tc>
          <w:tcPr>
            <w:tcW w:type="dxa" w:w="7030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49,070 canonical + 37,852 alias = 86,922 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审计库</w:t>
            </w:r>
          </w:p>
        </w:tc>
        <w:tc>
          <w:tcPr>
            <w:tcW w:type="dxa" w:w="703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data\audit\audit.sqlite3</w:t>
            </w:r>
          </w:p>
        </w:tc>
      </w:tr>
    </w:tbl>
    <w:p>
      <w:pPr>
        <w:spacing w:after="0"/>
      </w:pPr>
    </w:p>
    <w:p>
      <w:pPr>
        <w:pStyle w:val="Heading2"/>
      </w:pPr>
      <w:r>
        <w:t>索引解决什么问题</w:t>
      </w:r>
    </w:p>
    <w:p>
      <w:pPr>
        <w:spacing w:before="0" w:after="100" w:line="278" w:lineRule="auto"/>
      </w:pPr>
      <w:r>
        <w:rPr>
          <w:rFonts w:ascii="Microsoft YaHei" w:hAnsi="Microsoft YaHei" w:eastAsia="Microsoft YaHei"/>
          <w:b w:val="0"/>
          <w:color w:val="202426"/>
          <w:sz w:val="18"/>
        </w:rPr>
        <w:t>训练侧的 LLM 文本编码器通常熟悉 Danbooru 词汇，却可能不理解 e621 的专有含义。本索引不把 e621 全量“翻译成 Danbooru”，而是在语义可证明等价时进行无损改写；否则保留 e621 原词。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91"/>
        <w:gridCol w:w="5159"/>
      </w:tblGrid>
      <w:tr>
        <w:trPr>
          <w:tblHeader w:val="true"/>
        </w:trPr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输出行为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keep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输出原 source_tag</w:t>
            </w:r>
          </w:p>
        </w:tc>
        <w:tc>
          <w:tcPr>
            <w:tcW w:type="dxa" w:w="5159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原词清晰，或没有证据证明无损替换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replace</w:t>
            </w:r>
          </w:p>
        </w:tc>
        <w:tc>
          <w:tcPr>
            <w:tcW w:type="dxa" w:w="2891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输出 1–3 个 snake_case 标签</w:t>
            </w:r>
          </w:p>
        </w:tc>
        <w:tc>
          <w:tcPr>
            <w:tcW w:type="dxa" w:w="5159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必须保留来源词的全部语义要素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drop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replacement_tags 为空</w:t>
            </w:r>
          </w:p>
        </w:tc>
        <w:tc>
          <w:tcPr>
            <w:tcW w:type="dxa" w:w="5159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仅由 e621 类别确定，不由 LLM 新增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F0F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356B8C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356B8C"/>
                <w:sz w:val="18"/>
              </w:rPr>
              <w:t>优先级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e621 Wiki、alias、implication 和标签类别决定来源含义；Danbooru 只提供命名冲突与候选措辞，不能覆盖 e621 语义。</w:t>
            </w:r>
          </w:p>
        </w:tc>
      </w:tr>
    </w:tbl>
    <w:p>
      <w:pPr>
        <w:spacing w:after="0"/>
      </w:pPr>
    </w:p>
    <w:p>
      <w:pPr>
        <w:pStyle w:val="Heading2"/>
      </w:pPr>
      <w:r>
        <w:t>阅读路径</w:t>
      </w:r>
    </w:p>
    <w:p>
      <w:pPr>
        <w:pStyle w:val="ListBullet"/>
        <w:spacing w:before="0" w:after="5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只想使用 CSV：阅读第 6 节操作说明和第 7 节验收表。</w:t>
      </w:r>
    </w:p>
    <w:p>
      <w:pPr>
        <w:pStyle w:val="ListBullet"/>
        <w:spacing w:before="0" w:after="5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需要调整判定规则：先阅读第 3–5 节，再修改代码与重新审计。</w:t>
      </w:r>
    </w:p>
    <w:p>
      <w:pPr>
        <w:pStyle w:val="ListBullet"/>
        <w:spacing w:before="0" w:after="5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需要追溯某个标签：在 SQLite 的 dictionary_entries 中按 build_id + source_tag 查询。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9"/>
        <w:gridCol w:w="9014"/>
      </w:tblGrid>
      <w:tr>
        <w:tc>
          <w:tcPr>
            <w:tcW w:type="dxa" w:w="5018"/>
            <w:shd w:fill="1F6B56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0"/>
              </w:rPr>
              <w:t>02</w:t>
            </w:r>
          </w:p>
        </w:tc>
        <w:tc>
          <w:tcPr>
            <w:tcW w:type="dxa" w:w="5018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Heading1"/>
              <w:spacing w:before="0" w:after="20" w:line="278" w:lineRule="auto"/>
            </w:pPr>
            <w:r>
              <w:rPr>
                <w:rFonts w:ascii="Microsoft YaHei" w:hAnsi="Microsoft YaHei" w:eastAsia="Microsoft YaHei"/>
                <w:b/>
                <w:color w:val="202426"/>
                <w:sz w:val="38"/>
              </w:rPr>
              <w:t>系统与数据流</w:t>
            </w:r>
          </w:p>
          <w:p>
            <w:pPr>
              <w:spacing w:before="0" w:after="100" w:line="278" w:lineRule="auto"/>
            </w:pPr>
            <w:r>
              <w:rPr>
                <w:rFonts w:ascii="Microsoft YaHei" w:hAnsi="Microsoft YaHei" w:eastAsia="Microsoft YaHei"/>
                <w:b w:val="0"/>
                <w:color w:val="626A70"/>
                <w:sz w:val="17"/>
              </w:rPr>
              <w:t>本地证据进入审计库，经确定性边界校验后才发布 CSV。</w:t>
            </w:r>
          </w:p>
        </w:tc>
      </w:tr>
    </w:tbl>
    <w:p>
      <w:pPr>
        <w:spacing w:after="0"/>
      </w:pPr>
    </w:p>
    <w:p>
      <w:pPr>
        <w:pStyle w:val="Heading2"/>
      </w:pPr>
      <w:r>
        <w:t>处理链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2268"/>
        <w:gridCol w:w="1531"/>
      </w:tblGrid>
      <w:tr>
        <w:trPr>
          <w:tblHeader w:val="true"/>
        </w:trPr>
        <w:tc>
          <w:tcPr>
            <w:tcW w:type="dxa" w:w="2007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1 · e621 快照</w:t>
            </w:r>
          </w:p>
        </w:tc>
        <w:tc>
          <w:tcPr>
            <w:tcW w:type="dxa" w:w="2007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2 · 本地 SQLite</w:t>
            </w:r>
          </w:p>
        </w:tc>
        <w:tc>
          <w:tcPr>
            <w:tcW w:type="dxa" w:w="2007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3 · 语义决策</w:t>
            </w:r>
          </w:p>
        </w:tc>
        <w:tc>
          <w:tcPr>
            <w:tcW w:type="dxa" w:w="2007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4 · 全局审计</w:t>
            </w:r>
          </w:p>
        </w:tc>
        <w:tc>
          <w:tcPr>
            <w:tcW w:type="dxa" w:w="2007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5 · 原子发布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tags / aliases / implications / Wiki</w:t>
            </w:r>
          </w:p>
        </w:tc>
        <w:tc>
          <w:tcPr>
            <w:tcW w:type="dxa" w:w="192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catalog + 历史 build</w:t>
            </w:r>
          </w:p>
        </w:tc>
        <w:tc>
          <w:tcPr>
            <w:tcW w:type="dxa" w:w="192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keep / replace / drop</w:t>
            </w:r>
          </w:p>
        </w:tc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count / anthro / family / relation</w:t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.partial → CSV</w:t>
            </w:r>
          </w:p>
        </w:tc>
      </w:tr>
    </w:tbl>
    <w:p>
      <w:pPr>
        <w:spacing w:after="0"/>
      </w:pPr>
    </w:p>
    <w:p>
      <w:pPr>
        <w:pStyle w:val="Heading2"/>
      </w:pPr>
      <w:r>
        <w:t>证据来源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84"/>
        <w:gridCol w:w="3458"/>
        <w:gridCol w:w="1984"/>
      </w:tblGrid>
      <w:tr>
        <w:trPr>
          <w:tblHeader w:val="true"/>
        </w:trPr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本地表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权威性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e621 tags</w:t>
            </w:r>
          </w:p>
        </w:tc>
        <w:tc>
          <w:tcPr>
            <w:tcW w:type="dxa" w:w="198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tag_catalog</w:t>
            </w:r>
          </w:p>
        </w:tc>
        <w:tc>
          <w:tcPr>
            <w:tcW w:type="dxa" w:w="345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类别、post_count、入选范围</w:t>
            </w:r>
          </w:p>
        </w:tc>
        <w:tc>
          <w:tcPr>
            <w:tcW w:type="dxa" w:w="198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来源权威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e621 aliases</w:t>
            </w:r>
          </w:p>
        </w:tc>
        <w:tc>
          <w:tcPr>
            <w:tcW w:type="dxa" w:w="1984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alias_catalog</w:t>
            </w:r>
          </w:p>
        </w:tc>
        <w:tc>
          <w:tcPr>
            <w:tcW w:type="dxa" w:w="345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canonical 继承与同义关系</w:t>
            </w:r>
          </w:p>
        </w:tc>
        <w:tc>
          <w:tcPr>
            <w:tcW w:type="dxa" w:w="1984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来源权威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e621 implications</w:t>
            </w:r>
          </w:p>
        </w:tc>
        <w:tc>
          <w:tcPr>
            <w:tcW w:type="dxa" w:w="198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implication_catalog</w:t>
            </w:r>
          </w:p>
        </w:tc>
        <w:tc>
          <w:tcPr>
            <w:tcW w:type="dxa" w:w="345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上游/下游词根证明</w:t>
            </w:r>
          </w:p>
        </w:tc>
        <w:tc>
          <w:tcPr>
            <w:tcW w:type="dxa" w:w="198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来源权威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e621 Wiki</w:t>
            </w:r>
          </w:p>
        </w:tc>
        <w:tc>
          <w:tcPr>
            <w:tcW w:type="dxa" w:w="1984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wiki_catalog</w:t>
            </w:r>
          </w:p>
        </w:tc>
        <w:tc>
          <w:tcPr>
            <w:tcW w:type="dxa" w:w="345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标签含义与明确例外</w:t>
            </w:r>
          </w:p>
        </w:tc>
        <w:tc>
          <w:tcPr>
            <w:tcW w:type="dxa" w:w="1984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来源权威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Danbooru 索引</w:t>
            </w:r>
          </w:p>
        </w:tc>
        <w:tc>
          <w:tcPr>
            <w:tcW w:type="dxa" w:w="198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danbooru_*</w:t>
            </w:r>
          </w:p>
        </w:tc>
        <w:tc>
          <w:tcPr>
            <w:tcW w:type="dxa" w:w="345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碰撞检测和候选措辞</w:t>
            </w:r>
          </w:p>
        </w:tc>
        <w:tc>
          <w:tcPr>
            <w:tcW w:type="dxa" w:w="1984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辅助证据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历史构建</w:t>
            </w:r>
          </w:p>
        </w:tc>
        <w:tc>
          <w:tcPr>
            <w:tcW w:type="dxa" w:w="1984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dictionary_*</w:t>
            </w:r>
          </w:p>
        </w:tc>
        <w:tc>
          <w:tcPr>
            <w:tcW w:type="dxa" w:w="345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独立决策基线与审计追溯</w:t>
            </w:r>
          </w:p>
        </w:tc>
        <w:tc>
          <w:tcPr>
            <w:tcW w:type="dxa" w:w="1984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本地审计</w:t>
            </w:r>
          </w:p>
        </w:tc>
      </w:tr>
    </w:tbl>
    <w:p>
      <w:pPr>
        <w:spacing w:after="0"/>
      </w:pPr>
    </w:p>
    <w:p>
      <w:pPr>
        <w:pStyle w:val="Heading2"/>
      </w:pPr>
      <w:r>
        <w:t>核心数据结构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082"/>
        <w:gridCol w:w="3288"/>
      </w:tblGrid>
      <w:tr>
        <w:trPr>
          <w:tblHeader w:val="true"/>
        </w:trPr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dictionary_builds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build_id, snapshot_id, status, entry_count</w:t>
            </w:r>
          </w:p>
        </w:tc>
        <w:tc>
          <w:tcPr>
            <w:tcW w:type="dxa" w:w="328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每个策略版本对应独立构建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dictionary_entries</w:t>
            </w:r>
          </w:p>
        </w:tc>
        <w:tc>
          <w:tcPr>
            <w:tcW w:type="dxa" w:w="4082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source_tag, action, output_tags_json, evidence_json</w:t>
            </w:r>
          </w:p>
        </w:tc>
        <w:tc>
          <w:tcPr>
            <w:tcW w:type="dxa" w:w="328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canonical 决策与审计证据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alias_catalog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antecedent, consequent</w:t>
            </w:r>
          </w:p>
        </w:tc>
        <w:tc>
          <w:tcPr>
            <w:tcW w:type="dxa" w:w="328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发布时继承 consequent 的最终决策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implication_catalog</w:t>
            </w:r>
          </w:p>
        </w:tc>
        <w:tc>
          <w:tcPr>
            <w:tcW w:type="dxa" w:w="4082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antecedent, consequent</w:t>
            </w:r>
          </w:p>
        </w:tc>
        <w:tc>
          <w:tcPr>
            <w:tcW w:type="dxa" w:w="328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仅该有向祖先链可证明词根传播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EEDB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9A6A19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9A6A19"/>
                <w:sz w:val="18"/>
              </w:rPr>
              <w:t>代码证据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SQLite 表定义见 builder_core.py:539、549；构建发布见 builder_core.py:3281。官方导出 URL 定义在 builder_core.py:24–29。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9"/>
        <w:gridCol w:w="9014"/>
      </w:tblGrid>
      <w:tr>
        <w:tc>
          <w:tcPr>
            <w:tcW w:type="dxa" w:w="5018"/>
            <w:shd w:fill="1F6B56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0"/>
              </w:rPr>
              <w:t>03</w:t>
            </w:r>
          </w:p>
        </w:tc>
        <w:tc>
          <w:tcPr>
            <w:tcW w:type="dxa" w:w="5018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Heading1"/>
              <w:spacing w:before="0" w:after="20" w:line="278" w:lineRule="auto"/>
            </w:pPr>
            <w:r>
              <w:rPr>
                <w:rFonts w:ascii="Microsoft YaHei" w:hAnsi="Microsoft YaHei" w:eastAsia="Microsoft YaHei"/>
                <w:b/>
                <w:color w:val="202426"/>
                <w:sz w:val="38"/>
              </w:rPr>
              <w:t>判定边界</w:t>
            </w:r>
          </w:p>
          <w:p>
            <w:pPr>
              <w:spacing w:before="0" w:after="100" w:line="278" w:lineRule="auto"/>
            </w:pPr>
            <w:r>
              <w:rPr>
                <w:rFonts w:ascii="Microsoft YaHei" w:hAnsi="Microsoft YaHei" w:eastAsia="Microsoft YaHei"/>
                <w:b w:val="0"/>
                <w:color w:val="626A70"/>
                <w:sz w:val="17"/>
              </w:rPr>
              <w:t>replace 必须是无损改写；不确定时 keep，不猜测。</w:t>
            </w:r>
          </w:p>
        </w:tc>
      </w:tr>
    </w:tbl>
    <w:p>
      <w:pPr>
        <w:spacing w:after="0"/>
      </w:pPr>
    </w:p>
    <w:p>
      <w:pPr>
        <w:pStyle w:val="Heading2"/>
      </w:pPr>
      <w:r>
        <w:t>完整语义要素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数量：明确的 4、6、8 等必须保留为对应英文基数词，不能泛化为 extra / multi / multiple。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主体：物种、实体、性别、年龄、体型与参与者角色不能被省略或新增。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状态：动作、方向、否定、程度和时态含义必须保留。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关系：in / on / with 等关系词及两端词汇必须出现在同一输出标签中。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长度：普通输出最多 4 个词；只有关系复合词可按必要宽度放宽，绝对上限 8。</w:t>
      </w:r>
    </w:p>
    <w:p>
      <w:pPr>
        <w:pStyle w:val="Heading2"/>
      </w:pPr>
      <w:r>
        <w:t>确定性保护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4139"/>
      </w:tblGrid>
      <w:tr>
        <w:trPr>
          <w:tblHeader w:val="true"/>
        </w:trPr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拒绝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精确数量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4_balls → four_testicles</w:t>
            </w:r>
          </w:p>
        </w:tc>
        <w:tc>
          <w:tcPr>
            <w:tcW w:type="dxa" w:w="4139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4_balls → extra_balls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anthro</w:t>
            </w:r>
          </w:p>
        </w:tc>
        <w:tc>
          <w:tcPr>
            <w:tcW w:type="dxa" w:w="3798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anthro → anthro</w:t>
            </w:r>
          </w:p>
        </w:tc>
        <w:tc>
          <w:tcPr>
            <w:tcW w:type="dxa" w:w="4139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anthro → furry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关系结构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knot_in_sheath → bulbus_glandis_in_penile_sheath</w:t>
            </w:r>
          </w:p>
        </w:tc>
        <w:tc>
          <w:tcPr>
            <w:tcW w:type="dxa" w:w="4139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bulbus_glandis_penile_sheath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no-op</w:t>
            </w:r>
          </w:p>
        </w:tc>
        <w:tc>
          <w:tcPr>
            <w:tcW w:type="dxa" w:w="3798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scratch → keep → scratch</w:t>
            </w:r>
          </w:p>
        </w:tc>
        <w:tc>
          <w:tcPr>
            <w:tcW w:type="dxa" w:w="4139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scratch → replace → scratch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不确定候选</w:t>
            </w:r>
          </w:p>
        </w:tc>
        <w:tc>
          <w:tcPr>
            <w:tcW w:type="dxa" w:w="3798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keep 原词</w:t>
            </w:r>
          </w:p>
        </w:tc>
        <w:tc>
          <w:tcPr>
            <w:tcW w:type="dxa" w:w="4139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使用相关但不等价的 Danbooru 标签</w:t>
            </w:r>
          </w:p>
        </w:tc>
      </w:tr>
    </w:tbl>
    <w:p>
      <w:pPr>
        <w:spacing w:after="0"/>
      </w:pPr>
    </w:p>
    <w:p>
      <w:pPr>
        <w:pStyle w:val="Heading2"/>
      </w:pPr>
      <w:r>
        <w:t>drop 的唯一来源</w:t>
      </w:r>
    </w:p>
    <w:p>
      <w:pPr>
        <w:spacing w:before="0" w:after="100" w:line="278" w:lineRule="auto"/>
      </w:pPr>
      <w:r>
        <w:rPr>
          <w:rFonts w:ascii="Microsoft YaHei" w:hAnsi="Microsoft YaHei" w:eastAsia="Microsoft YaHei"/>
          <w:b w:val="0"/>
          <w:color w:val="202426"/>
          <w:sz w:val="18"/>
        </w:rPr>
        <w:t>drop 只由 e621 标签类别决定：artist、contributor、meta、lore、invalid。general、species、character、copyright 等符合 post_count 门槛的类别不会被模型自行 drop。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6F0EC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1F6B56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1F6B56"/>
                <w:sz w:val="18"/>
              </w:rPr>
              <w:t>代码证据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策略校验见 builder_core.py:2210；策略版本 e621-semantic-v5 见 builder_core.py:39。发布后 category/drop 不一致计数为 0。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9"/>
        <w:gridCol w:w="9014"/>
      </w:tblGrid>
      <w:tr>
        <w:tc>
          <w:tcPr>
            <w:tcW w:type="dxa" w:w="5018"/>
            <w:shd w:fill="1F6B56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0"/>
              </w:rPr>
              <w:t>04</w:t>
            </w:r>
          </w:p>
        </w:tc>
        <w:tc>
          <w:tcPr>
            <w:tcW w:type="dxa" w:w="5018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Heading1"/>
              <w:spacing w:before="0" w:after="20" w:line="278" w:lineRule="auto"/>
            </w:pPr>
            <w:r>
              <w:rPr>
                <w:rFonts w:ascii="Microsoft YaHei" w:hAnsi="Microsoft YaHei" w:eastAsia="Microsoft YaHei"/>
                <w:b/>
                <w:color w:val="202426"/>
                <w:sz w:val="38"/>
              </w:rPr>
              <w:t>主词根传播边界</w:t>
            </w:r>
          </w:p>
          <w:p>
            <w:pPr>
              <w:spacing w:before="0" w:after="100" w:line="278" w:lineRule="auto"/>
            </w:pPr>
            <w:r>
              <w:rPr>
                <w:rFonts w:ascii="Microsoft YaHei" w:hAnsi="Microsoft YaHei" w:eastAsia="Microsoft YaHei"/>
                <w:b w:val="0"/>
                <w:color w:val="626A70"/>
                <w:sz w:val="17"/>
              </w:rPr>
              <w:t>来源关系与最终输出分层校验；不做全局字符串替换。</w:t>
            </w:r>
          </w:p>
        </w:tc>
      </w:tr>
    </w:tbl>
    <w:p>
      <w:pPr>
        <w:spacing w:after="0"/>
      </w:pPr>
    </w:p>
    <w:p>
      <w:pPr>
        <w:pStyle w:val="Heading2"/>
      </w:pPr>
      <w:r>
        <w:t>两层一致性规则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3685"/>
      </w:tblGrid>
      <w:tr>
        <w:trPr>
          <w:tblHeader w:val="true"/>
        </w:trPr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行为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来源侧 mandatory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implication 祖先链成立，且根词可在 source_tag 定位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所有 keep / replace 必须使用已接受词根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输出侧 conditional</w:t>
            </w:r>
          </w:p>
        </w:tc>
        <w:tc>
          <w:tcPr>
            <w:tcW w:type="dxa" w:w="3969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e621_semantic 输出使用 implication 祖先或 source_tag 精确旧词根</w:t>
            </w:r>
          </w:p>
        </w:tc>
        <w:tc>
          <w:tcPr>
            <w:tcW w:type="dxa" w:w="3685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该旧词根必须换成 required_vocabulary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无旧词根的释义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最终输出没有使用被约束的旧词根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不强行插入新词根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Danbooru 完整标签</w:t>
            </w:r>
          </w:p>
        </w:tc>
        <w:tc>
          <w:tcPr>
            <w:tcW w:type="dxa" w:w="3969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输出是经证明的 canonical 或 alias 整体</w:t>
            </w:r>
          </w:p>
        </w:tc>
        <w:tc>
          <w:tcPr>
            <w:tcW w:type="dxa" w:w="3685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按完整标签处理，不拆词重写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只有 token 重合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无 implication、无逐项审核关系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不传播；专名、固定短语与异义词保持原决策</w:t>
            </w:r>
          </w:p>
        </w:tc>
      </w:tr>
    </w:tbl>
    <w:p>
      <w:pPr>
        <w:spacing w:after="0"/>
      </w:pPr>
    </w:p>
    <w:p>
      <w:pPr>
        <w:pStyle w:val="Heading2"/>
      </w:pPr>
      <w:r>
        <w:t>输出侧正反例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175"/>
        <w:gridCol w:w="3005"/>
      </w:tblGrid>
      <w:tr>
        <w:trPr>
          <w:tblHeader w:val="true"/>
        </w:trPr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 / 候选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边界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backsack / balls_from_behind</w:t>
            </w:r>
          </w:p>
        </w:tc>
        <w:tc>
          <w:tcPr>
            <w:tcW w:type="dxa" w:w="3175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拒绝；改为 testicles_from_behind</w:t>
            </w:r>
          </w:p>
        </w:tc>
        <w:tc>
          <w:tcPr>
            <w:tcW w:type="dxa" w:w="3005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balls 是 implication 祖先，且输出显式使用旧词根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urine_on_balls / pee_on_balls</w:t>
            </w:r>
          </w:p>
        </w:tc>
        <w:tc>
          <w:tcPr>
            <w:tcW w:type="dxa" w:w="3175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拒绝；改为 pee_on_testicles</w:t>
            </w:r>
          </w:p>
        </w:tc>
        <w:tc>
          <w:tcPr>
            <w:tcW w:type="dxa" w:w="3005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balls 是 source_tag 的精确词元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backsack / deep_penetration</w:t>
            </w:r>
          </w:p>
        </w:tc>
        <w:tc>
          <w:tcPr>
            <w:tcW w:type="dxa" w:w="3175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条件词根不触发</w:t>
            </w:r>
          </w:p>
        </w:tc>
        <w:tc>
          <w:tcPr>
            <w:tcW w:type="dxa" w:w="3005"/>
            <w:vAlign w:val="center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释义未使用 balls；仍需通过其他无损语义校验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butt_plug / bat_penis</w:t>
            </w:r>
          </w:p>
        </w:tc>
        <w:tc>
          <w:tcPr>
            <w:tcW w:type="dxa" w:w="3175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保持完整标签</w:t>
            </w:r>
          </w:p>
        </w:tc>
        <w:tc>
          <w:tcPr>
            <w:tcW w:type="dxa" w:w="3005"/>
            <w:vAlign w:val="center"/>
            <w:shd w:fill="F7F8F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6"/>
              </w:rPr>
              <w:t>已证明的 Danbooru 整体标签不按 butt / bat 拆分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EEDB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9A6A19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9A6A19"/>
                <w:sz w:val="18"/>
              </w:rPr>
              <w:t>明确例外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knot_in_sheath 的 e621 Wiki 同时定义 knot 与 sheath 两端，因此保留 knot + sheath 的组合传播；关系词 in 必须保留。</w:t>
            </w:r>
          </w:p>
        </w:tc>
      </w:tr>
    </w:tbl>
    <w:p>
      <w:pPr>
        <w:spacing w:after="0"/>
      </w:pPr>
    </w:p>
    <w:p>
      <w:pPr>
        <w:spacing w:before="0" w:after="100" w:line="278" w:lineRule="auto"/>
      </w:pPr>
      <w:r>
        <w:rPr>
          <w:rFonts w:ascii="Microsoft YaHei" w:hAnsi="Microsoft YaHei" w:eastAsia="Microsoft YaHei"/>
          <w:b w:val="0"/>
          <w:color w:val="202426"/>
          <w:sz w:val="18"/>
        </w:rPr>
        <w:t>条件约束构造见 builder_core.py:1880，最终输出校验见 builder_core.py:2238；v4 implication 边界与 knot_in_sheath 例外仍保留。alias 继续继承 canonical 决策。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9"/>
        <w:gridCol w:w="9014"/>
      </w:tblGrid>
      <w:tr>
        <w:tc>
          <w:tcPr>
            <w:tcW w:type="dxa" w:w="5018"/>
            <w:shd w:fill="1F6B56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0"/>
              </w:rPr>
              <w:t>05</w:t>
            </w:r>
          </w:p>
        </w:tc>
        <w:tc>
          <w:tcPr>
            <w:tcW w:type="dxa" w:w="5018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Heading1"/>
              <w:spacing w:before="0" w:after="20" w:line="278" w:lineRule="auto"/>
            </w:pPr>
            <w:r>
              <w:rPr>
                <w:rFonts w:ascii="Microsoft YaHei" w:hAnsi="Microsoft YaHei" w:eastAsia="Microsoft YaHei"/>
                <w:b/>
                <w:color w:val="202426"/>
                <w:sz w:val="38"/>
              </w:rPr>
              <w:t>v5 输出词根修复</w:t>
            </w:r>
          </w:p>
          <w:p>
            <w:pPr>
              <w:spacing w:before="0" w:after="100" w:line="278" w:lineRule="auto"/>
            </w:pPr>
            <w:r>
              <w:rPr>
                <w:rFonts w:ascii="Microsoft YaHei" w:hAnsi="Microsoft YaHei" w:eastAsia="Microsoft YaHei"/>
                <w:b w:val="0"/>
                <w:color w:val="626A70"/>
                <w:sz w:val="17"/>
              </w:rPr>
              <w:t>从已发布 v4 复制状态，只改 7 个经本地证据确认的 canonical。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F7F8F6"/>
            <w:tcMar>
              <w:top w:w="150" w:type="dxa"/>
              <w:start w:w="90" w:type="dxa"/>
              <w:bottom w:w="125" w:type="dxa"/>
              <w:end w:w="90" w:type="dxa"/>
            </w:tcMar>
            <w:tcBorders>
              <w:top w:val="single" w:sz="16" w:color="1F6B56"/>
            </w:tcBorders>
          </w:tcPr>
          <w:p>
            <w:pPr>
              <w:spacing w:before="0" w:after="20" w:line="278" w:lineRule="auto"/>
              <w:jc w:val="center"/>
            </w:pPr>
            <w:r>
              <w:rPr>
                <w:rFonts w:ascii="Aptos Display" w:hAnsi="Aptos Display" w:eastAsia="Aptos Display"/>
                <w:b/>
                <w:color w:val="1F6B56"/>
                <w:sz w:val="30"/>
              </w:rPr>
              <w:t>7</w:t>
            </w:r>
          </w:p>
          <w:p>
            <w:pPr>
              <w:spacing w:before="0" w:after="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26A70"/>
                <w:sz w:val="14"/>
              </w:rPr>
              <w:t>canonical</w:t>
            </w:r>
          </w:p>
        </w:tc>
        <w:tc>
          <w:tcPr>
            <w:tcW w:type="dxa" w:w="2509"/>
            <w:shd w:fill="F7F8F6"/>
            <w:tcMar>
              <w:top w:w="150" w:type="dxa"/>
              <w:start w:w="90" w:type="dxa"/>
              <w:bottom w:w="125" w:type="dxa"/>
              <w:end w:w="90" w:type="dxa"/>
            </w:tcMar>
            <w:tcBorders>
              <w:top w:val="single" w:sz="16" w:color="356B8C"/>
            </w:tcBorders>
          </w:tcPr>
          <w:p>
            <w:pPr>
              <w:spacing w:before="0" w:after="20" w:line="278" w:lineRule="auto"/>
              <w:jc w:val="center"/>
            </w:pPr>
            <w:r>
              <w:rPr>
                <w:rFonts w:ascii="Aptos Display" w:hAnsi="Aptos Display" w:eastAsia="Aptos Display"/>
                <w:b/>
                <w:color w:val="356B8C"/>
                <w:sz w:val="30"/>
              </w:rPr>
              <w:t>2</w:t>
            </w:r>
          </w:p>
          <w:p>
            <w:pPr>
              <w:spacing w:before="0" w:after="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26A70"/>
                <w:sz w:val="14"/>
              </w:rPr>
              <w:t>alias inherited</w:t>
            </w:r>
          </w:p>
        </w:tc>
        <w:tc>
          <w:tcPr>
            <w:tcW w:type="dxa" w:w="2509"/>
            <w:shd w:fill="F7F8F6"/>
            <w:tcMar>
              <w:top w:w="150" w:type="dxa"/>
              <w:start w:w="90" w:type="dxa"/>
              <w:bottom w:w="125" w:type="dxa"/>
              <w:end w:w="90" w:type="dxa"/>
            </w:tcMar>
            <w:tcBorders>
              <w:top w:val="single" w:sz="16" w:color="B4473A"/>
            </w:tcBorders>
          </w:tcPr>
          <w:p>
            <w:pPr>
              <w:spacing w:before="0" w:after="20" w:line="278" w:lineRule="auto"/>
              <w:jc w:val="center"/>
            </w:pPr>
            <w:r>
              <w:rPr>
                <w:rFonts w:ascii="Aptos Display" w:hAnsi="Aptos Display" w:eastAsia="Aptos Display"/>
                <w:b/>
                <w:color w:val="B4473A"/>
                <w:sz w:val="30"/>
              </w:rPr>
              <w:t>0</w:t>
            </w:r>
          </w:p>
          <w:p>
            <w:pPr>
              <w:spacing w:before="0" w:after="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26A70"/>
                <w:sz w:val="14"/>
              </w:rPr>
              <w:t>policy failures</w:t>
            </w:r>
          </w:p>
        </w:tc>
        <w:tc>
          <w:tcPr>
            <w:tcW w:type="dxa" w:w="2509"/>
            <w:shd w:fill="F7F8F6"/>
            <w:tcMar>
              <w:top w:w="150" w:type="dxa"/>
              <w:start w:w="90" w:type="dxa"/>
              <w:bottom w:w="125" w:type="dxa"/>
              <w:end w:w="90" w:type="dxa"/>
            </w:tcMar>
            <w:tcBorders>
              <w:top w:val="single" w:sz="16" w:color="9A6A19"/>
            </w:tcBorders>
          </w:tcPr>
          <w:p>
            <w:pPr>
              <w:spacing w:before="0" w:after="20" w:line="278" w:lineRule="auto"/>
              <w:jc w:val="center"/>
            </w:pPr>
            <w:r>
              <w:rPr>
                <w:rFonts w:ascii="Aptos Display" w:hAnsi="Aptos Display" w:eastAsia="Aptos Display"/>
                <w:b/>
                <w:color w:val="9A6A19"/>
                <w:sz w:val="30"/>
              </w:rPr>
              <w:t>0</w:t>
            </w:r>
          </w:p>
          <w:p>
            <w:pPr>
              <w:spacing w:before="0" w:after="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26A70"/>
                <w:sz w:val="14"/>
              </w:rPr>
              <w:t>API calls</w:t>
            </w:r>
          </w:p>
        </w:tc>
      </w:tr>
    </w:tbl>
    <w:p>
      <w:pPr>
        <w:pStyle w:val="Heading2"/>
      </w:pPr>
      <w:r>
        <w:t>修正清单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2721"/>
        <w:gridCol w:w="2268"/>
      </w:tblGrid>
      <w:tr>
        <w:trPr>
          <w:tblHeader w:val="true"/>
        </w:trPr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source_tag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v4 输出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v5 输出</w:t>
            </w:r>
          </w:p>
        </w:tc>
        <w:tc>
          <w:tcPr>
            <w:tcW w:type="dxa" w:w="2509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本地证据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backsack</w:t>
            </w:r>
          </w:p>
        </w:tc>
        <w:tc>
          <w:tcPr>
            <w:tcW w:type="dxa" w:w="238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balls_from_behind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testicles_from_behind</w:t>
            </w:r>
          </w:p>
        </w:tc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Wiki + implication: balls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butt_bite</w:t>
            </w:r>
          </w:p>
        </w:tc>
        <w:tc>
          <w:tcPr>
            <w:tcW w:type="dxa" w:w="238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butt_biting</w:t>
            </w:r>
          </w:p>
        </w:tc>
        <w:tc>
          <w:tcPr>
            <w:tcW w:type="dxa" w:w="272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biting_ass</w:t>
            </w:r>
          </w:p>
        </w:tc>
        <w:tc>
          <w:tcPr>
            <w:tcW w:type="dxa" w:w="226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e621 alias: biting_ass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butt_slap</w:t>
            </w:r>
          </w:p>
        </w:tc>
        <w:tc>
          <w:tcPr>
            <w:tcW w:type="dxa" w:w="238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butt_slapping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ass_slapping</w:t>
            </w:r>
          </w:p>
        </w:tc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e621 alias: ass_slapping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electrode_on_balls</w:t>
            </w:r>
          </w:p>
        </w:tc>
        <w:tc>
          <w:tcPr>
            <w:tcW w:type="dxa" w:w="238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electrodes_on_balls</w:t>
            </w:r>
          </w:p>
        </w:tc>
        <w:tc>
          <w:tcPr>
            <w:tcW w:type="dxa" w:w="272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electrodes_on_testicles</w:t>
            </w:r>
          </w:p>
        </w:tc>
        <w:tc>
          <w:tcPr>
            <w:tcW w:type="dxa" w:w="226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tag + accepted balls root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urine_on_balls</w:t>
            </w:r>
          </w:p>
        </w:tc>
        <w:tc>
          <w:tcPr>
            <w:tcW w:type="dxa" w:w="238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pee_on_balls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pee_on_testicles</w:t>
            </w:r>
          </w:p>
        </w:tc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Wiki + urine implication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urine_on_butt</w:t>
            </w:r>
          </w:p>
        </w:tc>
        <w:tc>
          <w:tcPr>
            <w:tcW w:type="dxa" w:w="238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pee_on_butt</w:t>
            </w:r>
          </w:p>
        </w:tc>
        <w:tc>
          <w:tcPr>
            <w:tcW w:type="dxa" w:w="272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pee_on_ass</w:t>
            </w:r>
          </w:p>
        </w:tc>
        <w:tc>
          <w:tcPr>
            <w:tcW w:type="dxa" w:w="2268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e621 alias + implication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ass_in_face</w:t>
            </w:r>
          </w:p>
        </w:tc>
        <w:tc>
          <w:tcPr>
            <w:tcW w:type="dxa" w:w="238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replace: butt_in_face</w:t>
            </w:r>
          </w:p>
        </w:tc>
        <w:tc>
          <w:tcPr>
            <w:tcW w:type="dxa" w:w="272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keep: ass_in_face</w:t>
            </w:r>
          </w:p>
        </w:tc>
        <w:tc>
          <w:tcPr>
            <w:tcW w:type="dxa" w:w="22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清晰原词；禁止反向旧词根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8F0F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356B8C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356B8C"/>
                <w:sz w:val="18"/>
              </w:rPr>
              <w:t>alias 同步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back_sack 与 balls_from_back 均以 backsack 为 canonical，发布时自动继承 testicles_from_behind；不对 alias 再做独立语义判断。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6E9E6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B4473A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B4473A"/>
                <w:sz w:val="18"/>
              </w:rPr>
              <w:t>无外部调用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修复脚本只读取本地 SQLite 和已发布 v4 build；未调用 LLM、Gemini 兼容接口、e621 API 或 Danbooru API。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9"/>
        <w:gridCol w:w="9014"/>
      </w:tblGrid>
      <w:tr>
        <w:tc>
          <w:tcPr>
            <w:tcW w:type="dxa" w:w="5018"/>
            <w:shd w:fill="1F6B56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0"/>
              </w:rPr>
              <w:t>06</w:t>
            </w:r>
          </w:p>
        </w:tc>
        <w:tc>
          <w:tcPr>
            <w:tcW w:type="dxa" w:w="5018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Heading1"/>
              <w:spacing w:before="0" w:after="20" w:line="278" w:lineRule="auto"/>
            </w:pPr>
            <w:r>
              <w:rPr>
                <w:rFonts w:ascii="Microsoft YaHei" w:hAnsi="Microsoft YaHei" w:eastAsia="Microsoft YaHei"/>
                <w:b/>
                <w:color w:val="202426"/>
                <w:sz w:val="38"/>
              </w:rPr>
              <w:t>操作说明</w:t>
            </w:r>
          </w:p>
          <w:p>
            <w:pPr>
              <w:spacing w:before="0" w:after="100" w:line="278" w:lineRule="auto"/>
            </w:pPr>
            <w:r>
              <w:rPr>
                <w:rFonts w:ascii="Microsoft YaHei" w:hAnsi="Microsoft YaHei" w:eastAsia="Microsoft YaHei"/>
                <w:b w:val="0"/>
                <w:color w:val="626A70"/>
                <w:sz w:val="17"/>
              </w:rPr>
              <w:t>先 dry-run，再显式 apply；发布前后都应读取落盘结果复核。</w:t>
            </w:r>
          </w:p>
        </w:tc>
      </w:tr>
    </w:tbl>
    <w:p>
      <w:pPr>
        <w:spacing w:after="0"/>
      </w:pPr>
    </w:p>
    <w:p>
      <w:pPr>
        <w:pStyle w:val="Heading2"/>
      </w:pPr>
      <w:r>
        <w:t>环境</w:t>
      </w:r>
    </w:p>
    <w:p>
      <w:pPr>
        <w:pStyle w:val="ListBullet"/>
        <w:spacing w:before="0" w:after="5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工作目录：E:\Desktop\E621-Tag-Replacement-Index-Builder</w:t>
      </w:r>
    </w:p>
    <w:p>
      <w:pPr>
        <w:pStyle w:val="ListBullet"/>
        <w:spacing w:before="0" w:after="5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项目解释器：.\runtime\python\python.exe</w:t>
      </w:r>
    </w:p>
    <w:p>
      <w:pPr>
        <w:pStyle w:val="ListBullet"/>
        <w:spacing w:before="0" w:after="5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审计数据库：.\data\audit\audit.sqlite3</w:t>
      </w:r>
    </w:p>
    <w:p>
      <w:pPr>
        <w:pStyle w:val="ListBullet"/>
        <w:spacing w:before="0" w:after="5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输入 build 必须是已发布的 v4 构建 baeab5e76f90fc4d40e8。</w:t>
      </w:r>
    </w:p>
    <w:p>
      <w:pPr>
        <w:pStyle w:val="Heading2"/>
      </w:pPr>
      <w:r>
        <w:t>1 · 只模拟，不写入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0F2F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D8DDDA"/>
              <w:bottom w:val="single" w:sz="5" w:color="D8DDDA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color w:val="202426"/>
                <w:sz w:val="15"/>
              </w:rPr>
              <w:t>.\runtime\python\python.exe .\scripts\repair_output_root_consistency.py --source-build baeab5e76f90fc4d40e8</w:t>
            </w:r>
          </w:p>
        </w:tc>
      </w:tr>
    </w:tbl>
    <w:p>
      <w:pPr>
        <w:spacing w:after="0"/>
      </w:pPr>
    </w:p>
    <w:p>
      <w:pPr>
        <w:pStyle w:val="Heading2"/>
      </w:pPr>
      <w:r>
        <w:t>2 · 审核摘要后发布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0F2F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D8DDDA"/>
              <w:bottom w:val="single" w:sz="5" w:color="D8DDDA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color w:val="202426"/>
                <w:sz w:val="15"/>
              </w:rPr>
              <w:t>.\runtime\python\python.exe .\scripts\repair_output_root_consistency.py --source-build baeab5e76f90fc4d40e8 --apply</w:t>
            </w:r>
          </w:p>
        </w:tc>
      </w:tr>
    </w:tbl>
    <w:p>
      <w:pPr>
        <w:spacing w:after="0"/>
      </w:pPr>
    </w:p>
    <w:p>
      <w:pPr>
        <w:spacing w:before="0" w:after="100" w:line="278" w:lineRule="auto"/>
      </w:pPr>
      <w:r>
        <w:rPr>
          <w:rFonts w:ascii="Microsoft YaHei" w:hAnsi="Microsoft YaHei" w:eastAsia="Microsoft YaHei"/>
          <w:b w:val="0"/>
          <w:color w:val="202426"/>
          <w:sz w:val="18"/>
        </w:rPr>
        <w:t>dry-run 必须只列出 7 个 changed_entries 且 policy_failures 为 0。--apply 会创建 policy v5 build，复制 v4 状态、写入 7 个审核决策并运行全量策略审计；只有零失败时，publish_dictionary 才把 .csv.partial 原子替换为正式 CSV。</w:t>
      </w:r>
    </w:p>
    <w:p>
      <w:pPr>
        <w:pStyle w:val="Heading2"/>
      </w:pPr>
      <w:r>
        <w:t>3 · 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0F2F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D8DDDA"/>
              <w:bottom w:val="single" w:sz="5" w:color="D8DDDA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color w:val="202426"/>
                <w:sz w:val="15"/>
              </w:rPr>
              <w:t>.\runtime\python\python.exe -m unittest discover -s tests -p test_builder_core.py -v</w:t>
            </w:r>
          </w:p>
        </w:tc>
      </w:tr>
    </w:tbl>
    <w:p>
      <w:pPr>
        <w:spacing w:after="0"/>
      </w:pPr>
    </w:p>
    <w:p>
      <w:pPr>
        <w:pStyle w:val="Heading2"/>
      </w:pPr>
      <w:r>
        <w:t>4 · 校验哈希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0F2F1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D8DDDA"/>
              <w:bottom w:val="single" w:sz="5" w:color="D8DDDA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b w:val="0"/>
                <w:color w:val="202426"/>
                <w:sz w:val="15"/>
              </w:rPr>
              <w:t>Get-FileHash -Algorithm SHA256 .\data\output\e621_tag_replacement_index.csv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6E9E6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B4473A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B4473A"/>
                <w:sz w:val="18"/>
              </w:rPr>
              <w:t>不要做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不要把 API key 写进脚本、计划、日志或 Word；不要绕过 publish_dictionary 直接覆盖正式 CSV；不要把条件词根校验扩展成全局 token 或子字符串替换。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9"/>
        <w:gridCol w:w="9014"/>
      </w:tblGrid>
      <w:tr>
        <w:tc>
          <w:tcPr>
            <w:tcW w:type="dxa" w:w="5018"/>
            <w:shd w:fill="1F6B56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0"/>
              </w:rPr>
              <w:t>07</w:t>
            </w:r>
          </w:p>
        </w:tc>
        <w:tc>
          <w:tcPr>
            <w:tcW w:type="dxa" w:w="5018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Heading1"/>
              <w:spacing w:before="0" w:after="20" w:line="278" w:lineRule="auto"/>
            </w:pPr>
            <w:r>
              <w:rPr>
                <w:rFonts w:ascii="Microsoft YaHei" w:hAnsi="Microsoft YaHei" w:eastAsia="Microsoft YaHei"/>
                <w:b/>
                <w:color w:val="202426"/>
                <w:sz w:val="38"/>
              </w:rPr>
              <w:t>验收与审计</w:t>
            </w:r>
          </w:p>
          <w:p>
            <w:pPr>
              <w:spacing w:before="0" w:after="100" w:line="278" w:lineRule="auto"/>
            </w:pPr>
            <w:r>
              <w:rPr>
                <w:rFonts w:ascii="Microsoft YaHei" w:hAnsi="Microsoft YaHei" w:eastAsia="Microsoft YaHei"/>
                <w:b w:val="0"/>
                <w:color w:val="626A70"/>
                <w:sz w:val="17"/>
              </w:rPr>
              <w:t>以下值均从已发布 CSV 和 SQLite 重新读取。</w:t>
            </w:r>
          </w:p>
        </w:tc>
      </w:tr>
    </w:tbl>
    <w:p>
      <w:pPr>
        <w:spacing w:after="0"/>
      </w:pPr>
    </w:p>
    <w:p>
      <w:pPr>
        <w:pStyle w:val="Heading2"/>
      </w:pPr>
      <w:r>
        <w:t>关键案例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531"/>
        <w:gridCol w:w="4876"/>
      </w:tblGrid>
      <w:tr>
        <w:trPr>
          <w:tblHeader w:val="true"/>
        </w:trPr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source_tag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replacement_tags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balls</w:t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replace</w:t>
            </w:r>
          </w:p>
        </w:tc>
        <w:tc>
          <w:tcPr>
            <w:tcW w:type="dxa" w:w="4876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testicles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4_balls</w:t>
            </w:r>
          </w:p>
        </w:tc>
        <w:tc>
          <w:tcPr>
            <w:tcW w:type="dxa" w:w="153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replace</w:t>
            </w:r>
          </w:p>
        </w:tc>
        <w:tc>
          <w:tcPr>
            <w:tcW w:type="dxa" w:w="4876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four_testicles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backsack</w:t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replace</w:t>
            </w:r>
          </w:p>
        </w:tc>
        <w:tc>
          <w:tcPr>
            <w:tcW w:type="dxa" w:w="4876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testicles_from_behind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back_sack / balls_from_back</w:t>
            </w:r>
          </w:p>
        </w:tc>
        <w:tc>
          <w:tcPr>
            <w:tcW w:type="dxa" w:w="153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replace</w:t>
            </w:r>
          </w:p>
        </w:tc>
        <w:tc>
          <w:tcPr>
            <w:tcW w:type="dxa" w:w="4876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testicles_from_behind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anthro</w:t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keep</w:t>
            </w:r>
          </w:p>
        </w:tc>
        <w:tc>
          <w:tcPr>
            <w:tcW w:type="dxa" w:w="4876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anthro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knot_in_sheath</w:t>
            </w:r>
          </w:p>
        </w:tc>
        <w:tc>
          <w:tcPr>
            <w:tcW w:type="dxa" w:w="153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replace</w:t>
            </w:r>
          </w:p>
        </w:tc>
        <w:tc>
          <w:tcPr>
            <w:tcW w:type="dxa" w:w="4876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bulbus_glandis_in_penile_sheath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butt_plug</w:t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replace</w:t>
            </w:r>
          </w:p>
        </w:tc>
        <w:tc>
          <w:tcPr>
            <w:tcW w:type="dxa" w:w="4876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butt_plug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bat_penis</w:t>
            </w:r>
          </w:p>
        </w:tc>
        <w:tc>
          <w:tcPr>
            <w:tcW w:type="dxa" w:w="153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replace</w:t>
            </w:r>
          </w:p>
        </w:tc>
        <w:tc>
          <w:tcPr>
            <w:tcW w:type="dxa" w:w="4876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bat_penis</w:t>
            </w:r>
          </w:p>
        </w:tc>
      </w:tr>
    </w:tbl>
    <w:p>
      <w:pPr>
        <w:spacing w:after="0"/>
      </w:pPr>
    </w:p>
    <w:p>
      <w:pPr>
        <w:pStyle w:val="Heading2"/>
      </w:pPr>
      <w:r>
        <w:t>全量审计结果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3402"/>
      </w:tblGrid>
      <w:tr>
        <w:trPr>
          <w:tblHeader w:val="true"/>
        </w:trPr>
        <w:tc>
          <w:tcPr>
            <w:tcW w:type="dxa" w:w="5018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5018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build / canonical / retry</w:t>
            </w:r>
          </w:p>
        </w:tc>
        <w:tc>
          <w:tcPr>
            <w:tcW w:type="dxa" w:w="340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published / 49,070 / 0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alias / CSV 数据行</w:t>
            </w:r>
          </w:p>
        </w:tc>
        <w:tc>
          <w:tcPr>
            <w:tcW w:type="dxa" w:w="3402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37,852 / 86,922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全量策略失败（含 family / conditional / relation / count / anthro）</w:t>
            </w:r>
          </w:p>
        </w:tc>
        <w:tc>
          <w:tcPr>
            <w:tcW w:type="dxa" w:w="340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canonical no-op / category-drop mismatch</w:t>
            </w:r>
          </w:p>
        </w:tc>
        <w:tc>
          <w:tcPr>
            <w:tcW w:type="dxa" w:w="3402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0 / 0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canonical + alias 发布重算 mismatch</w:t>
            </w:r>
          </w:p>
        </w:tc>
        <w:tc>
          <w:tcPr>
            <w:tcW w:type="dxa" w:w="340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0 / 86,922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重复行 / post_count ≤ 100</w:t>
            </w:r>
          </w:p>
        </w:tc>
        <w:tc>
          <w:tcPr>
            <w:tcW w:type="dxa" w:w="3402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0 / 0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e621_semantic 输出仍含 balls、却无 testicles</w:t>
            </w:r>
          </w:p>
        </w:tc>
        <w:tc>
          <w:tcPr>
            <w:tcW w:type="dxa" w:w="340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5EEDB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9A6A19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9A6A19"/>
                <w:sz w:val="18"/>
              </w:rPr>
              <w:t>测试状态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49 项 unittest 中 48 项通过；唯一失败是既有分类器契约差异：测试期待字符串 canine，当前实现返回列表 [canine]，与替换索引及 CSV 发布无关。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9"/>
        <w:gridCol w:w="9014"/>
      </w:tblGrid>
      <w:tr>
        <w:tc>
          <w:tcPr>
            <w:tcW w:type="dxa" w:w="5018"/>
            <w:shd w:fill="1F6B56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0"/>
              </w:rPr>
              <w:t>08</w:t>
            </w:r>
          </w:p>
        </w:tc>
        <w:tc>
          <w:tcPr>
            <w:tcW w:type="dxa" w:w="5018"/>
            <w:tcMar>
              <w:top w:w="0" w:type="dxa"/>
              <w:start w:w="180" w:type="dxa"/>
              <w:bottom w:w="0" w:type="dxa"/>
              <w:end w:w="0" w:type="dxa"/>
            </w:tcMar>
          </w:tcPr>
          <w:p>
            <w:pPr>
              <w:pStyle w:val="Heading1"/>
              <w:spacing w:before="0" w:after="20" w:line="278" w:lineRule="auto"/>
            </w:pPr>
            <w:r>
              <w:rPr>
                <w:rFonts w:ascii="Microsoft YaHei" w:hAnsi="Microsoft YaHei" w:eastAsia="Microsoft YaHei"/>
                <w:b/>
                <w:color w:val="202426"/>
                <w:sz w:val="38"/>
              </w:rPr>
              <w:t>维护与故障排查</w:t>
            </w:r>
          </w:p>
          <w:p>
            <w:pPr>
              <w:spacing w:before="0" w:after="100" w:line="278" w:lineRule="auto"/>
            </w:pPr>
            <w:r>
              <w:rPr>
                <w:rFonts w:ascii="Microsoft YaHei" w:hAnsi="Microsoft YaHei" w:eastAsia="Microsoft YaHei"/>
                <w:b w:val="0"/>
                <w:color w:val="626A70"/>
                <w:sz w:val="17"/>
              </w:rPr>
              <w:t>策略变更必须生成新 build，并保留旧 build 作为可追溯基线。</w:t>
            </w:r>
          </w:p>
        </w:tc>
      </w:tr>
    </w:tbl>
    <w:p>
      <w:pPr>
        <w:spacing w:after="0"/>
      </w:pPr>
    </w:p>
    <w:p>
      <w:pPr>
        <w:pStyle w:val="Heading2"/>
      </w:pPr>
      <w:r>
        <w:t>何时需要重建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e621 官方快照发生变化，或 post_count 门槛调整。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Danbooru tags / aliases / Wiki 本地索引版本发生变化。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keep / replace / drop 边界、精确数量、anthro、关系、词族或输出侧条件词根策略发生变化。</w:t>
      </w:r>
    </w:p>
    <w:p>
      <w:pPr>
        <w:pStyle w:val="ListBullet"/>
        <w:spacing w:before="0" w:after="80" w:line="278" w:lineRule="auto"/>
        <w:ind w:left="255" w:hanging="142"/>
      </w:pPr>
      <w:r>
        <w:rPr>
          <w:rFonts w:ascii="Microsoft YaHei" w:hAnsi="Microsoft YaHei" w:eastAsia="Microsoft YaHei"/>
          <w:b w:val="0"/>
          <w:color w:val="202426"/>
          <w:sz w:val="17"/>
        </w:rPr>
        <w:t>新增经过人工审核的来源特例；必须同时补测试与文档证据。</w:t>
      </w:r>
    </w:p>
    <w:p>
      <w:pPr>
        <w:pStyle w:val="Heading2"/>
      </w:pPr>
      <w:r>
        <w:t>常见现象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061"/>
        <w:gridCol w:w="3685"/>
      </w:tblGrid>
      <w:tr>
        <w:trPr>
          <w:tblHeader w:val="true"/>
        </w:trPr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3345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alias 的 replace 输出等于 alias 输入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可接受；它继承 canonical action</w:t>
            </w:r>
          </w:p>
        </w:tc>
        <w:tc>
          <w:tcPr>
            <w:tcW w:type="dxa" w:w="368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不要改写为独立语义决策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某复合词未继承 atomic 根词</w:t>
            </w:r>
          </w:p>
        </w:tc>
        <w:tc>
          <w:tcPr>
            <w:tcW w:type="dxa" w:w="306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先查 implication 祖先链</w:t>
            </w:r>
          </w:p>
        </w:tc>
        <w:tc>
          <w:tcPr>
            <w:tcW w:type="dxa" w:w="368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无证明则 keep/历史基线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输出含 balls / butt 等旧词元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区分 e621_semantic 构造词与 Danbooru 整标签</w:t>
            </w:r>
          </w:p>
        </w:tc>
        <w:tc>
          <w:tcPr>
            <w:tcW w:type="dxa" w:w="368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构造词换新词根；整标签不拆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关系复合词超过 4 词</w:t>
            </w:r>
          </w:p>
        </w:tc>
        <w:tc>
          <w:tcPr>
            <w:tcW w:type="dxa" w:w="3061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可能是允许的动态预算</w:t>
            </w:r>
          </w:p>
        </w:tc>
        <w:tc>
          <w:tcPr>
            <w:tcW w:type="dxa" w:w="368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确认关系与两端都在同一标签，且 ≤8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build 有 retry</w:t>
            </w:r>
          </w:p>
        </w:tc>
        <w:tc>
          <w:tcPr>
            <w:tcW w:type="dxa" w:w="3061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不能发布</w:t>
            </w:r>
          </w:p>
        </w:tc>
        <w:tc>
          <w:tcPr>
            <w:tcW w:type="dxa" w:w="368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先用本地证据确定性处理；不足则保留待审</w:t>
            </w:r>
          </w:p>
        </w:tc>
      </w:tr>
    </w:tbl>
    <w:p>
      <w:pPr>
        <w:spacing w:after="0"/>
      </w:pPr>
    </w:p>
    <w:p>
      <w:pPr>
        <w:pStyle w:val="Heading2"/>
      </w:pPr>
      <w:r>
        <w:t>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953"/>
      </w:tblGrid>
      <w:tr>
        <w:trPr>
          <w:tblHeader w:val="true"/>
        </w:trPr>
        <w:tc>
          <w:tcPr>
            <w:tcW w:type="dxa" w:w="5018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5018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策略版本与 7 个审核决策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builder_core.py:39, 116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条件词根、全量审计与发布</w:t>
            </w:r>
          </w:p>
        </w:tc>
        <w:tc>
          <w:tcPr>
            <w:tcW w:type="dxa" w:w="5953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builder_core.py:1880, 2138, 2210, 3281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本地修复与审计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scripts/repair_output_root_consistency.py:121, 195, 241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规则回归测试</w:t>
            </w:r>
          </w:p>
        </w:tc>
        <w:tc>
          <w:tcPr>
            <w:tcW w:type="dxa" w:w="5953"/>
            <w:vAlign w:val="center"/>
            <w:shd w:fill="F7F8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tests/test_builder_core.py:304, 347, 376, 408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确认计划与结果</w:t>
            </w:r>
          </w:p>
        </w:tc>
        <w:tc>
          <w:tcPr>
            <w:tcW w:type="dxa" w:w="5953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4" w:color="D8DDDA"/>
            </w:tcBorders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5"/>
              </w:rPr>
              <w:t>SEMANTIC_REVIEW_PLAN.md</w:t>
            </w:r>
          </w:p>
        </w:tc>
      </w:tr>
    </w:tbl>
    <w:p>
      <w:pPr>
        <w:spacing w:after="0"/>
      </w:pPr>
    </w:p>
    <w:p>
      <w:pPr>
        <w:pStyle w:val="Heading2"/>
      </w:pPr>
      <w:r>
        <w:t>官方数据源</w:t>
      </w:r>
    </w:p>
    <w:p>
      <w:pPr>
        <w:spacing w:before="0" w:after="100" w:line="278" w:lineRule="auto"/>
      </w:pPr>
      <w:r>
        <w:rPr>
          <w:rFonts w:ascii="Microsoft YaHei" w:hAnsi="Microsoft YaHei" w:eastAsia="Microsoft YaHei"/>
          <w:b w:val="0"/>
          <w:color w:val="202426"/>
          <w:sz w:val="18"/>
        </w:rPr>
        <w:t>https://static1.e621.net/data/db_export/{tags,tag_aliases,tag_implications,wiki_pages}.csv.gz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6F0EC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start w:val="single" w:sz="18" w:color="1F6B56"/>
            </w:tcBorders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1F6B56"/>
                <w:sz w:val="18"/>
              </w:rPr>
              <w:t>维护原则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b w:val="0"/>
                <w:color w:val="202426"/>
                <w:sz w:val="17"/>
              </w:rPr>
              <w:t>先证明关系，再传播；先 dry-run 与全量审计，再发布；保留旧 build，不手工修改正式 CSV。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5017"/>
          <w:tcMar>
            <w:top w:w="45" w:type="dxa"/>
            <w:start w:w="0" w:type="dxa"/>
            <w:bottom w:w="0" w:type="dxa"/>
            <w:end w:w="0" w:type="dxa"/>
          </w:tcMar>
          <w:tcBorders>
            <w:top w:val="single" w:sz="5" w:color="D8DDDA"/>
          </w:tcBorders>
        </w:tcPr>
        <w:p>
          <w:r>
            <w:rPr>
              <w:rFonts w:ascii="Aptos" w:hAnsi="Aptos" w:eastAsia="Aptos"/>
              <w:b w:val="0"/>
              <w:color w:val="626A70"/>
              <w:sz w:val="14"/>
            </w:rPr>
            <w:t>Build 115b7e0bcc749e30e342</w:t>
          </w:r>
        </w:p>
      </w:tc>
      <w:tc>
        <w:tcPr>
          <w:tcW w:type="dxa" w:w="5017"/>
          <w:tcMar>
            <w:top w:w="45" w:type="dxa"/>
            <w:start w:w="0" w:type="dxa"/>
            <w:bottom w:w="0" w:type="dxa"/>
            <w:end w:w="0" w:type="dxa"/>
          </w:tcMar>
          <w:tcBorders>
            <w:top w:val="single" w:sz="5" w:color="D8DDDA"/>
          </w:tcBorders>
        </w:tcPr>
        <w:p>
          <w:pPr>
            <w:jc w:val="right"/>
          </w:pPr>
          <w:r>
            <w:rPr>
              <w:rFonts w:ascii="Aptos" w:hAnsi="Aptos" w:eastAsia="Aptos"/>
              <w:b w:val="0"/>
              <w:color w:val="626A70"/>
              <w:sz w:val="14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9" w:color="1F6B56"/>
          </w:tcBorders>
        </w:tcPr>
        <w:p>
          <w:pPr>
            <w:spacing w:after="40"/>
            <w:jc w:val="left"/>
          </w:pPr>
          <w:r>
            <w:rPr>
              <w:rFonts w:ascii="Aptos" w:hAnsi="Aptos" w:eastAsia="Aptos"/>
              <w:b/>
              <w:color w:val="1F6B56"/>
              <w:sz w:val="15"/>
            </w:rPr>
            <w:t>E621 TAG REPLACEMENT INDEX</w:t>
          </w:r>
        </w:p>
      </w:tc>
      <w:tc>
        <w:tcPr>
          <w:tcW w:type="dxa" w:w="5017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9" w:color="1F6B56"/>
          </w:tcBorders>
        </w:tcPr>
        <w:p>
          <w:pPr>
            <w:spacing w:after="40"/>
            <w:jc w:val="right"/>
          </w:pPr>
          <w:r>
            <w:rPr>
              <w:rFonts w:ascii="Aptos" w:hAnsi="Aptos" w:eastAsia="Aptos"/>
              <w:b/>
              <w:color w:val="626A70"/>
              <w:sz w:val="15"/>
            </w:rPr>
            <w:t>OPERATOR MANUAL · v5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color w:val="2024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42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56B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2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26A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E621 标签替换索引构建与修复说明书</dc:title>
  <dc:subject>e621 到 LLM 友好词汇的替换索引：边界、操作与审计</dc:subject>
  <dc:creator>E621 Tag Replacement Index Builder</dc:creator>
  <cp:keywords>e621, Danbooru, tag replacement, Animalora,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