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6.png" ContentType="image/png"/>
  <Override PartName="/word/media/rId121.png" ContentType="image/png"/>
  <Override PartName="/word/media/rId149.png" ContentType="image/png"/>
  <Override PartName="/word/media/rId132.png" ContentType="image/png"/>
  <Override PartName="/word/media/rId160.png" ContentType="image/png"/>
  <Override PartName="/word/media/rId155.png" ContentType="image/png"/>
  <Override PartName="/word/media/rId127.png" ContentType="image/png"/>
  <Override PartName="/word/media/rId139.png" ContentType="image/png"/>
  <Override PartName="/word/media/rId190.png" ContentType="image/png"/>
  <Override PartName="/word/media/rId178.png" ContentType="image/png"/>
  <Override PartName="/word/media/rId185.png" ContentType="image/png"/>
  <Override PartName="/word/media/rId169.png" ContentType="image/png"/>
  <Override PartName="/word/media/rId202.png" ContentType="image/png"/>
  <Override PartName="/word/media/rId198.png" ContentType="image/png"/>
  <Override PartName="/word/media/rId207.png" ContentType="image/png"/>
  <Override PartName="/word/media/rId223.png" ContentType="image/png"/>
  <Override PartName="/word/media/rId229.png" ContentType="image/png"/>
  <Override PartName="/word/media/rId216.png" ContentType="image/png"/>
  <Override PartName="/word/media/rId234.png" ContentType="image/png"/>
  <Override PartName="/word/media/rId244.png" ContentType="image/png"/>
  <Override PartName="/word/media/rId252.png" ContentType="image/png"/>
  <Override PartName="/word/media/rId263.png" ContentType="image/png"/>
  <Override PartName="/word/media/rId398.png" ContentType="image/png"/>
  <Override PartName="/word/media/rId402.png" ContentType="image/png"/>
  <Override PartName="/word/media/rId420.png" ContentType="image/png"/>
  <Override PartName="/word/media/rId425.png" ContentType="image/png"/>
  <Override PartName="/word/media/rId415.png" ContentType="image/png"/>
  <Override PartName="/word/media/rId411.png" ContentType="image/png"/>
  <Override PartName="/word/media/rId45.png" ContentType="image/png"/>
  <Override PartName="/word/media/rId21.png" ContentType="image/png"/>
  <Override PartName="/word/media/rId175.png" ContentType="image/png"/>
  <Override PartName="/word/media/rId102.png" ContentType="image/png"/>
  <Override PartName="/word/media/rId38.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Energy Transition Pathways for the Maldives</w:t>
      </w:r>
    </w:p>
    <w:p>
      <w:pPr>
        <w:pStyle w:val="Subtitle"/>
      </w:pPr>
      <w:r>
        <w:t xml:space="preserve">A Cost-Benefit Analysis of Seven Electricity Scenarios, 2026–2056</w:t>
      </w:r>
    </w:p>
    <w:p>
      <w:pPr>
        <w:pStyle w:val="Author"/>
      </w:pPr>
      <w:r>
        <w:t xml:space="preserve">Lucas Sempé</w:t>
      </w:r>
    </w:p>
    <w:p>
      <w:pPr>
        <w:pStyle w:val="Date"/>
      </w:pPr>
      <w:r>
        <w:t xml:space="preserve">February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3" w:name="about-this-report"/>
    <w:p>
      <w:pPr>
        <w:pStyle w:val="Heading1"/>
      </w:pPr>
      <w:r>
        <w:t xml:space="preserve">1. About This Report</w:t>
      </w:r>
    </w:p>
    <w:p>
      <w:pPr>
        <w:pStyle w:val="FirstParagraph"/>
      </w:pPr>
      <w:r>
        <w:t xml:space="preserve">About 93% of the Maldives’ electricity comes from imported diesel</w:t>
      </w:r>
      <w:r>
        <w:rPr>
          <w:rStyle w:val="FootnoteReference"/>
        </w:rPr>
        <w:footnoteReference w:id="20"/>
      </w:r>
      <w:r>
        <w:t xml:space="preserve">, exposing the country to fuel price volatility and generation costs at odds with its climate commitments. This report presents a</w:t>
      </w:r>
      <w:r>
        <w:t xml:space="preserve"> </w:t>
      </w:r>
      <w:r>
        <w:rPr>
          <w:b/>
          <w:bCs/>
        </w:rPr>
        <w:t xml:space="preserve">cost-benefit analysis (CBA)</w:t>
      </w:r>
      <w:r>
        <w:t xml:space="preserve"> </w:t>
      </w:r>
      <w:r>
        <w:t xml:space="preserve">of seven alternative electricity transition pathways over 30 years (2026 – 2056 ).</w:t>
      </w:r>
    </w:p>
    <w:p>
      <w:pPr>
        <w:pStyle w:val="BodyText"/>
      </w:pPr>
      <w:r>
        <w:t xml:space="preserve">The analysis builds on the Government of Maldives’</w:t>
      </w:r>
      <w:r>
        <w:t xml:space="preserve"> </w:t>
      </w:r>
      <w:r>
        <w:rPr>
          <w:b/>
          <w:bCs/>
        </w:rPr>
        <w:t xml:space="preserve">Road Map for the Energy Sector 2024–2033</w:t>
      </w:r>
      <w:r>
        <w:t xml:space="preserve"> </w:t>
      </w:r>
      <w:r>
        <w:t xml:space="preserve">(2024)</w:t>
      </w:r>
      <w:r>
        <w:t xml:space="preserve">, which targets 33% renewable energy by 2028 and identifies 490 MW of solar potential across 15 interventions ($1.3 billion estimated investment). The seven scenarios examined here provide the economic evidence base for prioritising among those interventions.</w:t>
      </w:r>
    </w:p>
    <w:bookmarkStart w:id="24" w:name="what-this-report-offers-policymakers"/>
    <w:p>
      <w:pPr>
        <w:pStyle w:val="Heading3"/>
      </w:pPr>
      <w:r>
        <w:t xml:space="preserve">What this report offers policymakers</w:t>
      </w:r>
    </w:p>
    <w:tbl>
      <w:tblPr>
        <w:tblStyle w:val="Table"/>
        <w:tblLook w:firstRow="0" w:lastRow="0" w:firstColumn="0" w:lastColumn="0" w:noHBand="0" w:noVBand="0" w:val="0000"/>
        <w:tblBorders>
          <w:left w:val="single" w:sz="24" w:space="0" w:color="0758E5"/>
        </w:tblBorders>
        <w:tblCellMar>
          <w:left w:w="0" w:type="dxa"/>
          <w:right w:w="0" w:type="dxa"/>
        </w:tblCellMar>
        <w:tblInd w:w="164" w:type="dxa"/>
      </w:tblPr>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22" name="Picture"/>
                  <a:graphic>
                    <a:graphicData uri="http://schemas.openxmlformats.org/drawingml/2006/picture">
                      <pic:pic>
                        <pic:nvPicPr>
                          <pic:cNvPr descr="C:\Users\LucasSempe\AppData\Local\Programs\Quarto\share\formats\docx\note.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All six alternative pathways yield present-value savings of</w:t>
            </w:r>
            <w:r>
              <w:t xml:space="preserve"> </w:t>
            </w:r>
            <w:r>
              <w:rPr>
                <w:b/>
                <w:bCs/>
              </w:rPr>
              <w:t xml:space="preserve">$10.3 billion to $13.8 billion</w:t>
            </w:r>
            <w:r>
              <w:t xml:space="preserve"> </w:t>
            </w:r>
            <w:r>
              <w:t xml:space="preserve">compared with continued diesel dependence.</w:t>
            </w:r>
          </w:p>
        </w:tc>
      </w:tr>
    </w:tbl>
    <w:p>
      <w:pPr>
        <w:pStyle w:val="Compact"/>
        <w:numPr>
          <w:ilvl w:val="0"/>
          <w:numId w:val="1001"/>
        </w:numPr>
      </w:pPr>
      <w:r>
        <w:rPr>
          <w:b/>
          <w:bCs/>
        </w:rPr>
        <w:t xml:space="preserve">Seven scenarios</w:t>
      </w:r>
      <w:r>
        <w:t xml:space="preserve"> </w:t>
      </w:r>
      <w:r>
        <w:t xml:space="preserve">— from an India submarine cable to islanded solar+battery systems, compared on a common framework</w:t>
      </w:r>
    </w:p>
    <w:p>
      <w:pPr>
        <w:pStyle w:val="Compact"/>
        <w:numPr>
          <w:ilvl w:val="0"/>
          <w:numId w:val="1001"/>
        </w:numPr>
      </w:pPr>
      <w:r>
        <w:rPr>
          <w:b/>
          <w:bCs/>
        </w:rPr>
        <w:t xml:space="preserve">Open, reproducible methods</w:t>
      </w:r>
      <w:r>
        <w:t xml:space="preserve"> </w:t>
      </w:r>
      <w:r>
        <w:t xml:space="preserve">— parameter sources documented; code available</w:t>
      </w:r>
    </w:p>
    <w:p>
      <w:pPr>
        <w:pStyle w:val="Compact"/>
        <w:numPr>
          <w:ilvl w:val="0"/>
          <w:numId w:val="1001"/>
        </w:numPr>
      </w:pPr>
      <w:r>
        <w:rPr>
          <w:b/>
          <w:bCs/>
        </w:rPr>
        <w:t xml:space="preserve">Policy-oriented outputs</w:t>
      </w:r>
      <w:r>
        <w:t xml:space="preserve"> </w:t>
      </w:r>
      <w:r>
        <w:t xml:space="preserve">— financing structures and distributional equity, with multi-criteria ranking to support decision-making</w:t>
      </w:r>
    </w:p>
    <w:p>
      <w:pPr>
        <w:pStyle w:val="Compact"/>
        <w:numPr>
          <w:ilvl w:val="0"/>
          <w:numId w:val="1001"/>
        </w:numPr>
      </w:pPr>
      <w:r>
        <w:rPr>
          <w:b/>
          <w:bCs/>
        </w:rPr>
        <w:t xml:space="preserve">Uncertainty analysis</w:t>
      </w:r>
      <w:r>
        <w:t xml:space="preserve"> </w:t>
      </w:r>
      <w:r>
        <w:t xml:space="preserve">— 48-parameter Monte Carlo, tornado diagrams, switching-value analysis</w:t>
      </w:r>
    </w:p>
    <w:bookmarkEnd w:id="24"/>
    <w:bookmarkStart w:id="26" w:name="how-to-read-this-report"/>
    <w:p>
      <w:pPr>
        <w:pStyle w:val="Heading3"/>
      </w:pPr>
      <w:r>
        <w:t xml:space="preserve">How to read this report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If you have…</w:t>
            </w:r>
          </w:p>
        </w:tc>
        <w:tc>
          <w:tcPr/>
          <w:p>
            <w:pPr>
              <w:pStyle w:val="Compact"/>
            </w:pPr>
            <w:r>
              <w:t xml:space="preserve">Read…</w:t>
            </w:r>
          </w:p>
        </w:tc>
      </w:tr>
      <w:tr>
        <w:tc>
          <w:tcPr/>
          <w:p>
            <w:pPr>
              <w:pStyle w:val="Compact"/>
            </w:pPr>
            <w:r>
              <w:rPr>
                <w:b/>
                <w:bCs/>
              </w:rPr>
              <w:t xml:space="preserve">5 minutes</w:t>
            </w:r>
          </w:p>
        </w:tc>
        <w:tc>
          <w:tcPr/>
          <w:p>
            <w:pPr>
              <w:pStyle w:val="Compact"/>
            </w:pPr>
            <w:hyperlink r:id="rId25">
              <w:r>
                <w:rPr>
                  <w:rStyle w:val="Hyperlink"/>
                </w:rPr>
                <w:t xml:space="preserve">Executive Summary</w:t>
              </w:r>
            </w:hyperlink>
            <w:r>
              <w:t xml:space="preserve"> </w:t>
            </w:r>
            <w:r>
              <w:t xml:space="preserve">— key findings on one page</w:t>
            </w:r>
          </w:p>
        </w:tc>
      </w:tr>
      <w:tr>
        <w:tc>
          <w:tcPr/>
          <w:p>
            <w:pPr>
              <w:pStyle w:val="Compact"/>
            </w:pPr>
            <w:r>
              <w:rPr>
                <w:b/>
                <w:bCs/>
              </w:rPr>
              <w:t xml:space="preserve">30 minutes</w:t>
            </w:r>
          </w:p>
        </w:tc>
        <w:tc>
          <w:tcPr/>
          <w:p>
            <w:pPr>
              <w:pStyle w:val="Compact"/>
            </w:pPr>
            <w:r>
              <w:t xml:space="preserve">Parts I–II — full context, scenarios, and results</w:t>
            </w:r>
          </w:p>
        </w:tc>
      </w:tr>
      <w:tr>
        <w:tc>
          <w:tcPr/>
          <w:p>
            <w:pPr>
              <w:pStyle w:val="Compact"/>
            </w:pPr>
            <w:r>
              <w:rPr>
                <w:b/>
                <w:bCs/>
              </w:rPr>
              <w:t xml:space="preserve">2 hours</w:t>
            </w:r>
          </w:p>
        </w:tc>
        <w:tc>
          <w:tcPr/>
          <w:p>
            <w:pPr>
              <w:pStyle w:val="Compact"/>
            </w:pPr>
            <w:r>
              <w:t xml:space="preserve">The complete report including policy chapters</w:t>
            </w:r>
          </w:p>
        </w:tc>
      </w:tr>
      <w:tr>
        <w:tc>
          <w:tcPr/>
          <w:p>
            <w:pPr>
              <w:pStyle w:val="Compact"/>
            </w:pPr>
            <w:r>
              <w:rPr>
                <w:b/>
                <w:bCs/>
              </w:rPr>
              <w:t xml:space="preserve">Technical review</w:t>
            </w:r>
          </w:p>
        </w:tc>
        <w:tc>
          <w:tcPr/>
          <w:p>
            <w:pPr>
              <w:pStyle w:val="Compact"/>
            </w:pPr>
            <w:r>
              <w:t xml:space="preserve">Appendices A–C for full methodology, parameters, and supplementary analyses</w:t>
            </w:r>
          </w:p>
        </w:tc>
      </w:tr>
    </w:tbl>
    <w:bookmarkEnd w:id="26"/>
    <w:bookmarkStart w:id="31" w:name="headline-comparison"/>
    <w:p>
      <w:pPr>
        <w:pStyle w:val="Heading3"/>
      </w:pPr>
      <w:r>
        <w:t xml:space="preserve">Headline comparison</w:t>
      </w:r>
    </w:p>
    <w:tbl>
      <w:tblPr>
        <w:tblStyle w:val="Table"/>
        <w:tblW w:type="pct" w:w="5000"/>
        <w:tblLayout w:type="fixed"/>
        <w:tblLook w:firstRow="0" w:lastRow="0" w:firstColumn="0" w:lastColumn="0" w:noHBand="0" w:noVBand="0" w:val="0000"/>
      </w:tblPr>
      <w:tblGrid>
        <w:gridCol w:w="7920"/>
      </w:tblGrid>
      <w:tr>
        <w:tc>
          <w:tcPr/>
          <w:bookmarkStart w:id="30" w:name="fig-headline"/>
          <w:p>
            <w:pPr>
              <w:pStyle w:val="Compact"/>
              <w:jc w:val="center"/>
            </w:pPr>
            <w:r>
              <w:drawing>
                <wp:inline>
                  <wp:extent cx="5334000" cy="3810000"/>
                  <wp:effectExtent b="0" l="0" r="0" t="0"/>
                  <wp:docPr descr="" title="" id="28" name="Picture"/>
                  <a:graphic>
                    <a:graphicData uri="http://schemas.openxmlformats.org/drawingml/2006/picture">
                      <pic:pic>
                        <pic:nvPicPr>
                          <pic:cNvPr descr="index_files/figure-docx/fig-headline-output-1.png" id="29" name="Picture"/>
                          <pic:cNvPicPr>
                            <a:picLocks noChangeArrowheads="1" noChangeAspect="1"/>
                          </pic:cNvPicPr>
                        </pic:nvPicPr>
                        <pic:blipFill>
                          <a:blip r:embed="rId27"/>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1.1: Net present value of savings versus BAU (diesel) for each transition scenario, 2026–2056, 6% discount rate.</w:t>
            </w:r>
          </w:p>
          <w:bookmarkEnd w:id="30"/>
        </w:tc>
      </w:tr>
    </w:tbl>
    <w:bookmarkEnd w:id="31"/>
    <w:bookmarkStart w:id="32" w:name="statement-on-the-use-of-ai-tools"/>
    <w:p>
      <w:pPr>
        <w:pStyle w:val="Heading3"/>
      </w:pPr>
      <w:r>
        <w:t xml:space="preserve">Statement on the use of AI tools</w:t>
      </w:r>
    </w:p>
    <w:p>
      <w:pPr>
        <w:pStyle w:val="FirstParagraph"/>
      </w:pPr>
      <w:r>
        <w:t xml:space="preserve">This report was prepared with the aid of large language models (GitHub Copilot, powered by Claude, Anthropic). LLMs assisted with code development, literature search, and early drafting. All analytical decisions, parameter choices, and policy interpretations were made by the author. The author reviewed and revised all text and takes full responsibility for the final content.</w:t>
      </w:r>
    </w:p>
    <w:bookmarkEnd w:id="32"/>
    <w:bookmarkEnd w:id="33"/>
    <w:bookmarkStart w:id="60" w:name="executive-summary"/>
    <w:p>
      <w:pPr>
        <w:pStyle w:val="Heading1"/>
      </w:pPr>
      <w:r>
        <w:t xml:space="preserve">2. Executive Summary</w:t>
      </w:r>
    </w:p>
    <w:tbl>
      <w:tblPr>
        <w:tblStyle w:val="Table"/>
        <w:tblLook w:firstRow="0" w:lastRow="0" w:firstColumn="0" w:lastColumn="0" w:noHBand="0" w:noVBand="0" w:val="0000"/>
        <w:tblBorders>
          <w:left w:val="single" w:sz="24" w:space="0" w:color="0758E5"/>
        </w:tblBorders>
        <w:tblCellMar>
          <w:left w:w="0" w:type="dxa"/>
          <w:right w:w="0" w:type="dxa"/>
        </w:tblCellMar>
        <w:tblInd w:w="164" w:type="dxa"/>
      </w:tblPr>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34" name="Picture"/>
                  <a:graphic>
                    <a:graphicData uri="http://schemas.openxmlformats.org/drawingml/2006/picture">
                      <pic:pic>
                        <pic:nvPicPr>
                          <pic:cNvPr descr="C:\Users\LucasSempe\AppData\Local\Programs\Quarto\share\formats\docx\note.png" id="35"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The Bottom Line</w:t>
            </w:r>
          </w:p>
          <w:p>
            <w:pPr>
              <w:pStyle w:val="BodyText"/>
            </w:pPr>
            <w:pPr>
              <w:spacing w:before="16" w:after="16"/>
            </w:pPr>
            <w:r>
              <w:rPr>
                <w:b/>
                <w:bCs/>
              </w:rPr>
              <w:t xml:space="preserve">Every transition pathway saves the Maldives billions compared to continuing with diesel.</w:t>
            </w:r>
            <w:r>
              <w:t xml:space="preserve"> </w:t>
            </w:r>
            <w:r>
              <w:t xml:space="preserve">The analysis compares seven scenarios over 30 years (2026 – 2056) at a 6% social discount rate. All six alternatives to diesel yield benefit-cost ratios above 2.9 ×, with the best-performing options saving over $14 billion in present value.</w:t>
            </w:r>
          </w:p>
        </w:tc>
      </w:tr>
    </w:tbl>
    <w:bookmarkStart w:id="37" w:name="the-challenge"/>
    <w:p>
      <w:pPr>
        <w:pStyle w:val="Heading2"/>
      </w:pPr>
      <w:r>
        <w:t xml:space="preserve">2.1 The Challenge</w:t>
      </w:r>
    </w:p>
    <w:p>
      <w:pPr>
        <w:pStyle w:val="FirstParagraph"/>
      </w:pPr>
      <w:r>
        <w:t xml:space="preserve">About 93% of the Maldives’ electricity comes from imported diesel, burned in isolated generators on each of 187 inhabited islands</w:t>
      </w:r>
      <w:r>
        <w:rPr>
          <w:rStyle w:val="FootnoteReference"/>
        </w:rPr>
        <w:footnoteReference w:id="36"/>
      </w:r>
      <w:r>
        <w:t xml:space="preserve"> </w:t>
      </w:r>
      <w:r>
        <w:t xml:space="preserve">with no interconnected grid. Island-level generators cannot capture scale economies, and generation costs are high. Current demand is 1,200 GWh/year, projected to reach 5,186 GWh by 2056 under business-as-usual growth.</w:t>
      </w:r>
    </w:p>
    <w:p>
      <w:pPr>
        <w:pStyle w:val="BodyText"/>
      </w:pPr>
      <w:r>
        <w:t xml:space="preserve">Continued diesel dependence would cost</w:t>
      </w:r>
      <w:r>
        <w:t xml:space="preserve"> </w:t>
      </w:r>
      <w:r>
        <w:rPr>
          <w:b/>
          <w:bCs/>
        </w:rPr>
        <w:t xml:space="preserve">$14.4 billion in fuel alone</w:t>
      </w:r>
      <w:r>
        <w:t xml:space="preserve"> </w:t>
      </w:r>
      <w:r>
        <w:t xml:space="preserve">(present value) over thirty years, leaving the budget exposed to oil price swings. Business-as-usual would also produce</w:t>
      </w:r>
      <w:r>
        <w:t xml:space="preserve"> </w:t>
      </w:r>
      <w:r>
        <w:rPr>
          <w:b/>
          <w:bCs/>
        </w:rPr>
        <w:t xml:space="preserve">65.8 million tonnes of CO₂</w:t>
      </w:r>
      <w:r>
        <w:t xml:space="preserve"> </w:t>
      </w:r>
      <w:r>
        <w:t xml:space="preserve">— difficult to reconcile with the country’s climate commitments.</w:t>
      </w:r>
    </w:p>
    <w:p>
      <w:pPr>
        <w:pStyle w:val="BodyText"/>
      </w:pPr>
      <w:r>
        <w:t xml:space="preserve">The results here are consistent with the Government’s</w:t>
      </w:r>
      <w:r>
        <w:t xml:space="preserve"> </w:t>
      </w:r>
      <w:r>
        <w:rPr>
          <w:b/>
          <w:bCs/>
        </w:rPr>
        <w:t xml:space="preserve">Road Map for the Energy Sector 2024–2033</w:t>
      </w:r>
      <w:r>
        <w:t xml:space="preserve"> </w:t>
      </w:r>
      <w:r>
        <w:t xml:space="preserve">(2024)</w:t>
      </w:r>
      <w:r>
        <w:t xml:space="preserve">, which targets 33% renewable energy by 2028 and calls for $1.3 billion in investment. This CBA provides supporting economic evidence: every alternative pathway examined yields net present value savings of $10.3 to $13.8 billion relative to diesel.</w:t>
      </w:r>
    </w:p>
    <w:bookmarkEnd w:id="37"/>
    <w:bookmarkStart w:id="42" w:name="seven-pathways-compared"/>
    <w:p>
      <w:pPr>
        <w:pStyle w:val="Heading2"/>
      </w:pPr>
      <w:r>
        <w:t xml:space="preserve">2.2 Seven Pathways Compared</w:t>
      </w:r>
    </w:p>
    <w:p>
      <w:pPr>
        <w:pStyle w:val="FirstParagraph"/>
      </w:pPr>
      <w:r>
        <w:t xml:space="preserve">Seven scenarios, from diesel status quo to various RE and interconnection strategies.</w:t>
      </w:r>
      <w:r>
        <w:t xml:space="preserve"> </w:t>
      </w:r>
      <w:hyperlink w:anchor="fig-executive-comparison">
        <w:r>
          <w:rPr>
            <w:rStyle w:val="Hyperlink"/>
          </w:rPr>
          <w:t xml:space="preserve">Figure 2.1</w:t>
        </w:r>
      </w:hyperlink>
      <w:r>
        <w:t xml:space="preserve"> </w:t>
      </w:r>
      <w:r>
        <w:t xml:space="preserve">compares total costs and LCOE alongside emissions and RE share.</w:t>
      </w:r>
    </w:p>
    <w:tbl>
      <w:tblPr>
        <w:tblStyle w:val="Table"/>
        <w:tblW w:type="pct" w:w="5000"/>
        <w:tblLayout w:type="fixed"/>
        <w:tblLook w:firstRow="0" w:lastRow="0" w:firstColumn="0" w:lastColumn="0" w:noHBand="0" w:noVBand="0" w:val="0000"/>
      </w:tblPr>
      <w:tblGrid>
        <w:gridCol w:w="7920"/>
      </w:tblGrid>
      <w:tr>
        <w:tc>
          <w:tcPr/>
          <w:bookmarkStart w:id="41" w:name="fig-executive-comparison"/>
          <w:p>
            <w:pPr>
              <w:pStyle w:val="Compact"/>
              <w:jc w:val="center"/>
            </w:pPr>
            <w:r>
              <w:drawing>
                <wp:inline>
                  <wp:extent cx="5334000" cy="3810000"/>
                  <wp:effectExtent b="0" l="0" r="0" t="0"/>
                  <wp:docPr descr="" title="" id="39" name="Picture"/>
                  <a:graphic>
                    <a:graphicData uri="http://schemas.openxmlformats.org/drawingml/2006/picture">
                      <pic:pic>
                        <pic:nvPicPr>
                          <pic:cNvPr descr="executive-summary_files/figure-docx/fig-executive-comparison-output-1.png" id="40" name="Picture"/>
                          <pic:cNvPicPr>
                            <a:picLocks noChangeArrowheads="1" noChangeAspect="1"/>
                          </pic:cNvPicPr>
                        </pic:nvPicPr>
                        <pic:blipFill>
                          <a:blip r:embed="rId38"/>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2.1: Comparison of seven energy scenarios across four key metrics. All alternative scenarios outperform diesel BAU.</w:t>
            </w:r>
          </w:p>
          <w:bookmarkEnd w:id="41"/>
        </w:tc>
      </w:tr>
    </w:tbl>
    <w:p>
      <w:pPr>
        <w:pStyle w:val="BodyText"/>
      </w:pPr>
      <w:r>
        <w:rPr>
          <w:b/>
          <w:bCs/>
        </w:rPr>
        <w:t xml:space="preserve">Costs:</w:t>
      </w:r>
      <w:r>
        <w:t xml:space="preserve"> </w:t>
      </w:r>
      <w:r>
        <w:t xml:space="preserve">Every alternative beats diesel — avoided fuel outweighs upfront capital.</w:t>
      </w:r>
      <w:r>
        <w:t xml:space="preserve"> </w:t>
      </w:r>
      <w:r>
        <w:rPr>
          <w:b/>
          <w:bCs/>
        </w:rPr>
        <w:t xml:space="preserve">LCOE:</w:t>
      </w:r>
      <w:r>
        <w:t xml:space="preserve"> </w:t>
      </w:r>
      <w:r>
        <w:t xml:space="preserve">Solar scenarios deliver power at ~half the diesel cost.</w:t>
      </w:r>
      <w:r>
        <w:t xml:space="preserve"> </w:t>
      </w:r>
      <w:r>
        <w:rPr>
          <w:b/>
          <w:bCs/>
        </w:rPr>
        <w:t xml:space="preserve">Emissions:</w:t>
      </w:r>
      <w:r>
        <w:t xml:space="preserve"> </w:t>
      </w:r>
      <w:r>
        <w:t xml:space="preserve">50–80% lifetime CO₂ reduction.</w:t>
      </w:r>
      <w:r>
        <w:t xml:space="preserve"> </w:t>
      </w:r>
      <w:r>
        <w:rPr>
          <w:b/>
          <w:bCs/>
        </w:rPr>
        <w:t xml:space="preserve">RE share:</w:t>
      </w:r>
      <w:r>
        <w:t xml:space="preserve"> </w:t>
      </w:r>
      <w:r>
        <w:t xml:space="preserve">50% to &gt;95% by 2056.</w:t>
      </w:r>
    </w:p>
    <w:bookmarkEnd w:id="42"/>
    <w:bookmarkStart w:id="44" w:name="the-ranking"/>
    <w:p>
      <w:pPr>
        <w:pStyle w:val="Heading2"/>
      </w:pPr>
      <w:r>
        <w:t xml:space="preserve">2.3 The Ranking</w:t>
      </w:r>
    </w:p>
    <w:p>
      <w:pPr>
        <w:pStyle w:val="FirstParagraph"/>
      </w:pPr>
      <w:r>
        <w:t xml:space="preserve">Ranked by NPV savings versus diesel:</w:t>
      </w:r>
    </w:p>
    <w:tbl>
      <w:tblPr>
        <w:tblStyle w:val="Table"/>
        <w:tblW w:type="pct" w:w="5000"/>
        <w:tblLayout w:type="fixed"/>
        <w:tblLook w:firstRow="0" w:lastRow="0" w:firstColumn="0" w:lastColumn="0" w:noHBand="0" w:noVBand="0" w:val="0000"/>
      </w:tblPr>
      <w:tblGrid>
        <w:gridCol w:w="7920"/>
      </w:tblGrid>
      <w:tr>
        <w:tc>
          <w:tcPr/>
          <w:bookmarkStart w:id="43" w:name="tbl-ranking"/>
          <w:p>
            <w:pPr>
              <w:jc w:val="center"/>
            </w:pPr>
            <w:pPr>
              <w:jc w:val="start"/>
              <w:spacing w:before="200"/>
              <w:pStyle w:val="ImageCaption"/>
            </w:pPr>
            <w:r>
              <w:t xml:space="preserve">Table 2.1: Scenario comparison: key metrics ranked by NPV savings versus BAU.</w:t>
            </w:r>
          </w:p>
          <w:tbl>
            <w:tblPr>
              <w:tblStyle w:val="Table"/>
              <w:tblW w:type="pct" w:w="5000"/>
              <w:tblLayout w:type="fixed"/>
              <w:tblLook w:firstRow="1" w:lastRow="0" w:firstColumn="0" w:lastColumn="0" w:noHBand="0" w:noVBand="0" w:val="0020"/>
            </w:tblPr>
            <w:tblGrid>
              <w:gridCol w:w="669"/>
              <w:gridCol w:w="1282"/>
              <w:gridCol w:w="892"/>
              <w:gridCol w:w="1115"/>
              <w:gridCol w:w="390"/>
              <w:gridCol w:w="613"/>
              <w:gridCol w:w="892"/>
              <w:gridCol w:w="1171"/>
              <w:gridCol w:w="892"/>
            </w:tblGrid>
            <w:tr>
              <w:trPr>
                <w:tblHeader w:val="on"/>
              </w:trPr>
              <w:tc>
                <w:tcPr/>
                <w:p>
                  <w:pPr>
                    <w:pStyle w:val="Compact"/>
                    <w:jc w:val="left"/>
                    <w:jc w:val="center"/>
                  </w:pPr>
                  <w:r>
                    <w:t xml:space="preserve">Scenario</w:t>
                  </w:r>
                </w:p>
              </w:tc>
              <w:tc>
                <w:tcPr/>
                <w:p>
                  <w:pPr>
                    <w:pStyle w:val="Compact"/>
                    <w:jc w:val="left"/>
                    <w:jc w:val="center"/>
                  </w:pPr>
                  <w:r>
                    <w:t xml:space="preserve">PV Total Costs (</w:t>
                  </w:r>
                  <m:oMath>
                    <m:r>
                      <m:t>B</m:t>
                    </m:r>
                    <m:r>
                      <m:rPr>
                        <m:sty m:val="p"/>
                      </m:rPr>
                      <m:t>)</m:t>
                    </m:r>
                    <m:r>
                      <m:rPr>
                        <m:sty m:val="p"/>
                      </m:rPr>
                      <m:t>|</m:t>
                    </m:r>
                    <m:r>
                      <m:t>L</m:t>
                    </m:r>
                    <m:r>
                      <m:t>C</m:t>
                    </m:r>
                    <m:r>
                      <m:t>O</m:t>
                    </m:r>
                    <m:r>
                      <m:t>E</m:t>
                    </m:r>
                    <m:r>
                      <m:rPr>
                        <m:sty m:val="p"/>
                      </m:rPr>
                      <m:t>(</m:t>
                    </m:r>
                  </m:oMath>
                  <w:r>
                    <w:t xml:space="preserve">/kWh)</w:t>
                  </w:r>
                </w:p>
              </w:tc>
              <w:tc>
                <w:tcPr/>
                <w:p>
                  <w:pPr>
                    <w:pStyle w:val="Compact"/>
                    <w:jc w:val="left"/>
                    <w:jc w:val="center"/>
                  </w:pPr>
                  <w:r>
                    <w:t xml:space="preserve">NPV Savings ($B)</w:t>
                  </w:r>
                </w:p>
              </w:tc>
              <w:tc>
                <w:tcPr/>
                <w:p>
                  <w:pPr>
                    <w:pStyle w:val="Compact"/>
                    <w:jc w:val="left"/>
                    <w:jc w:val="center"/>
                  </w:pPr>
                  <w:r>
                    <w:t xml:space="preserve">BCR</w:t>
                  </w:r>
                </w:p>
              </w:tc>
              <w:tc>
                <w:tcPr/>
                <w:p>
                  <w:pPr>
                    <w:pStyle w:val="Compact"/>
                    <w:jc w:val="left"/>
                    <w:jc w:val="center"/>
                  </w:pPr>
                  <w:r>
                    <w:t xml:space="preserve">IRR (%)</w:t>
                  </w:r>
                </w:p>
              </w:tc>
              <w:tc>
                <w:tcPr/>
                <w:p>
                  <w:pPr>
                    <w:pStyle w:val="Compact"/>
                    <w:jc w:val="left"/>
                    <w:jc w:val="center"/>
                  </w:pPr>
                  <w:r>
                    <w:t xml:space="preserve">Payback (yr)</w:t>
                  </w:r>
                </w:p>
              </w:tc>
              <w:tc>
                <w:tcPr/>
                <w:p>
                  <w:pPr>
                    <w:pStyle w:val="Compact"/>
                    <w:jc w:val="right"/>
                    <w:jc w:val="center"/>
                  </w:pPr>
                  <w:r>
                    <w:t xml:space="preserve">Emissions (MtCO₂)</w:t>
                  </w:r>
                </w:p>
              </w:tc>
              <w:tc>
                <w:tcPr/>
                <w:p>
                  <w:pPr>
                    <w:pStyle w:val="Compact"/>
                    <w:jc w:val="right"/>
                    <w:jc w:val="center"/>
                  </w:pPr>
                  <w:r>
                    <w:t xml:space="preserve">Final RE (%)</w:t>
                  </w:r>
                </w:p>
              </w:tc>
              <w:tc>
                <w:tcPr/>
                <w:p>
                  <w:pPr>
                    <w:pStyle w:val="Compact"/>
                  </w:pPr>
                </w:p>
              </w:tc>
            </w:tr>
            <w:tr>
              <w:tc>
                <w:tcPr/>
                <w:p>
                  <w:pPr>
                    <w:pStyle w:val="Compact"/>
                    <w:jc w:val="left"/>
                    <w:jc w:val="center"/>
                  </w:pPr>
                  <w:r>
                    <w:t xml:space="preserve">S6 MR</w:t>
                  </w:r>
                </w:p>
              </w:tc>
              <w:tc>
                <w:tcPr/>
                <w:p>
                  <w:pPr>
                    <w:pStyle w:val="Compact"/>
                    <w:jc w:val="left"/>
                    <w:jc w:val="center"/>
                  </w:pPr>
                  <w:r>
                    <w:t xml:space="preserve">$7.3</w:t>
                  </w:r>
                </w:p>
              </w:tc>
              <w:tc>
                <w:tcPr/>
                <w:p>
                  <w:pPr>
                    <w:pStyle w:val="Compact"/>
                    <w:jc w:val="left"/>
                    <w:jc w:val="center"/>
                  </w:pPr>
                  <w:r>
                    <w:t xml:space="preserve">$0.234</w:t>
                  </w:r>
                </w:p>
              </w:tc>
              <w:tc>
                <w:tcPr/>
                <w:p>
                  <w:pPr>
                    <w:pStyle w:val="Compact"/>
                    <w:jc w:val="left"/>
                    <w:jc w:val="center"/>
                  </w:pPr>
                  <w:r>
                    <w:t xml:space="preserve">$13.8</w:t>
                  </w:r>
                </w:p>
              </w:tc>
              <w:tc>
                <w:tcPr/>
                <w:p>
                  <w:pPr>
                    <w:pStyle w:val="Compact"/>
                    <w:jc w:val="left"/>
                    <w:jc w:val="center"/>
                  </w:pPr>
                  <w:r>
                    <w:t xml:space="preserve">9.1×</w:t>
                  </w:r>
                </w:p>
              </w:tc>
              <w:tc>
                <w:tcPr/>
                <w:p>
                  <w:pPr>
                    <w:pStyle w:val="Compact"/>
                    <w:jc w:val="left"/>
                    <w:jc w:val="center"/>
                  </w:pPr>
                  <w:r>
                    <w:t xml:space="preserve">36.5%</w:t>
                  </w:r>
                </w:p>
              </w:tc>
              <w:tc>
                <w:tcPr/>
                <w:p>
                  <w:pPr>
                    <w:pStyle w:val="Compact"/>
                    <w:jc w:val="right"/>
                    <w:jc w:val="center"/>
                  </w:pPr>
                  <w:r>
                    <w:t xml:space="preserve">7</w:t>
                  </w:r>
                </w:p>
              </w:tc>
              <w:tc>
                <w:tcPr/>
                <w:p>
                  <w:pPr>
                    <w:pStyle w:val="Compact"/>
                    <w:jc w:val="right"/>
                    <w:jc w:val="center"/>
                  </w:pPr>
                  <w:r>
                    <w:t xml:space="preserve">21.7</w:t>
                  </w:r>
                </w:p>
              </w:tc>
              <w:tc>
                <w:tcPr/>
                <w:p>
                  <w:pPr>
                    <w:pStyle w:val="Compact"/>
                    <w:jc w:val="left"/>
                    <w:jc w:val="center"/>
                  </w:pPr>
                  <w:r>
                    <w:t xml:space="preserve">64%</w:t>
                  </w:r>
                </w:p>
              </w:tc>
            </w:tr>
            <w:tr>
              <w:tc>
                <w:tcPr/>
                <w:p>
                  <w:pPr>
                    <w:pStyle w:val="Compact"/>
                    <w:jc w:val="left"/>
                    <w:jc w:val="center"/>
                  </w:pPr>
                  <w:r>
                    <w:t xml:space="preserve">S7 LNG</w:t>
                  </w:r>
                </w:p>
              </w:tc>
              <w:tc>
                <w:tcPr/>
                <w:p>
                  <w:pPr>
                    <w:pStyle w:val="Compact"/>
                    <w:jc w:val="left"/>
                    <w:jc w:val="center"/>
                  </w:pPr>
                  <w:r>
                    <w:t xml:space="preserve">$7.2</w:t>
                  </w:r>
                </w:p>
              </w:tc>
              <w:tc>
                <w:tcPr/>
                <w:p>
                  <w:pPr>
                    <w:pStyle w:val="Compact"/>
                    <w:jc w:val="left"/>
                    <w:jc w:val="center"/>
                  </w:pPr>
                  <w:r>
                    <w:t xml:space="preserve">$0.200</w:t>
                  </w:r>
                </w:p>
              </w:tc>
              <w:tc>
                <w:tcPr/>
                <w:p>
                  <w:pPr>
                    <w:pStyle w:val="Compact"/>
                    <w:jc w:val="left"/>
                    <w:jc w:val="center"/>
                  </w:pPr>
                  <w:r>
                    <w:t xml:space="preserve">$13.3</w:t>
                  </w:r>
                </w:p>
              </w:tc>
              <w:tc>
                <w:tcPr/>
                <w:p>
                  <w:pPr>
                    <w:pStyle w:val="Compact"/>
                    <w:jc w:val="left"/>
                    <w:jc w:val="center"/>
                  </w:pPr>
                  <w:r>
                    <w:t xml:space="preserve">11.5×</w:t>
                  </w:r>
                </w:p>
              </w:tc>
              <w:tc>
                <w:tcPr/>
                <w:p>
                  <w:pPr>
                    <w:pStyle w:val="Compact"/>
                    <w:jc w:val="left"/>
                    <w:jc w:val="center"/>
                  </w:pPr>
                  <w:r>
                    <w:t xml:space="preserve">44.2%</w:t>
                  </w:r>
                </w:p>
              </w:tc>
              <w:tc>
                <w:tcPr/>
                <w:p>
                  <w:pPr>
                    <w:pStyle w:val="Compact"/>
                    <w:jc w:val="right"/>
                    <w:jc w:val="center"/>
                  </w:pPr>
                  <w:r>
                    <w:t xml:space="preserve">6</w:t>
                  </w:r>
                </w:p>
              </w:tc>
              <w:tc>
                <w:tcPr/>
                <w:p>
                  <w:pPr>
                    <w:pStyle w:val="Compact"/>
                    <w:jc w:val="right"/>
                    <w:jc w:val="center"/>
                  </w:pPr>
                  <w:r>
                    <w:t xml:space="preserve">30</w:t>
                  </w:r>
                </w:p>
              </w:tc>
              <w:tc>
                <w:tcPr/>
                <w:p>
                  <w:pPr>
                    <w:pStyle w:val="Compact"/>
                    <w:jc w:val="left"/>
                    <w:jc w:val="center"/>
                  </w:pPr>
                  <w:r>
                    <w:t xml:space="preserve">47%</w:t>
                  </w:r>
                </w:p>
              </w:tc>
            </w:tr>
            <w:tr>
              <w:tc>
                <w:tcPr/>
                <w:p>
                  <w:pPr>
                    <w:pStyle w:val="Compact"/>
                    <w:jc w:val="left"/>
                    <w:jc w:val="center"/>
                  </w:pPr>
                  <w:r>
                    <w:t xml:space="preserve">S5 NS</w:t>
                  </w:r>
                </w:p>
              </w:tc>
              <w:tc>
                <w:tcPr/>
                <w:p>
                  <w:pPr>
                    <w:pStyle w:val="Compact"/>
                    <w:jc w:val="left"/>
                    <w:jc w:val="center"/>
                  </w:pPr>
                  <w:r>
                    <w:t xml:space="preserve">$8.3</w:t>
                  </w:r>
                </w:p>
              </w:tc>
              <w:tc>
                <w:tcPr/>
                <w:p>
                  <w:pPr>
                    <w:pStyle w:val="Compact"/>
                    <w:jc w:val="left"/>
                    <w:jc w:val="center"/>
                  </w:pPr>
                  <w:r>
                    <w:t xml:space="preserve">$0.263</w:t>
                  </w:r>
                </w:p>
              </w:tc>
              <w:tc>
                <w:tcPr/>
                <w:p>
                  <w:pPr>
                    <w:pStyle w:val="Compact"/>
                    <w:jc w:val="left"/>
                    <w:jc w:val="center"/>
                  </w:pPr>
                  <w:r>
                    <w:t xml:space="preserve">$12.0</w:t>
                  </w:r>
                </w:p>
              </w:tc>
              <w:tc>
                <w:tcPr/>
                <w:p>
                  <w:pPr>
                    <w:pStyle w:val="Compact"/>
                    <w:jc w:val="left"/>
                    <w:jc w:val="center"/>
                  </w:pPr>
                  <w:r>
                    <w:t xml:space="preserve">11.0×</w:t>
                  </w:r>
                </w:p>
              </w:tc>
              <w:tc>
                <w:tcPr/>
                <w:p>
                  <w:pPr>
                    <w:pStyle w:val="Compact"/>
                    <w:jc w:val="left"/>
                    <w:jc w:val="center"/>
                  </w:pPr>
                  <w:r>
                    <w:t xml:space="preserve">37.6%</w:t>
                  </w:r>
                </w:p>
              </w:tc>
              <w:tc>
                <w:tcPr/>
                <w:p>
                  <w:pPr>
                    <w:pStyle w:val="Compact"/>
                    <w:jc w:val="right"/>
                    <w:jc w:val="center"/>
                  </w:pPr>
                  <w:r>
                    <w:t xml:space="preserve">7</w:t>
                  </w:r>
                </w:p>
              </w:tc>
              <w:tc>
                <w:tcPr/>
                <w:p>
                  <w:pPr>
                    <w:pStyle w:val="Compact"/>
                    <w:jc w:val="right"/>
                    <w:jc w:val="center"/>
                  </w:pPr>
                  <w:r>
                    <w:t xml:space="preserve">28.9</w:t>
                  </w:r>
                </w:p>
              </w:tc>
              <w:tc>
                <w:tcPr/>
                <w:p>
                  <w:pPr>
                    <w:pStyle w:val="Compact"/>
                    <w:jc w:val="left"/>
                    <w:jc w:val="center"/>
                  </w:pPr>
                  <w:r>
                    <w:t xml:space="preserve">54%</w:t>
                  </w:r>
                </w:p>
              </w:tc>
            </w:tr>
            <w:tr>
              <w:tc>
                <w:tcPr/>
                <w:p>
                  <w:pPr>
                    <w:pStyle w:val="Compact"/>
                    <w:jc w:val="left"/>
                    <w:jc w:val="center"/>
                  </w:pPr>
                  <w:r>
                    <w:t xml:space="preserve">S3 NG</w:t>
                  </w:r>
                </w:p>
              </w:tc>
              <w:tc>
                <w:tcPr/>
                <w:p>
                  <w:pPr>
                    <w:pStyle w:val="Compact"/>
                    <w:jc w:val="left"/>
                    <w:jc w:val="center"/>
                  </w:pPr>
                  <w:r>
                    <w:t xml:space="preserve">$8.6</w:t>
                  </w:r>
                </w:p>
              </w:tc>
              <w:tc>
                <w:tcPr/>
                <w:p>
                  <w:pPr>
                    <w:pStyle w:val="Compact"/>
                    <w:jc w:val="left"/>
                    <w:jc w:val="center"/>
                  </w:pPr>
                  <w:r>
                    <w:t xml:space="preserve">$0.273</w:t>
                  </w:r>
                </w:p>
              </w:tc>
              <w:tc>
                <w:tcPr/>
                <w:p>
                  <w:pPr>
                    <w:pStyle w:val="Compact"/>
                    <w:jc w:val="left"/>
                    <w:jc w:val="center"/>
                  </w:pPr>
                  <w:r>
                    <w:t xml:space="preserve">$11.3</w:t>
                  </w:r>
                </w:p>
              </w:tc>
              <w:tc>
                <w:tcPr/>
                <w:p>
                  <w:pPr>
                    <w:pStyle w:val="Compact"/>
                    <w:jc w:val="left"/>
                    <w:jc w:val="center"/>
                  </w:pPr>
                  <w:r>
                    <w:t xml:space="preserve">12.4×</w:t>
                  </w:r>
                </w:p>
              </w:tc>
              <w:tc>
                <w:tcPr/>
                <w:p>
                  <w:pPr>
                    <w:pStyle w:val="Compact"/>
                    <w:jc w:val="left"/>
                    <w:jc w:val="center"/>
                  </w:pPr>
                  <w:r>
                    <w:t xml:space="preserve">38.7%</w:t>
                  </w:r>
                </w:p>
              </w:tc>
              <w:tc>
                <w:tcPr/>
                <w:p>
                  <w:pPr>
                    <w:pStyle w:val="Compact"/>
                    <w:jc w:val="right"/>
                    <w:jc w:val="center"/>
                  </w:pPr>
                  <w:r>
                    <w:t xml:space="preserve">6</w:t>
                  </w:r>
                </w:p>
              </w:tc>
              <w:tc>
                <w:tcPr/>
                <w:p>
                  <w:pPr>
                    <w:pStyle w:val="Compact"/>
                    <w:jc w:val="right"/>
                    <w:jc w:val="center"/>
                  </w:pPr>
                  <w:r>
                    <w:t xml:space="preserve">31.4</w:t>
                  </w:r>
                </w:p>
              </w:tc>
              <w:tc>
                <w:tcPr/>
                <w:p>
                  <w:pPr>
                    <w:pStyle w:val="Compact"/>
                    <w:jc w:val="left"/>
                    <w:jc w:val="center"/>
                  </w:pPr>
                  <w:r>
                    <w:t xml:space="preserve">51%</w:t>
                  </w:r>
                </w:p>
              </w:tc>
            </w:tr>
            <w:tr>
              <w:tc>
                <w:tcPr/>
                <w:p>
                  <w:pPr>
                    <w:pStyle w:val="Compact"/>
                    <w:jc w:val="left"/>
                    <w:jc w:val="center"/>
                  </w:pPr>
                  <w:r>
                    <w:t xml:space="preserve">S2 FI</w:t>
                  </w:r>
                </w:p>
              </w:tc>
              <w:tc>
                <w:tcPr/>
                <w:p>
                  <w:pPr>
                    <w:pStyle w:val="Compact"/>
                    <w:jc w:val="left"/>
                    <w:jc w:val="center"/>
                  </w:pPr>
                  <w:r>
                    <w:t xml:space="preserve">$9.0</w:t>
                  </w:r>
                </w:p>
              </w:tc>
              <w:tc>
                <w:tcPr/>
                <w:p>
                  <w:pPr>
                    <w:pStyle w:val="Compact"/>
                    <w:jc w:val="left"/>
                    <w:jc w:val="center"/>
                  </w:pPr>
                  <w:r>
                    <w:t xml:space="preserve">$0.204</w:t>
                  </w:r>
                </w:p>
              </w:tc>
              <w:tc>
                <w:tcPr/>
                <w:p>
                  <w:pPr>
                    <w:pStyle w:val="Compact"/>
                    <w:jc w:val="left"/>
                    <w:jc w:val="center"/>
                  </w:pPr>
                  <w:r>
                    <w:t xml:space="preserve">$10.3</w:t>
                  </w:r>
                </w:p>
              </w:tc>
              <w:tc>
                <w:tcPr/>
                <w:p>
                  <w:pPr>
                    <w:pStyle w:val="Compact"/>
                    <w:jc w:val="left"/>
                    <w:jc w:val="center"/>
                  </w:pPr>
                  <w:r>
                    <w:t xml:space="preserve">2.9×</w:t>
                  </w:r>
                </w:p>
              </w:tc>
              <w:tc>
                <w:tcPr/>
                <w:p>
                  <w:pPr>
                    <w:pStyle w:val="Compact"/>
                    <w:jc w:val="left"/>
                    <w:jc w:val="center"/>
                  </w:pPr>
                  <w:r>
                    <w:t xml:space="preserve">17.0%</w:t>
                  </w:r>
                </w:p>
              </w:tc>
              <w:tc>
                <w:tcPr/>
                <w:p>
                  <w:pPr>
                    <w:pStyle w:val="Compact"/>
                    <w:jc w:val="right"/>
                    <w:jc w:val="center"/>
                  </w:pPr>
                  <w:r>
                    <w:t xml:space="preserve">13</w:t>
                  </w:r>
                </w:p>
              </w:tc>
              <w:tc>
                <w:tcPr/>
                <w:p>
                  <w:pPr>
                    <w:pStyle w:val="Compact"/>
                    <w:jc w:val="right"/>
                    <w:jc w:val="center"/>
                  </w:pPr>
                  <w:r>
                    <w:t xml:space="preserve">46</w:t>
                  </w:r>
                </w:p>
              </w:tc>
              <w:tc>
                <w:tcPr/>
                <w:p>
                  <w:pPr>
                    <w:pStyle w:val="Compact"/>
                    <w:jc w:val="left"/>
                    <w:jc w:val="center"/>
                  </w:pPr>
                  <w:r>
                    <w:t xml:space="preserve">11%</w:t>
                  </w:r>
                </w:p>
              </w:tc>
            </w:tr>
            <w:tr>
              <w:tc>
                <w:tcPr/>
                <w:p>
                  <w:pPr>
                    <w:pStyle w:val="Compact"/>
                    <w:jc w:val="left"/>
                    <w:jc w:val="center"/>
                  </w:pPr>
                  <w:r>
                    <w:t xml:space="preserve">S4 IG</w:t>
                  </w:r>
                </w:p>
              </w:tc>
              <w:tc>
                <w:tcPr/>
                <w:p>
                  <w:pPr>
                    <w:pStyle w:val="Compact"/>
                    <w:jc w:val="left"/>
                    <w:jc w:val="center"/>
                  </w:pPr>
                  <w:r>
                    <w:t xml:space="preserve">$9.6</w:t>
                  </w:r>
                </w:p>
              </w:tc>
              <w:tc>
                <w:tcPr/>
                <w:p>
                  <w:pPr>
                    <w:pStyle w:val="Compact"/>
                    <w:jc w:val="left"/>
                    <w:jc w:val="center"/>
                  </w:pPr>
                  <w:r>
                    <w:t xml:space="preserve">$0.304</w:t>
                  </w:r>
                </w:p>
              </w:tc>
              <w:tc>
                <w:tcPr/>
                <w:p>
                  <w:pPr>
                    <w:pStyle w:val="Compact"/>
                    <w:jc w:val="left"/>
                    <w:jc w:val="center"/>
                  </w:pPr>
                  <w:r>
                    <w:t xml:space="preserve">$10.3</w:t>
                  </w:r>
                </w:p>
              </w:tc>
              <w:tc>
                <w:tcPr/>
                <w:p>
                  <w:pPr>
                    <w:pStyle w:val="Compact"/>
                    <w:jc w:val="left"/>
                    <w:jc w:val="center"/>
                  </w:pPr>
                  <w:r>
                    <w:t xml:space="preserve">8.4×</w:t>
                  </w:r>
                </w:p>
              </w:tc>
              <w:tc>
                <w:tcPr/>
                <w:p>
                  <w:pPr>
                    <w:pStyle w:val="Compact"/>
                    <w:jc w:val="left"/>
                    <w:jc w:val="center"/>
                  </w:pPr>
                  <w:r>
                    <w:t xml:space="preserve">29.4%</w:t>
                  </w:r>
                </w:p>
              </w:tc>
              <w:tc>
                <w:tcPr/>
                <w:p>
                  <w:pPr>
                    <w:pStyle w:val="Compact"/>
                    <w:jc w:val="right"/>
                    <w:jc w:val="center"/>
                  </w:pPr>
                  <w:r>
                    <w:t xml:space="preserve">8</w:t>
                  </w:r>
                </w:p>
              </w:tc>
              <w:tc>
                <w:tcPr/>
                <w:p>
                  <w:pPr>
                    <w:pStyle w:val="Compact"/>
                    <w:jc w:val="right"/>
                    <w:jc w:val="center"/>
                  </w:pPr>
                  <w:r>
                    <w:t xml:space="preserve">31.5</w:t>
                  </w:r>
                </w:p>
              </w:tc>
              <w:tc>
                <w:tcPr/>
                <w:p>
                  <w:pPr>
                    <w:pStyle w:val="Compact"/>
                    <w:jc w:val="left"/>
                    <w:jc w:val="center"/>
                  </w:pPr>
                  <w:r>
                    <w:t xml:space="preserve">51%</w:t>
                  </w:r>
                </w:p>
              </w:tc>
            </w:tr>
          </w:tbl>
          <w:bookmarkEnd w:id="43"/>
          <w:p/>
        </w:tc>
      </w:tr>
    </w:tbl>
    <w:p>
      <w:pPr>
        <w:pStyle w:val="BodyText"/>
      </w:pPr>
      <w:r>
        <w:t xml:space="preserve">BCRs range from 2.9 to 12.4× — well above breakeven. Higher RE shares correlate with larger lifetime savings because zero-marginal-cost solar displaces fuel. LNG offers faster near-term returns (higher IRR) despite lower RE penetration, reflecting a trade-off between long-run optimality and implementation speed.</w:t>
      </w:r>
    </w:p>
    <w:bookmarkEnd w:id="44"/>
    <w:bookmarkStart w:id="55" w:name="key-findings"/>
    <w:p>
      <w:pPr>
        <w:pStyle w:val="Heading2"/>
      </w:pPr>
      <w:r>
        <w:t xml:space="preserve">2.4 Key Findings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C:\Users\LucasSempe\AppData\Local\Programs\Quarto\share\formats\docx\important.png" id="47"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margin is wide, not narrow</w:t>
            </w:r>
          </w:p>
        </w:tc>
      </w:tr>
      <w:tr>
        <w:trPr>
          <w:cantSplit/>
        </w:trPr>
        <w:tc>
          <w:tcPr>
            <w:tcMar>
              <w:top w:w="108" w:type="dxa"/>
              <w:bottom w:w="108" w:type="dxa"/>
            </w:tcMar>
          </w:tcPr>
          <w:p>
            <w:pPr>
              <w:pStyle w:val="BodyText"/>
            </w:pPr>
            <w:pPr>
              <w:spacing w:before="16" w:after="16"/>
            </w:pPr>
            <w:r>
              <w:t xml:space="preserve">Even the</w:t>
            </w:r>
            <w:r>
              <w:t xml:space="preserve"> </w:t>
            </w:r>
            <w:r>
              <w:rPr>
                <w:i/>
                <w:iCs/>
              </w:rPr>
              <w:t xml:space="preserve">least</w:t>
            </w:r>
            <w:r>
              <w:t xml:space="preserve"> </w:t>
            </w:r>
            <w:r>
              <w:t xml:space="preserve">advantageous alternative (S4 IG) saves</w:t>
            </w:r>
            <w:r>
              <w:t xml:space="preserve"> </w:t>
            </w:r>
            <w:r>
              <w:rPr>
                <w:b/>
                <w:bCs/>
              </w:rPr>
              <w:t xml:space="preserve">$10.3B</w:t>
            </w:r>
            <w:r>
              <w:t xml:space="preserve"> </w:t>
            </w:r>
            <w:r>
              <w:t xml:space="preserve">versus diesel. The</w:t>
            </w:r>
            <w:r>
              <w:t xml:space="preserve"> </w:t>
            </w:r>
            <w:r>
              <w:rPr>
                <w:i/>
                <w:iCs/>
              </w:rPr>
              <w:t xml:space="preserve">best</w:t>
            </w:r>
            <w:r>
              <w:t xml:space="preserve"> </w:t>
            </w:r>
            <w:r>
              <w:t xml:space="preserve">(S6 MR) saves</w:t>
            </w:r>
            <w:r>
              <w:t xml:space="preserve"> </w:t>
            </w:r>
            <w:r>
              <w:rPr>
                <w:b/>
                <w:bCs/>
              </w:rPr>
              <w:t xml:space="preserve">$13.8B</w:t>
            </w:r>
            <w:r>
              <w:t xml:space="preserve">. These margins hold under wide parameter variation (see</w:t>
            </w:r>
            <w:r>
              <w:t xml:space="preserve"> </w:t>
            </w:r>
            <w:hyperlink w:anchor="sec-sensitivity">
              <w:r>
                <w:rPr>
                  <w:rStyle w:val="Hyperlink"/>
                </w:rPr>
                <w:t xml:space="preserve">Chapter 7</w:t>
              </w:r>
            </w:hyperlink>
            <w:r>
              <w:t xml:space="preserve">).</w:t>
            </w:r>
          </w:p>
        </w:tc>
      </w:tr>
    </w:tbl>
    <w:p>
      <w:pPr>
        <w:pStyle w:val="BodyText"/>
      </w:pPr>
      <w:r>
        <w:t xml:space="preserve"> </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C:\Users\LucasSempe\AppData\Local\Programs\Quarto\share\formats\docx\important.png" id="49"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Solar+battery already undercuts diesel</w:t>
            </w:r>
          </w:p>
        </w:tc>
      </w:tr>
      <w:tr>
        <w:trPr>
          <w:cantSplit/>
        </w:trPr>
        <w:tc>
          <w:tcPr>
            <w:tcMar>
              <w:top w:w="108" w:type="dxa"/>
              <w:bottom w:w="108" w:type="dxa"/>
            </w:tcMar>
          </w:tcPr>
          <w:p>
            <w:pPr>
              <w:pStyle w:val="BodyText"/>
            </w:pPr>
            <w:pPr>
              <w:spacing w:before="16" w:after="16"/>
            </w:pPr>
            <w:r>
              <w:t xml:space="preserve">Domestic solar+battery systems achieve an LCOE of</w:t>
            </w:r>
            <w:r>
              <w:t xml:space="preserve"> </w:t>
            </w:r>
            <w:r>
              <w:rPr>
                <w:b/>
                <w:bCs/>
              </w:rPr>
              <w:t xml:space="preserve">$0.273/kWh</w:t>
            </w:r>
            <w:r>
              <w:t xml:space="preserve"> </w:t>
            </w:r>
            <w:r>
              <w:t xml:space="preserve">versus diesel’s</w:t>
            </w:r>
            <w:r>
              <w:t xml:space="preserve"> </w:t>
            </w:r>
            <w:r>
              <w:rPr>
                <w:b/>
                <w:bCs/>
              </w:rPr>
              <w:t xml:space="preserve">$0.437/kWh</w:t>
            </w:r>
            <w:r>
              <w:t xml:space="preserve"> </w:t>
            </w:r>
            <w:r>
              <w:t xml:space="preserve">— a 38% reduction. Battery costs continue falling at a Wright’s Law learning rate of 18%</w:t>
            </w:r>
            <w:r>
              <w:rPr>
                <w:rStyle w:val="FootnoteReference"/>
              </w:rPr>
              <w:footnoteReference w:id="50"/>
            </w:r>
            <w:r>
              <w:t xml:space="preserve">, widening the gap further.</w:t>
            </w:r>
          </w:p>
        </w:tc>
      </w:tr>
    </w:tbl>
    <w:p>
      <w:pPr>
        <w:pStyle w:val="BodyText"/>
      </w:pPr>
      <w:r>
        <w:t xml:space="preserve"> </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C:\Users\LucasSempe\AppData\Local\Programs\Quarto\share\formats\docx\important.png" id="52"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India cable introduces single-point-of-failure risk</w:t>
            </w:r>
          </w:p>
        </w:tc>
      </w:tr>
      <w:tr>
        <w:trPr>
          <w:cantSplit/>
        </w:trPr>
        <w:tc>
          <w:tcPr>
            <w:tcMar>
              <w:top w:w="108" w:type="dxa"/>
              <w:bottom w:w="108" w:type="dxa"/>
            </w:tcMar>
          </w:tcPr>
          <w:p>
            <w:pPr>
              <w:pStyle w:val="BodyText"/>
            </w:pPr>
            <w:pPr>
              <w:spacing w:before="16" w:after="16"/>
            </w:pPr>
            <w:r>
              <w:t xml:space="preserve">Full Integration (India cable) requires</w:t>
            </w:r>
            <w:r>
              <w:t xml:space="preserve"> </w:t>
            </w:r>
            <w:r>
              <w:rPr>
                <w:b/>
                <w:bCs/>
              </w:rPr>
              <w:t xml:space="preserve">$2.0B</w:t>
            </w:r>
            <w:r>
              <w:t xml:space="preserve"> </w:t>
            </w:r>
            <w:r>
              <w:t xml:space="preserve">more in CAPEX than the National Grid option, with a marginal BCR of only</w:t>
            </w:r>
            <w:r>
              <w:t xml:space="preserve"> </w:t>
            </w:r>
            <w:r>
              <w:rPr>
                <w:b/>
                <w:bCs/>
              </w:rPr>
              <w:t xml:space="preserve">0.78×</w:t>
            </w:r>
            <w:r>
              <w:t xml:space="preserve">. Cable outage records (NorNed, Basslink: λ=0.15/yr, repair 1–6 months) imply a vulnerability that domestic alternatives avoid.</w:t>
            </w:r>
          </w:p>
        </w:tc>
      </w:tr>
    </w:tbl>
    <w:p>
      <w:pPr>
        <w:pStyle w:val="BodyText"/>
      </w:pPr>
      <w:r>
        <w:t xml:space="preserve"> </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C:\Users\LucasSempe\AppData\Local\Programs\Quarto\share\formats\docx\important.png" id="54"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Uncertainty does not change the answer</w:t>
            </w:r>
          </w:p>
        </w:tc>
      </w:tr>
      <w:tr>
        <w:trPr>
          <w:cantSplit/>
        </w:trPr>
        <w:tc>
          <w:tcPr>
            <w:tcMar>
              <w:top w:w="108" w:type="dxa"/>
              <w:bottom w:w="108" w:type="dxa"/>
            </w:tcMar>
          </w:tcPr>
          <w:p>
            <w:pPr>
              <w:pStyle w:val="BodyText"/>
            </w:pPr>
            <w:pPr>
              <w:spacing w:before="16" w:after="16"/>
            </w:pPr>
            <w:r>
              <w:t xml:space="preserve">Monte Carlo simulation (1,000 iterations, 48 correlated parameters) shows every alternative beats BAU in</w:t>
            </w:r>
            <w:r>
              <w:t xml:space="preserve"> </w:t>
            </w:r>
            <w:r>
              <w:rPr>
                <w:b/>
                <w:bCs/>
              </w:rPr>
              <w:t xml:space="preserve">&gt;100%</w:t>
            </w:r>
            <w:r>
              <w:t xml:space="preserve"> </w:t>
            </w:r>
            <w:r>
              <w:t xml:space="preserve">of draws. Rankings are stable across discount rates (3–12%), time horizons (20–50 years), and five multi-criteria weight profiles.</w:t>
            </w:r>
          </w:p>
        </w:tc>
      </w:tr>
    </w:tbl>
    <w:bookmarkEnd w:id="55"/>
    <w:bookmarkStart w:id="59" w:name="what-should-policymakers-do"/>
    <w:p>
      <w:pPr>
        <w:pStyle w:val="Heading2"/>
      </w:pPr>
      <w:r>
        <w:t xml:space="preserve">2.5 What Should Policymakers Do?</w:t>
      </w:r>
    </w:p>
    <w:p>
      <w:pPr>
        <w:pStyle w:val="FirstParagraph"/>
      </w:pPr>
      <w:r>
        <w:t xml:space="preserve">Three priorities:</w:t>
      </w:r>
    </w:p>
    <w:bookmarkStart w:id="56" w:name="accelerate-outer-island-solarbattery"/>
    <w:p>
      <w:pPr>
        <w:pStyle w:val="Heading4"/>
      </w:pPr>
      <w:r>
        <w:t xml:space="preserve">2.5.0.1 1. Accelerate Outer-Island Solar+Battery</w:t>
      </w:r>
    </w:p>
    <w:p>
      <w:pPr>
        <w:pStyle w:val="FirstParagraph"/>
      </w:pPr>
      <w:r>
        <w:t xml:space="preserve">Proven technology, ~half-cost electricity versus diesel, each delay year forgoes ~$0M savings. Target: 50 MW/year, prioritising largest LCOE gaps.</w:t>
      </w:r>
    </w:p>
    <w:bookmarkEnd w:id="56"/>
    <w:bookmarkStart w:id="57" w:name="use-lng-as-a-bridge-for-greater-malé"/>
    <w:p>
      <w:pPr>
        <w:pStyle w:val="Heading4"/>
      </w:pPr>
      <w:r>
        <w:t xml:space="preserve">2.5.0.2 2. Use LNG as a Bridge for Greater Malé</w:t>
      </w:r>
    </w:p>
    <w:p>
      <w:pPr>
        <w:pStyle w:val="FirstParagraph"/>
      </w:pPr>
      <w:r>
        <w:t xml:space="preserve">Fastest payback (44.2% IRR, 6-year payback). Pair LNG commitment with binding RE ramp to prevent lock-in.</w:t>
      </w:r>
    </w:p>
    <w:bookmarkEnd w:id="57"/>
    <w:bookmarkStart w:id="58" w:name="build-equity-safeguards-from-the-start"/>
    <w:p>
      <w:pPr>
        <w:pStyle w:val="Heading4"/>
      </w:pPr>
      <w:r>
        <w:t xml:space="preserve">2.5.0.3 3. Build Equity Safeguards from the Start</w:t>
      </w:r>
    </w:p>
    <w:p>
      <w:pPr>
        <w:pStyle w:val="FirstParagraph"/>
      </w:pPr>
      <w:r>
        <w:t xml:space="preserve">HIES 2019: lower-income households bear disproportionate energy burden. Progressive tariffs and lifeline blocks must be paired with targeted transfers for vulnerable households. Government-financed connections are needed to prevent a two-tier system. These safeguards should be embedded upfront, not retrofitted. See</w:t>
      </w:r>
      <w:r>
        <w:t xml:space="preserve"> </w:t>
      </w:r>
      <w:hyperlink w:anchor="sec-distributional">
        <w:r>
          <w:rPr>
            <w:rStyle w:val="Hyperlink"/>
          </w:rPr>
          <w:t xml:space="preserve">Chapter 9</w:t>
        </w:r>
      </w:hyperlink>
      <w:r>
        <w:t xml:space="preserve">.</w:t>
      </w:r>
    </w:p>
    <w:bookmarkEnd w:id="58"/>
    <w:bookmarkEnd w:id="59"/>
    <w:bookmarkEnd w:id="60"/>
    <w:bookmarkStart w:id="88" w:name="introduction"/>
    <w:p>
      <w:pPr>
        <w:pStyle w:val="Heading1"/>
      </w:pPr>
      <w:r>
        <w:t xml:space="preserve">3. Introduction</w:t>
      </w:r>
    </w:p>
    <w:p>
      <w:pPr>
        <w:pStyle w:val="FirstParagraph"/>
      </w:pPr>
      <w:r>
        <w:t xml:space="preserve">Spread across 900 km of ocean on 1,192 coral islands, the Maldives generates every kilowatt-hour of electricity from imported diesel. Populations range from 50 to 250,000, each island running its own power system.</w:t>
      </w:r>
    </w:p>
    <w:bookmarkStart w:id="66" w:name="sec-energy-story"/>
    <w:p>
      <w:pPr>
        <w:pStyle w:val="Heading2"/>
      </w:pPr>
      <w:r>
        <w:t xml:space="preserve">3.1 The Maldives Energy Story</w:t>
      </w:r>
    </w:p>
    <w:p>
      <w:pPr>
        <w:pStyle w:val="FirstParagraph"/>
      </w:pPr>
      <w:r>
        <w:t xml:space="preserve">The Maldives electricity sector runs almost entirely on imported diesel. As of 2024, roughly 93 per cent of electricity is diesel-generated</w:t>
      </w:r>
      <w:r>
        <w:rPr>
          <w:rStyle w:val="FootnoteReference"/>
        </w:rPr>
        <w:footnoteReference w:id="61"/>
      </w:r>
      <w:r>
        <w:t xml:space="preserve">, from a fleet of about 532 MW spread across individual powerhouses throughout the archipelago. Installed solar PV capacity stands at only 68 MW, contributing roughly 6 per cent of generation. With average global horizontal irradiance of approximately 5.4 kWh/m²/day</w:t>
      </w:r>
      <w:r>
        <w:rPr>
          <w:rStyle w:val="FootnoteReference"/>
        </w:rPr>
        <w:footnoteReference w:id="62"/>
      </w:r>
      <w:r>
        <w:t xml:space="preserve">, the Maldives is among the best-resourced countries in South Asia for solar energy, making this low deployment striking.</w:t>
      </w:r>
    </w:p>
    <w:p>
      <w:pPr>
        <w:pStyle w:val="BodyText"/>
      </w:pPr>
      <w:r>
        <w:t xml:space="preserve">Geographic fragmentation compounds the cost problem. No national grid connects the islands, and no inter-island submarine cables are in operation. Each inhabited island runs its own generation and distribution system, typically consisting of a diesel powerhouse, a low-voltage network, and sometimes a small solar array with limited battery backup. System sizes range from a single 50 kW generator on the smallest atolls to the Greater Malé network with over 140 MW serving a quarter of a million people</w:t>
      </w:r>
      <w:r>
        <w:rPr>
          <w:rStyle w:val="FootnoteReference"/>
        </w:rPr>
        <w:footnoteReference w:id="63"/>
      </w:r>
      <w:r>
        <w:t xml:space="preserve">. In practice, the Maldives faces not one transition challenge but 187 separate ones.</w:t>
      </w:r>
    </w:p>
    <w:p>
      <w:pPr>
        <w:pStyle w:val="BodyText"/>
      </w:pPr>
      <w:r>
        <w:t xml:space="preserve">Electricity provision is expensive. Outer-island generation costs fall in the range of $0.30–$0.70 per kWh</w:t>
      </w:r>
      <w:r>
        <w:rPr>
          <w:rStyle w:val="FootnoteReference"/>
        </w:rPr>
        <w:footnoteReference w:id="64"/>
      </w:r>
      <w:r>
        <w:t xml:space="preserve">, driven by small generator inefficiency and high fuel transport costs. The government subsidises retail tariffs at about $0.15/kWh to maintain affordability</w:t>
      </w:r>
      <w:r>
        <w:rPr>
          <w:rStyle w:val="FootnoteReference"/>
        </w:rPr>
        <w:footnoteReference w:id="65"/>
      </w:r>
      <w:r>
        <w:t xml:space="preserve">, creating a fiscal burden that grows with demand.</w:t>
      </w:r>
    </w:p>
    <w:bookmarkEnd w:id="66"/>
    <w:bookmarkStart w:id="71" w:name="sec-urgency"/>
    <w:p>
      <w:pPr>
        <w:pStyle w:val="Heading2"/>
      </w:pPr>
      <w:r>
        <w:t xml:space="preserve">3.2 Why a Transition Is Urgent</w:t>
      </w:r>
    </w:p>
    <w:p>
      <w:pPr>
        <w:pStyle w:val="FirstParagraph"/>
      </w:pPr>
      <w:r>
        <w:t xml:space="preserve">The economic case, the environmental imperative, and recent technology cost declines all point toward transition now.</w:t>
      </w:r>
    </w:p>
    <w:p>
      <w:pPr>
        <w:pStyle w:val="BodyText"/>
      </w:pPr>
      <w:r>
        <w:rPr>
          <w:b/>
          <w:bCs/>
        </w:rPr>
        <w:t xml:space="preserve">Economic pressure.</w:t>
      </w:r>
      <w:r>
        <w:t xml:space="preserve"> </w:t>
      </w:r>
      <w:r>
        <w:t xml:space="preserve">At growth rates of about 5 per cent per year, diesel fuel expenditures would absorb an estimated</w:t>
      </w:r>
      <w:r>
        <w:t xml:space="preserve"> </w:t>
      </w:r>
      <w:r>
        <w:rPr>
          <w:b/>
          <w:bCs/>
        </w:rPr>
        <w:t xml:space="preserve">$14.4 billion</w:t>
      </w:r>
      <w:r>
        <w:t xml:space="preserve"> </w:t>
      </w:r>
      <w:r>
        <w:t xml:space="preserve">in present value over 2026–2056. The 2022 energy price shock illustrated this exposure: generation costs spiked, subsidy bills surged, and the fiscal position deteriorated.</w:t>
      </w:r>
    </w:p>
    <w:p>
      <w:pPr>
        <w:pStyle w:val="BodyText"/>
      </w:pPr>
      <w:r>
        <w:rPr>
          <w:b/>
          <w:bCs/>
        </w:rPr>
        <w:t xml:space="preserve">Climate imperative.</w:t>
      </w:r>
      <w:r>
        <w:t xml:space="preserve"> </w:t>
      </w:r>
      <w:r>
        <w:t xml:space="preserve">The Maldives is the world’s lowest-lying nation, averaging about 1.5 metres above sea level</w:t>
      </w:r>
      <w:r>
        <w:rPr>
          <w:rStyle w:val="FootnoteReference"/>
        </w:rPr>
        <w:footnoteReference w:id="67"/>
      </w:r>
      <w:r>
        <w:t xml:space="preserve">. Under business-as-usual, the electricity sector alone would emit 65.8 million tonnes of CO₂ over the analysis period. These emissions are small in global terms but difficult to reconcile with the country’s founding membership of AOSIS and its Paris Agreement commitments, including a 26% conditional emissions reduction by 2030</w:t>
      </w:r>
      <w:r>
        <w:rPr>
          <w:rStyle w:val="FootnoteReference"/>
        </w:rPr>
        <w:footnoteReference w:id="68"/>
      </w:r>
      <w:r>
        <w:t xml:space="preserve">.</w:t>
      </w:r>
    </w:p>
    <w:p>
      <w:pPr>
        <w:pStyle w:val="BodyText"/>
      </w:pPr>
      <w:r>
        <w:rPr>
          <w:b/>
          <w:bCs/>
        </w:rPr>
        <w:t xml:space="preserve">Technology opportunity.</w:t>
      </w:r>
      <w:r>
        <w:t xml:space="preserve"> </w:t>
      </w:r>
      <w:r>
        <w:t xml:space="preserve">Solar PV costs have fallen by roughly 90% since 2010</w:t>
      </w:r>
      <w:r>
        <w:rPr>
          <w:rStyle w:val="FootnoteReference"/>
        </w:rPr>
        <w:footnoteReference w:id="69"/>
      </w:r>
      <w:r>
        <w:t xml:space="preserve">, and lithium-ion battery costs have followed a similar trajectory</w:t>
      </w:r>
      <w:r>
        <w:rPr>
          <w:rStyle w:val="FootnoteReference"/>
        </w:rPr>
        <w:footnoteReference w:id="70"/>
      </w:r>
      <w:r>
        <w:t xml:space="preserve">. Renewable energy is now cost-competitive with diesel on small, isolated islands without subsidy. The remaining decisions concern which pathway to pursue, how fast to move, and how to finance the upfront capital.</w:t>
      </w:r>
    </w:p>
    <w:bookmarkEnd w:id="71"/>
    <w:bookmarkStart w:id="72" w:name="sec-roadmap"/>
    <w:p>
      <w:pPr>
        <w:pStyle w:val="Heading2"/>
      </w:pPr>
      <w:r>
        <w:t xml:space="preserve">3.3 Alignment with the National Energy Roadmap</w:t>
      </w:r>
    </w:p>
    <w:p>
      <w:pPr>
        <w:pStyle w:val="FirstParagraph"/>
      </w:pPr>
      <w:r>
        <w:t xml:space="preserve">The</w:t>
      </w:r>
      <w:r>
        <w:t xml:space="preserve"> </w:t>
      </w:r>
      <w:r>
        <w:rPr>
          <w:b/>
          <w:bCs/>
        </w:rPr>
        <w:t xml:space="preserve">Road Map for the Energy Sector 2024–2033</w:t>
      </w:r>
      <w:r>
        <w:t xml:space="preserve"> </w:t>
      </w:r>
      <w:r>
        <w:t xml:space="preserve">(2024)</w:t>
      </w:r>
      <w:r>
        <w:t xml:space="preserve"> </w:t>
      </w:r>
      <w:r>
        <w:t xml:space="preserve">targets 33% RE by 2028, identifies 490 MW solar potential, and estimates $1.3B investment across 15 flagship interventions. The seven scenarios in this CBA provide the economic evidence base to assess and prioritise those interventions.</w:t>
      </w:r>
    </w:p>
    <w:bookmarkEnd w:id="72"/>
    <w:bookmarkStart w:id="75" w:name="sec-purpose"/>
    <w:p>
      <w:pPr>
        <w:pStyle w:val="Heading2"/>
      </w:pPr>
      <w:r>
        <w:t xml:space="preserve">3.4 Purpose of This Analysis</w:t>
      </w:r>
    </w:p>
    <w:p>
      <w:pPr>
        <w:pStyle w:val="FirstParagraph"/>
      </w:pPr>
      <w:r>
        <w:t xml:space="preserve">This report applies standard cost-benefit analysis methodology following</w:t>
      </w:r>
      <w:r>
        <w:t xml:space="preserve"> </w:t>
      </w:r>
      <w:r>
        <w:t xml:space="preserve">Asian Development Bank (2017)</w:t>
      </w:r>
      <w:r>
        <w:t xml:space="preserve"> </w:t>
      </w:r>
      <w:r>
        <w:t xml:space="preserve">and</w:t>
      </w:r>
      <w:r>
        <w:t xml:space="preserve"> </w:t>
      </w:r>
      <w:r>
        <w:t xml:space="preserve">Boardman et al. (2018)</w:t>
      </w:r>
      <w:r>
        <w:t xml:space="preserve"> </w:t>
      </w:r>
      <w:r>
        <w:t xml:space="preserve">to evaluate seven electricity transition pathways for the Maldives.</w:t>
      </w:r>
    </w:p>
    <w:p>
      <w:pPr>
        <w:pStyle w:val="BodyText"/>
      </w:pPr>
      <w:r>
        <w:t xml:space="preserve">The framework covers a 30 -year horizon from 2026 to 2056, using a 6 per cent real social discount rate (ADB practice for SIDS). Seven scenarios span the technology spectrum from continued diesel through domestic solar-plus-battery, inter-island grids, a submarine cable from India, near-shore and floating solar, wind energy, and LNG. Beyond direct financial costs, the analysis incorporates key externalities: carbon emissions valued at the US EPA Social Cost of Carbon</w:t>
      </w:r>
      <w:r>
        <w:rPr>
          <w:rStyle w:val="FootnoteReference"/>
        </w:rPr>
        <w:footnoteReference w:id="73"/>
      </w:r>
      <w:r>
        <w:t xml:space="preserve">, health damages from diesel combustion at $40 per MWh following</w:t>
      </w:r>
      <w:r>
        <w:t xml:space="preserve"> </w:t>
      </w:r>
      <w:r>
        <w:t xml:space="preserve">Parry et al. (2014)</w:t>
      </w:r>
      <w:r>
        <w:t xml:space="preserve">, and environmental externalities (noise, fuel spill risk, biodiversity) at $10 per MWh</w:t>
      </w:r>
      <w:r>
        <w:rPr>
          <w:rStyle w:val="FootnoteReference"/>
        </w:rPr>
        <w:footnoteReference w:id="74"/>
      </w:r>
      <w:r>
        <w:t xml:space="preserve">.</w:t>
      </w:r>
    </w:p>
    <w:p>
      <w:pPr>
        <w:pStyle w:val="BodyText"/>
      </w:pPr>
      <w:r>
        <w:t xml:space="preserve">Robustness testing includes 48-parameter Monte Carlo simulation (1,000 iterations with Iman-Conover rank correlations), one-way sensitivity analysis, switching-value analysis, multi-horizon comparison (20, 30, 50 years), and declining discount rate sensitivity following</w:t>
      </w:r>
      <w:r>
        <w:t xml:space="preserve"> </w:t>
      </w:r>
      <w:r>
        <w:t xml:space="preserve">HM Treasury (2022)</w:t>
      </w:r>
      <w:r>
        <w:t xml:space="preserve">,</w:t>
      </w:r>
      <w:r>
        <w:t xml:space="preserve"> </w:t>
      </w:r>
      <w:r>
        <w:t xml:space="preserve">Weitzman (2001)</w:t>
      </w:r>
      <w:r>
        <w:t xml:space="preserve">, and</w:t>
      </w:r>
      <w:r>
        <w:t xml:space="preserve"> </w:t>
      </w:r>
      <w:r>
        <w:t xml:space="preserve">Drupp et al. (2018)</w:t>
      </w:r>
      <w:r>
        <w:t xml:space="preserve">.</w:t>
      </w:r>
    </w:p>
    <w:p>
      <w:pPr>
        <w:pStyle w:val="BodyText"/>
      </w:pPr>
      <w:r>
        <w:t xml:space="preserve">Two extensions complement the CBA. A distributional analysis draws on 4,817 household records from</w:t>
      </w:r>
      <w:r>
        <w:t xml:space="preserve"> </w:t>
      </w:r>
      <w:r>
        <w:t xml:space="preserve">National Bureau of Statistics, Republic of Maldives (2019)</w:t>
      </w:r>
      <w:r>
        <w:t xml:space="preserve"> </w:t>
      </w:r>
      <w:r>
        <w:t xml:space="preserve">to examine how costs and benefits fall across income quintiles, gender, and geography. A multi-criteria analysis scores scenarios on eight criteria under five weight profiles, covering non-monetisable dimensions such as implementation feasibility and climate resilience.</w:t>
      </w:r>
    </w:p>
    <w:bookmarkEnd w:id="75"/>
    <w:bookmarkStart w:id="83" w:name="sec-geography"/>
    <w:p>
      <w:pPr>
        <w:pStyle w:val="Heading2"/>
      </w:pPr>
      <w:r>
        <w:t xml:space="preserve">3.5 Geographic Context</w:t>
      </w:r>
    </w:p>
    <w:tbl>
      <w:tblPr>
        <w:tblStyle w:val="Table"/>
        <w:tblW w:type="pct" w:w="5000"/>
        <w:tblLayout w:type="fixed"/>
        <w:tblLook w:firstRow="0" w:lastRow="0" w:firstColumn="0" w:lastColumn="0" w:noHBand="0" w:noVBand="0" w:val="0000"/>
      </w:tblPr>
      <w:tblGrid>
        <w:gridCol w:w="7920"/>
      </w:tblGrid>
      <w:tr>
        <w:tc>
          <w:tcPr/>
          <w:bookmarkStart w:id="79" w:name="fig-geography"/>
          <w:p>
            <w:pPr>
              <w:pStyle w:val="Compact"/>
              <w:jc w:val="center"/>
            </w:pPr>
            <w:r>
              <w:drawing>
                <wp:inline>
                  <wp:extent cx="5334000" cy="3810000"/>
                  <wp:effectExtent b="0" l="0" r="0" t="0"/>
                  <wp:docPr descr="" title="" id="77" name="Picture"/>
                  <a:graphic>
                    <a:graphicData uri="http://schemas.openxmlformats.org/drawingml/2006/picture">
                      <pic:pic>
                        <pic:nvPicPr>
                          <pic:cNvPr descr="01-introduction_files/figure-docx/fig-geography-output-1.png" id="78" name="Picture"/>
                          <pic:cNvPicPr>
                            <a:picLocks noChangeArrowheads="1" noChangeAspect="1"/>
                          </pic:cNvPicPr>
                        </pic:nvPicPr>
                        <pic:blipFill>
                          <a:blip r:embed="rId76"/>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3.1: The Maldives archipelago spans 900 km north-south across 26 atolls. Each inhabited island operates an independent power system. Greater Malé (inset) concentrates 43% of the population and 57% of electricity demand.</w:t>
            </w:r>
          </w:p>
          <w:bookmarkEnd w:id="79"/>
        </w:tc>
      </w:tr>
    </w:tbl>
    <w:p>
      <w:pPr>
        <w:pStyle w:val="BodyText"/>
      </w:pPr>
      <w:r>
        <w:t xml:space="preserve">The 26 atolls stretch across nearly 900 km, from Haa Alif in the north to Addu in the south. Many outer islands are separated from their nearest neighbours by 10–50 km of open ocean.</w:t>
      </w:r>
    </w:p>
    <w:p>
      <w:pPr>
        <w:pStyle w:val="BodyText"/>
      </w:pPr>
      <w:r>
        <w:t xml:space="preserve">Electricity demand is concentrated unevenly. Greater Malé — Malé, Hulhumalé, and Villimalé — holds about 43 per cent of the population</w:t>
      </w:r>
      <w:r>
        <w:rPr>
          <w:rStyle w:val="FootnoteReference"/>
        </w:rPr>
        <w:footnoteReference w:id="80"/>
      </w:r>
      <w:r>
        <w:t xml:space="preserve"> </w:t>
      </w:r>
      <w:r>
        <w:t xml:space="preserve">and 57 per cent of electricity demand</w:t>
      </w:r>
      <w:r>
        <w:rPr>
          <w:rStyle w:val="FootnoteReference"/>
        </w:rPr>
        <w:footnoteReference w:id="81"/>
      </w:r>
      <w:r>
        <w:t xml:space="preserve">, served by STELCO’s power station network (&gt;100 MW installed). The remaining 57 per cent of the population, spread across 176 outer islands, accounts for 43 per cent of demand but relies on isolated diesel micro-grids that are individually small and expensive to maintain. A separate segment — over 170 privately operated resort islands — consumes an estimated 1,050 GWh/year of diesel-generated electricity</w:t>
      </w:r>
      <w:r>
        <w:rPr>
          <w:rStyle w:val="FootnoteReference"/>
        </w:rPr>
        <w:footnoteReference w:id="82"/>
      </w:r>
      <w:r>
        <w:t xml:space="preserve"> </w:t>
      </w:r>
      <w:r>
        <w:t xml:space="preserve">but operates off-grid and outside the scope of this public utility analysis.</w:t>
      </w:r>
    </w:p>
    <w:p>
      <w:pPr>
        <w:pStyle w:val="BodyText"/>
      </w:pPr>
      <w:r>
        <w:t xml:space="preserve">This geography determines the structure of every scenario. Solutions for Greater Malé (submarine cables, LNG, near-shore solar) differ fundamentally from outer-island solutions (rooftop and ground-mounted solar with battery storage, deployed island by island). A credible strategy must address both.</w:t>
      </w:r>
    </w:p>
    <w:bookmarkEnd w:id="83"/>
    <w:bookmarkStart w:id="87" w:name="report-structure"/>
    <w:p>
      <w:pPr>
        <w:pStyle w:val="Heading2"/>
      </w:pPr>
      <w:r>
        <w:t xml:space="preserve">3.6 Report Structure</w:t>
      </w:r>
    </w:p>
    <w:p>
      <w:pPr>
        <w:pStyle w:val="FirstParagraph"/>
      </w:pPr>
      <w:r>
        <w:rPr>
          <w:b/>
          <w:bCs/>
        </w:rPr>
        <w:t xml:space="preserve">Main chapters:</w:t>
      </w:r>
      <w:r>
        <w:t xml:space="preserve"> </w:t>
      </w:r>
      <w:hyperlink w:anchor="sec-methodology">
        <w:r>
          <w:rPr>
            <w:rStyle w:val="Hyperlink"/>
          </w:rPr>
          <w:t xml:space="preserve">Section 4.1</w:t>
        </w:r>
      </w:hyperlink>
      <w:r>
        <w:t xml:space="preserve"> </w:t>
      </w:r>
      <w:r>
        <w:t xml:space="preserve">(framework),</w:t>
      </w:r>
      <w:r>
        <w:t xml:space="preserve"> </w:t>
      </w:r>
      <w:hyperlink w:anchor="sec-scenarios">
        <w:r>
          <w:rPr>
            <w:rStyle w:val="Hyperlink"/>
          </w:rPr>
          <w:t xml:space="preserve">Chapter 5</w:t>
        </w:r>
      </w:hyperlink>
      <w:r>
        <w:t xml:space="preserve"> </w:t>
      </w:r>
      <w:r>
        <w:t xml:space="preserve">(seven pathways),</w:t>
      </w:r>
      <w:r>
        <w:t xml:space="preserve"> </w:t>
      </w:r>
      <w:hyperlink w:anchor="sec-results">
        <w:r>
          <w:rPr>
            <w:rStyle w:val="Hyperlink"/>
          </w:rPr>
          <w:t xml:space="preserve">Chapter 6</w:t>
        </w:r>
      </w:hyperlink>
      <w:r>
        <w:t xml:space="preserve"> </w:t>
      </w:r>
      <w:r>
        <w:t xml:space="preserve">(costs, LCOE, emissions),</w:t>
      </w:r>
      <w:r>
        <w:t xml:space="preserve"> </w:t>
      </w:r>
      <w:hyperlink w:anchor="sec-sensitivity">
        <w:r>
          <w:rPr>
            <w:rStyle w:val="Hyperlink"/>
          </w:rPr>
          <w:t xml:space="preserve">Chapter 7</w:t>
        </w:r>
      </w:hyperlink>
      <w:r>
        <w:t xml:space="preserve"> </w:t>
      </w:r>
      <w:r>
        <w:t xml:space="preserve">(robustness tests),</w:t>
      </w:r>
      <w:r>
        <w:t xml:space="preserve"> </w:t>
      </w:r>
      <w:hyperlink w:anchor="sec-mca">
        <w:r>
          <w:rPr>
            <w:rStyle w:val="Hyperlink"/>
          </w:rPr>
          <w:t xml:space="preserve">Chapter 8</w:t>
        </w:r>
      </w:hyperlink>
      <w:r>
        <w:t xml:space="preserve"> </w:t>
      </w:r>
      <w:r>
        <w:t xml:space="preserve">(multi-criteria),</w:t>
      </w:r>
      <w:r>
        <w:t xml:space="preserve"> </w:t>
      </w:r>
      <w:hyperlink w:anchor="sec-distributional">
        <w:r>
          <w:rPr>
            <w:rStyle w:val="Hyperlink"/>
          </w:rPr>
          <w:t xml:space="preserve">Chapter 9</w:t>
        </w:r>
      </w:hyperlink>
      <w:r>
        <w:t xml:space="preserve"> </w:t>
      </w:r>
      <w:r>
        <w:t xml:space="preserve">(equity),</w:t>
      </w:r>
      <w:r>
        <w:t xml:space="preserve"> </w:t>
      </w:r>
      <w:hyperlink w:anchor="sec-financing">
        <w:r>
          <w:rPr>
            <w:rStyle w:val="Hyperlink"/>
          </w:rPr>
          <w:t xml:space="preserve">Chapter 10</w:t>
        </w:r>
      </w:hyperlink>
      <w:r>
        <w:t xml:space="preserve"> </w:t>
      </w:r>
      <w:r>
        <w:t xml:space="preserve">(investment),</w:t>
      </w:r>
      <w:r>
        <w:t xml:space="preserve"> </w:t>
      </w:r>
      <w:hyperlink w:anchor="sec-implementation">
        <w:r>
          <w:rPr>
            <w:rStyle w:val="Hyperlink"/>
          </w:rPr>
          <w:t xml:space="preserve">Chapter 11</w:t>
        </w:r>
      </w:hyperlink>
      <w:r>
        <w:t xml:space="preserve"> </w:t>
      </w:r>
      <w:r>
        <w:t xml:space="preserve">(roadmap),</w:t>
      </w:r>
      <w:r>
        <w:t xml:space="preserve"> </w:t>
      </w:r>
      <w:hyperlink w:anchor="sec-conclusions">
        <w:r>
          <w:rPr>
            <w:rStyle w:val="Hyperlink"/>
          </w:rPr>
          <w:t xml:space="preserve">Chapter 12</w:t>
        </w:r>
      </w:hyperlink>
      <w:r>
        <w:t xml:space="preserve">.</w:t>
      </w:r>
    </w:p>
    <w:p>
      <w:pPr>
        <w:pStyle w:val="BodyText"/>
      </w:pPr>
      <w:r>
        <w:rPr>
          <w:b/>
          <w:bCs/>
        </w:rPr>
        <w:t xml:space="preserve">Appendices:</w:t>
      </w:r>
      <w:r>
        <w:t xml:space="preserve"> </w:t>
      </w:r>
      <w:hyperlink r:id="rId84">
        <w:r>
          <w:rPr>
            <w:rStyle w:val="Hyperlink"/>
          </w:rPr>
          <w:t xml:space="preserve">A</w:t>
        </w:r>
      </w:hyperlink>
      <w:r>
        <w:t xml:space="preserve"> </w:t>
      </w:r>
      <w:r>
        <w:t xml:space="preserve">(model specification),</w:t>
      </w:r>
      <w:r>
        <w:t xml:space="preserve"> </w:t>
      </w:r>
      <w:hyperlink r:id="rId85">
        <w:r>
          <w:rPr>
            <w:rStyle w:val="Hyperlink"/>
          </w:rPr>
          <w:t xml:space="preserve">B</w:t>
        </w:r>
      </w:hyperlink>
      <w:r>
        <w:t xml:space="preserve"> </w:t>
      </w:r>
      <w:r>
        <w:t xml:space="preserve">(parameters &amp; sources),</w:t>
      </w:r>
      <w:r>
        <w:t xml:space="preserve"> </w:t>
      </w:r>
      <w:hyperlink r:id="rId86">
        <w:r>
          <w:rPr>
            <w:rStyle w:val="Hyperlink"/>
          </w:rPr>
          <w:t xml:space="preserve">C</w:t>
        </w:r>
      </w:hyperlink>
      <w:r>
        <w:t xml:space="preserve"> </w:t>
      </w:r>
      <w:r>
        <w:t xml:space="preserve">(learning curves, climate scenarios, transport, real options, benchmarks).</w:t>
      </w:r>
    </w:p>
    <w:bookmarkEnd w:id="87"/>
    <w:bookmarkEnd w:id="88"/>
    <w:bookmarkStart w:id="99" w:name="methodology"/>
    <w:p>
      <w:pPr>
        <w:pStyle w:val="Heading1"/>
      </w:pPr>
      <w:r>
        <w:t xml:space="preserve">4. Methodology</w:t>
      </w:r>
    </w:p>
    <w:p>
      <w:pPr>
        <w:pStyle w:val="FirstParagraph"/>
      </w:pPr>
      <w:r>
        <w:t xml:space="preserve">The analysis follows ADB’s</w:t>
      </w:r>
      <w:r>
        <w:t xml:space="preserve"> </w:t>
      </w:r>
      <w:r>
        <w:rPr>
          <w:i/>
          <w:iCs/>
        </w:rPr>
        <w:t xml:space="preserve">Guidelines for the Economic Analysis of Projects</w:t>
      </w:r>
      <w:r>
        <w:t xml:space="preserve"> </w:t>
      </w:r>
      <w:r>
        <w:t xml:space="preserve">(2017)</w:t>
      </w:r>
      <w:r>
        <w:t xml:space="preserve"> </w:t>
      </w:r>
      <w:r>
        <w:t xml:space="preserve">and the framework in</w:t>
      </w:r>
      <w:r>
        <w:t xml:space="preserve"> </w:t>
      </w:r>
      <w:r>
        <w:t xml:space="preserve">Boardman et al. (2018)</w:t>
      </w:r>
      <w:r>
        <w:t xml:space="preserve">, adapted here to capture externalities and distributional concerns specific to small island developing states. Full equations appear in</w:t>
      </w:r>
      <w:r>
        <w:t xml:space="preserve"> </w:t>
      </w:r>
      <w:hyperlink r:id="rId84">
        <w:r>
          <w:rPr>
            <w:rStyle w:val="Hyperlink"/>
          </w:rPr>
          <w:t xml:space="preserve">Appendix A</w:t>
        </w:r>
      </w:hyperlink>
      <w:r>
        <w:t xml:space="preserve">; parameters with sources and sensitivity ranges in</w:t>
      </w:r>
      <w:r>
        <w:t xml:space="preserve"> </w:t>
      </w:r>
      <w:hyperlink r:id="rId85">
        <w:r>
          <w:rPr>
            <w:rStyle w:val="Hyperlink"/>
          </w:rPr>
          <w:t xml:space="preserve">Appendix B</w:t>
        </w:r>
      </w:hyperlink>
      <w:r>
        <w:t xml:space="preserve">.</w:t>
      </w:r>
    </w:p>
    <w:bookmarkStart w:id="90" w:name="sec-methodology"/>
    <w:p>
      <w:pPr>
        <w:pStyle w:val="Heading2"/>
      </w:pPr>
      <w:r>
        <w:t xml:space="preserve">4.1 CBA Framework</w:t>
      </w:r>
    </w:p>
    <w:p>
      <w:pPr>
        <w:pStyle w:val="FirstParagraph"/>
      </w:pPr>
      <w:r>
        <w:t xml:space="preserve">Social CBA adopts society’s perspective rather than a private investor’s, valuing externalities (carbon emissions, health damages) that commercial analysis would ignore and discounting at a social rate rather than a market one.</w:t>
      </w:r>
    </w:p>
    <w:p>
      <w:pPr>
        <w:pStyle w:val="BodyText"/>
      </w:pPr>
      <w:r>
        <w:t xml:space="preserve">For each of the seven scenarios, the model computes the net present value of all costs and benefits over the analysis horizon:</w:t>
      </w:r>
    </w:p>
    <w:p>
      <w:pPr>
        <w:pStyle w:val="BodyText"/>
      </w:pPr>
      <m:oMathPara>
        <m:oMathParaPr>
          <m:jc m:val="center"/>
        </m:oMathParaPr>
        <m:oMath>
          <m:r>
            <m:t>N</m:t>
          </m:r>
          <m:r>
            <m:t>P</m:t>
          </m:r>
          <m:sSub>
            <m:e>
              <m:r>
                <m:t>V</m:t>
              </m:r>
            </m:e>
            <m:sub>
              <m:r>
                <m:t>s</m:t>
              </m:r>
            </m:sub>
          </m:sSub>
          <m:r>
            <m:rPr>
              <m:sty m:val="p"/>
            </m:rPr>
            <m:t>=</m:t>
          </m:r>
          <m:nary>
            <m:naryPr>
              <m:chr m:val="∑"/>
              <m:limLoc m:val="undOvr"/>
              <m:subHide m:val="off"/>
              <m:supHide m:val="off"/>
            </m:naryPr>
            <m:sub>
              <m:r>
                <m:t>t</m:t>
              </m:r>
              <m:r>
                <m:rPr>
                  <m:sty m:val="p"/>
                </m:rPr>
                <m:t>=</m:t>
              </m:r>
              <m:r>
                <m:t>0</m:t>
              </m:r>
            </m:sub>
            <m:sup>
              <m:r>
                <m:t>T</m:t>
              </m:r>
            </m:sup>
            <m:e>
              <m:f>
                <m:fPr>
                  <m:type m:val="bar"/>
                </m:fPr>
                <m:num>
                  <m:sSub>
                    <m:e>
                      <m:r>
                        <m:t>B</m:t>
                      </m:r>
                    </m:e>
                    <m:sub>
                      <m:r>
                        <m:t>s</m:t>
                      </m:r>
                      <m:r>
                        <m:rPr>
                          <m:sty m:val="p"/>
                        </m:rPr>
                        <m:t>,</m:t>
                      </m:r>
                      <m:r>
                        <m:t>t</m:t>
                      </m:r>
                    </m:sub>
                  </m:sSub>
                  <m:r>
                    <m:rPr>
                      <m:sty m:val="p"/>
                    </m:rPr>
                    <m:t>−</m:t>
                  </m:r>
                  <m:sSub>
                    <m:e>
                      <m:r>
                        <m:t>C</m:t>
                      </m:r>
                    </m:e>
                    <m:sub>
                      <m:r>
                        <m:t>s</m:t>
                      </m:r>
                      <m:r>
                        <m:rPr>
                          <m:sty m:val="p"/>
                        </m:rPr>
                        <m:t>,</m:t>
                      </m:r>
                      <m:r>
                        <m:t>t</m:t>
                      </m:r>
                    </m:sub>
                  </m:sSub>
                </m:num>
                <m:den>
                  <m:sSup>
                    <m:e>
                      <m:d>
                        <m:dPr>
                          <m:begChr m:val="("/>
                          <m:sepChr m:val=""/>
                          <m:endChr m:val=")"/>
                          <m:grow/>
                        </m:dPr>
                        <m:e>
                          <m:r>
                            <m:t>1</m:t>
                          </m:r>
                          <m:r>
                            <m:rPr>
                              <m:sty m:val="p"/>
                            </m:rPr>
                            <m:t>+</m:t>
                          </m:r>
                          <m:r>
                            <m:t>r</m:t>
                          </m:r>
                        </m:e>
                      </m:d>
                    </m:e>
                    <m:sup>
                      <m:r>
                        <m:t>t</m:t>
                      </m:r>
                    </m:sup>
                  </m:sSup>
                </m:den>
              </m:f>
            </m:e>
          </m:nary>
        </m:oMath>
      </m:oMathPara>
    </w:p>
    <w:p>
      <w:pPr>
        <w:pStyle w:val="FirstParagraph"/>
      </w:pPr>
      <w:r>
        <w:t xml:space="preserve">where</w:t>
      </w:r>
      <w:r>
        <w:t xml:space="preserve"> </w:t>
      </w:r>
      <m:oMath>
        <m:sSub>
          <m:e>
            <m:r>
              <m:t>B</m:t>
            </m:r>
          </m:e>
          <m:sub>
            <m:r>
              <m:t>s</m:t>
            </m:r>
            <m:r>
              <m:rPr>
                <m:sty m:val="p"/>
              </m:rPr>
              <m:t>,</m:t>
            </m:r>
            <m:r>
              <m:t>t</m:t>
            </m:r>
          </m:sub>
        </m:sSub>
      </m:oMath>
      <w:r>
        <w:t xml:space="preserve"> </w:t>
      </w:r>
      <w:r>
        <w:t xml:space="preserve">represents the total benefits (fuel savings, avoided emissions, health and environmental co-benefits, and reliability improvements) and</w:t>
      </w:r>
      <w:r>
        <w:t xml:space="preserve"> </w:t>
      </w:r>
      <m:oMath>
        <m:sSub>
          <m:e>
            <m:r>
              <m:t>C</m:t>
            </m:r>
          </m:e>
          <m:sub>
            <m:r>
              <m:t>s</m:t>
            </m:r>
            <m:r>
              <m:rPr>
                <m:sty m:val="p"/>
              </m:rPr>
              <m:t>,</m:t>
            </m:r>
            <m:r>
              <m:t>t</m:t>
            </m:r>
          </m:sub>
        </m:sSub>
      </m:oMath>
      <w:r>
        <w:t xml:space="preserve"> </w:t>
      </w:r>
      <w:r>
        <w:t xml:space="preserve">represents the total costs (capital, operating, fuel, and power purchase costs) of scenario</w:t>
      </w:r>
      <w:r>
        <w:t xml:space="preserve"> </w:t>
      </w:r>
      <m:oMath>
        <m:r>
          <m:t>s</m:t>
        </m:r>
      </m:oMath>
      <w:r>
        <w:t xml:space="preserve"> </w:t>
      </w:r>
      <w:r>
        <w:t xml:space="preserve">in year</w:t>
      </w:r>
      <w:r>
        <w:t xml:space="preserve"> </w:t>
      </w:r>
      <m:oMath>
        <m:r>
          <m:t>t</m:t>
        </m:r>
      </m:oMath>
      <w:r>
        <w:t xml:space="preserve">, discounted at the social rate</w:t>
      </w:r>
      <w:r>
        <w:t xml:space="preserve"> </w:t>
      </w:r>
      <m:oMath>
        <m:r>
          <m:t>r</m:t>
        </m:r>
      </m:oMath>
      <w:r>
        <w:t xml:space="preserve"> </w:t>
      </w:r>
      <w:r>
        <w:t xml:space="preserve">= 6 per cent.</w:t>
      </w:r>
    </w:p>
    <w:p>
      <w:pPr>
        <w:pStyle w:val="BodyText"/>
      </w:pPr>
      <w:r>
        <w:t xml:space="preserve">The decision criterion is the incremental analysis, which compares each alternative scenario against the diesel business-as-usual counterfactual:</w:t>
      </w:r>
    </w:p>
    <w:p>
      <w:pPr>
        <w:pStyle w:val="BodyText"/>
      </w:pPr>
      <m:oMathPara>
        <m:oMathParaPr>
          <m:jc m:val="center"/>
        </m:oMathParaPr>
        <m:oMath>
          <m:r>
            <m:t>Δ</m:t>
          </m:r>
          <m:r>
            <m:t>N</m:t>
          </m:r>
          <m:r>
            <m:t>P</m:t>
          </m:r>
          <m:sSub>
            <m:e>
              <m:r>
                <m:t>V</m:t>
              </m:r>
            </m:e>
            <m:sub>
              <m:r>
                <m:t>s</m:t>
              </m:r>
            </m:sub>
          </m:sSub>
          <m:r>
            <m:rPr>
              <m:sty m:val="p"/>
            </m:rPr>
            <m:t>=</m:t>
          </m:r>
          <m:r>
            <m:t>N</m:t>
          </m:r>
          <m:r>
            <m:t>P</m:t>
          </m:r>
          <m:sSub>
            <m:e>
              <m:r>
                <m:t>V</m:t>
              </m:r>
            </m:e>
            <m:sub>
              <m:r>
                <m:t>B</m:t>
              </m:r>
              <m:r>
                <m:t>A</m:t>
              </m:r>
              <m:r>
                <m:t>U</m:t>
              </m:r>
            </m:sub>
          </m:sSub>
          <m:r>
            <m:rPr>
              <m:sty m:val="p"/>
            </m:rPr>
            <m:t>−</m:t>
          </m:r>
          <m:r>
            <m:t>N</m:t>
          </m:r>
          <m:r>
            <m:t>P</m:t>
          </m:r>
          <m:sSub>
            <m:e>
              <m:r>
                <m:t>V</m:t>
              </m:r>
            </m:e>
            <m:sub>
              <m:r>
                <m:t>s</m:t>
              </m:r>
            </m:sub>
          </m:sSub>
        </m:oMath>
      </m:oMathPara>
    </w:p>
    <w:p>
      <w:pPr>
        <w:pStyle w:val="FirstParagraph"/>
      </w:pPr>
      <w:r>
        <w:t xml:space="preserve">A positive incremental NPV indicates that the alternative pathway generates net savings relative to continued diesel dependence. This formulation follows standard practice in public investment appraisal, where the counterfactual (what happens without the project) must be explicitly defined to avoid counting benefits that would have occurred regardless.</w:t>
      </w:r>
    </w:p>
    <w:bookmarkStart w:id="89" w:name="key-metrics"/>
    <w:p>
      <w:pPr>
        <w:pStyle w:val="Heading3"/>
      </w:pPr>
      <w:r>
        <w:t xml:space="preserve">4.1.1 Key Metrics</w:t>
      </w:r>
    </w:p>
    <w:p>
      <w:pPr>
        <w:pStyle w:val="FirstParagraph"/>
      </w:pPr>
      <w:r>
        <w:t xml:space="preserve">The analysis reports four complementary economic performance metrics: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Metric</w:t>
            </w:r>
          </w:p>
        </w:tc>
        <w:tc>
          <w:tcPr/>
          <w:p>
            <w:pPr>
              <w:pStyle w:val="Compact"/>
            </w:pPr>
            <w:r>
              <w:t xml:space="preserve">Formula</w:t>
            </w:r>
          </w:p>
        </w:tc>
        <w:tc>
          <w:tcPr/>
          <w:p>
            <w:pPr>
              <w:pStyle w:val="Compact"/>
            </w:pPr>
            <w:r>
              <w:t xml:space="preserve">Interpretation</w:t>
            </w:r>
          </w:p>
        </w:tc>
      </w:tr>
      <w:tr>
        <w:tc>
          <w:tcPr/>
          <w:p>
            <w:pPr>
              <w:pStyle w:val="Compact"/>
            </w:pPr>
            <w:r>
              <w:rPr>
                <w:b/>
                <w:bCs/>
              </w:rPr>
              <w:t xml:space="preserve">BCR</w:t>
            </w:r>
          </w:p>
        </w:tc>
        <w:tc>
          <w:tcPr/>
          <w:p>
            <w:pPr>
              <w:pStyle w:val="Compact"/>
            </w:pPr>
            <w:r>
              <w:t xml:space="preserve">Total benefits ÷ Total additional costs</w:t>
            </w:r>
          </w:p>
        </w:tc>
        <w:tc>
          <w:tcPr/>
          <w:p>
            <w:pPr>
              <w:pStyle w:val="Compact"/>
            </w:pPr>
            <w:r>
              <w:t xml:space="preserve">Values &gt; 1.0 indicate net positive returns</w:t>
            </w:r>
          </w:p>
        </w:tc>
      </w:tr>
      <w:tr>
        <w:tc>
          <w:tcPr/>
          <w:p>
            <w:pPr>
              <w:pStyle w:val="Compact"/>
            </w:pPr>
            <w:r>
              <w:rPr>
                <w:b/>
                <w:bCs/>
              </w:rPr>
              <w:t xml:space="preserve">IRR</w:t>
            </w:r>
          </w:p>
        </w:tc>
        <w:tc>
          <w:tcPr/>
          <w:p>
            <w:pPr>
              <w:pStyle w:val="Compact"/>
            </w:pPr>
            <w:r>
              <w:t xml:space="preserve">Rate</w:t>
            </w:r>
            <w:r>
              <w:t xml:space="preserve"> </w:t>
            </w:r>
            <m:oMath>
              <m:sSup>
                <m:e>
                  <m:r>
                    <m:t>r</m:t>
                  </m:r>
                </m:e>
                <m:sup>
                  <m:r>
                    <m:rPr>
                      <m:sty m:val="p"/>
                    </m:rPr>
                    <m:t>*</m:t>
                  </m:r>
                </m:sup>
              </m:sSup>
            </m:oMath>
            <w:r>
              <w:t xml:space="preserve"> </w:t>
            </w:r>
            <w:r>
              <w:t xml:space="preserve">where</w:t>
            </w:r>
            <w:r>
              <w:t xml:space="preserve"> </w:t>
            </w:r>
            <m:oMath>
              <m:r>
                <m:t>N</m:t>
              </m:r>
              <m:r>
                <m:t>P</m:t>
              </m:r>
              <m:r>
                <m:t>V</m:t>
              </m:r>
              <m:r>
                <m:rPr>
                  <m:sty m:val="p"/>
                </m:rPr>
                <m:t>=</m:t>
              </m:r>
              <m:r>
                <m:t>0</m:t>
              </m:r>
            </m:oMath>
          </w:p>
        </w:tc>
        <w:tc>
          <w:tcPr/>
          <w:p>
            <w:pPr>
              <w:pStyle w:val="Compact"/>
            </w:pPr>
            <w:r>
              <w:t xml:space="preserve">Higher is better; compare to hurdle rate</w:t>
            </w:r>
          </w:p>
        </w:tc>
      </w:tr>
      <w:tr>
        <w:tc>
          <w:tcPr/>
          <w:p>
            <w:pPr>
              <w:pStyle w:val="Compact"/>
            </w:pPr>
            <w:r>
              <w:rPr>
                <w:b/>
                <w:bCs/>
              </w:rPr>
              <w:t xml:space="preserve">LCOE</w:t>
            </w:r>
          </w:p>
        </w:tc>
        <w:tc>
          <w:tcPr/>
          <w:p>
            <w:pPr>
              <w:pStyle w:val="Compact"/>
            </w:pPr>
            <w:r>
              <w:t xml:space="preserve">PV(costs) ÷ PV(generation)</w:t>
            </w:r>
          </w:p>
        </w:tc>
        <w:tc>
          <w:tcPr/>
          <w:p>
            <w:pPr>
              <w:pStyle w:val="Compact"/>
            </w:pPr>
            <w:r>
              <w:t xml:space="preserve">Levelised unit cost in $/kWh</w:t>
            </w:r>
          </w:p>
        </w:tc>
      </w:tr>
      <w:tr>
        <w:tc>
          <w:tcPr/>
          <w:p>
            <w:pPr>
              <w:pStyle w:val="Compact"/>
            </w:pPr>
            <w:r>
              <w:rPr>
                <w:b/>
                <w:bCs/>
              </w:rPr>
              <w:t xml:space="preserve">Payback</w:t>
            </w:r>
          </w:p>
        </w:tc>
        <w:tc>
          <w:tcPr/>
          <w:p>
            <w:pPr>
              <w:pStyle w:val="Compact"/>
            </w:pPr>
            <w:r>
              <w:t xml:space="preserve">Year when cumulative savings turn positive</w:t>
            </w:r>
          </w:p>
        </w:tc>
        <w:tc>
          <w:tcPr/>
          <w:p>
            <w:pPr>
              <w:pStyle w:val="Compact"/>
            </w:pPr>
            <w:r>
              <w:t xml:space="preserve">Shorter is better</w:t>
            </w:r>
          </w:p>
        </w:tc>
      </w:tr>
    </w:tbl>
    <w:p>
      <w:pPr>
        <w:pStyle w:val="BodyText"/>
      </w:pPr>
      <w:r>
        <w:t xml:space="preserve">NPV and BCR serve as the primary decision criteria per</w:t>
      </w:r>
      <w:r>
        <w:t xml:space="preserve"> </w:t>
      </w:r>
      <w:r>
        <w:t xml:space="preserve">Asian Development Bank (2017)</w:t>
      </w:r>
      <w:r>
        <w:t xml:space="preserve">. IRR and payback are secondary indicators that speak to different audiences: finance ministries tend to focus on BCR, while development partners track IRR.</w:t>
      </w:r>
    </w:p>
    <w:bookmarkEnd w:id="89"/>
    <w:bookmarkEnd w:id="90"/>
    <w:bookmarkStart w:id="94" w:name="benefit-streams"/>
    <w:p>
      <w:pPr>
        <w:pStyle w:val="Heading2"/>
      </w:pPr>
      <w:r>
        <w:t xml:space="preserve">4.2 Benefit Streams</w:t>
      </w:r>
    </w:p>
    <w:p>
      <w:pPr>
        <w:pStyle w:val="FirstParagraph"/>
      </w:pPr>
      <w:r>
        <w:t xml:space="preserve">The analysis quantifies five benefit categories for each scenario relative to diesel BAU.</w:t>
      </w:r>
    </w:p>
    <w:p>
      <w:pPr>
        <w:pStyle w:val="BodyText"/>
      </w:pPr>
      <w:r>
        <w:rPr>
          <w:b/>
          <w:bCs/>
        </w:rPr>
        <w:t xml:space="preserve">Fuel cost savings</w:t>
      </w:r>
      <w:r>
        <w:t xml:space="preserve"> </w:t>
      </w:r>
      <w:r>
        <w:t xml:space="preserve">make up the largest component. Each kilowatt-hour from solar, wind, or imported electricity displaces diesel that would otherwise be burned. Diesel fuel is projected to cost $0.85 per litre in 2026</w:t>
      </w:r>
      <w:r>
        <w:rPr>
          <w:rStyle w:val="FootnoteReference"/>
        </w:rPr>
        <w:footnoteReference w:id="91"/>
      </w:r>
      <w:r>
        <w:t xml:space="preserve">, escalating at 2 per cent per year in real terms.</w:t>
      </w:r>
    </w:p>
    <w:p>
      <w:pPr>
        <w:pStyle w:val="BodyText"/>
      </w:pPr>
      <w:r>
        <w:rPr>
          <w:b/>
          <w:bCs/>
        </w:rPr>
        <w:t xml:space="preserve">Avoided emissions.</w:t>
      </w:r>
      <w:r>
        <w:t xml:space="preserve"> </w:t>
      </w:r>
      <w:r>
        <w:t xml:space="preserve">Each tonne of CO₂ not emitted is valued at the US EPA Social Cost of Carbon</w:t>
      </w:r>
      <w:r>
        <w:t xml:space="preserve"> </w:t>
      </w:r>
      <w:r>
        <w:t xml:space="preserve">(US Environmental Protection Agency, 2023)</w:t>
      </w:r>
      <w:r>
        <w:t xml:space="preserve">: approximately $190 per tonne in 2026, growing at 2 per cent per year in real terms.</w:t>
      </w:r>
    </w:p>
    <w:p>
      <w:pPr>
        <w:pStyle w:val="BodyText"/>
      </w:pPr>
      <w:r>
        <w:rPr>
          <w:b/>
          <w:bCs/>
        </w:rPr>
        <w:t xml:space="preserve">Health co-benefits.</w:t>
      </w:r>
      <w:r>
        <w:t xml:space="preserve"> </w:t>
      </w:r>
      <w:r>
        <w:t xml:space="preserve">Diesel generators emit PM₂.₅, NOₓ, and SO₂, with health effects concentrated in communities adjacent to powerhouses. Following</w:t>
      </w:r>
      <w:r>
        <w:t xml:space="preserve"> </w:t>
      </w:r>
      <w:r>
        <w:t xml:space="preserve">Parry et al. (2014)</w:t>
      </w:r>
      <w:r>
        <w:t xml:space="preserve">, these damages are valued at $40 per MWh of avoided diesel generation.</w:t>
      </w:r>
    </w:p>
    <w:p>
      <w:pPr>
        <w:pStyle w:val="BodyText"/>
      </w:pPr>
      <w:r>
        <w:rPr>
          <w:b/>
          <w:bCs/>
        </w:rPr>
        <w:t xml:space="preserve">Reliability.</w:t>
      </w:r>
      <w:r>
        <w:t xml:space="preserve"> </w:t>
      </w:r>
      <w:r>
        <w:t xml:space="preserve">Outer-island diesel systems suffer frequent breakdowns from ageing equipment and fuel supply disruptions. Lost load is valued at $5 per kWh of unserved energy</w:t>
      </w:r>
      <w:r>
        <w:rPr>
          <w:rStyle w:val="FootnoteReference"/>
        </w:rPr>
        <w:footnoteReference w:id="92"/>
      </w:r>
      <w:r>
        <w:t xml:space="preserve">.</w:t>
      </w:r>
    </w:p>
    <w:p>
      <w:pPr>
        <w:pStyle w:val="BodyText"/>
      </w:pPr>
      <w:r>
        <w:rPr>
          <w:b/>
          <w:bCs/>
        </w:rPr>
        <w:t xml:space="preserve">Other environmental externalities.</w:t>
      </w:r>
      <w:r>
        <w:t xml:space="preserve"> </w:t>
      </w:r>
      <w:r>
        <w:t xml:space="preserve">Diesel imposes costs beyond carbon: generator noise near residential areas ($5/MWh), fuel spill risk ($3/MWh), and biodiversity impacts from marine contamination ($2/MWh) — totalling $10 per MWh</w:t>
      </w:r>
      <w:r>
        <w:rPr>
          <w:rStyle w:val="FootnoteReference"/>
        </w:rPr>
        <w:footnoteReference w:id="93"/>
      </w:r>
      <w:r>
        <w:t xml:space="preserve">.</w:t>
      </w:r>
    </w:p>
    <w:bookmarkEnd w:id="94"/>
    <w:bookmarkStart w:id="95" w:name="discount-rate"/>
    <w:p>
      <w:pPr>
        <w:pStyle w:val="Heading2"/>
      </w:pPr>
      <w:r>
        <w:t xml:space="preserve">4.3 Discount Rate</w:t>
      </w:r>
    </w:p>
    <w:p>
      <w:pPr>
        <w:pStyle w:val="FirstParagraph"/>
      </w:pPr>
      <w:r>
        <w:t xml:space="preserve">The discount rate governs the relative weight of near-term costs against distant future benefits, a choice that matters for capital-intensive infrastructure with 30- to 50-year payoff horizons.</w:t>
      </w:r>
    </w:p>
    <w:p>
      <w:pPr>
        <w:pStyle w:val="BodyText"/>
      </w:pPr>
      <w:r>
        <w:t xml:space="preserve">The base case analysis uses a</w:t>
      </w:r>
      <w:r>
        <w:t xml:space="preserve"> </w:t>
      </w:r>
      <w:r>
        <w:rPr>
          <w:b/>
          <w:bCs/>
        </w:rPr>
        <w:t xml:space="preserve">6 per cent real social discount rate</w:t>
      </w:r>
      <w:r>
        <w:t xml:space="preserve">, following</w:t>
      </w:r>
      <w:r>
        <w:t xml:space="preserve"> </w:t>
      </w:r>
      <w:r>
        <w:t xml:space="preserve">Asian Development Bank (2017)</w:t>
      </w:r>
      <w:r>
        <w:t xml:space="preserve"> </w:t>
      </w:r>
      <w:r>
        <w:t xml:space="preserve">§4.12 for developing-country members. This rate reflects the social opportunity cost of capital in developing economies — the return that could be earned on the best alternative public investment — and is the standard rate used in ADB-financed project appraisals across the Asia-Pacific region. Sensitivity analysis covers the full range from 3 per cent (consistent with the</w:t>
      </w:r>
      <w:r>
        <w:t xml:space="preserve"> </w:t>
      </w:r>
      <w:r>
        <w:t xml:space="preserve">Stern (2006)</w:t>
      </w:r>
      <w:r>
        <w:t xml:space="preserve"> </w:t>
      </w:r>
      <w:r>
        <w:t xml:space="preserve">approach to intergenerational equity) to 12 per cent (the ADB upper bound for projects with higher-than-average systematic risk).</w:t>
      </w:r>
    </w:p>
    <w:p>
      <w:pPr>
        <w:pStyle w:val="BodyText"/>
      </w:pPr>
      <w:r>
        <w:t xml:space="preserve">A declining discount rate (DDR) schedule is also tested, following</w:t>
      </w:r>
      <w:r>
        <w:t xml:space="preserve"> </w:t>
      </w:r>
      <w:r>
        <w:t xml:space="preserve">HM Treasury (2022)</w:t>
      </w:r>
      <w:r>
        <w:t xml:space="preserve">,</w:t>
      </w:r>
      <w:r>
        <w:t xml:space="preserve"> </w:t>
      </w:r>
      <w:r>
        <w:t xml:space="preserve">Weitzman (2001)</w:t>
      </w:r>
      <w:r>
        <w:t xml:space="preserve">, and</w:t>
      </w:r>
      <w:r>
        <w:t xml:space="preserve"> </w:t>
      </w:r>
      <w:r>
        <w:t xml:space="preserve">Drupp et al. (2018)</w:t>
      </w:r>
      <w:r>
        <w:t xml:space="preserve">. The DDR schedule applies 3.5 per cent for years 0 to 30, declining to 3.0 per cent for years 31 to 75, and 2.5 per cent thereafter. The rationale: uncertainty about future growth rates creates an effective discount rate that falls over time, giving more weight to distant benefits such as avoided climate damages.</w:t>
      </w:r>
    </w:p>
    <w:bookmarkEnd w:id="95"/>
    <w:bookmarkStart w:id="96" w:name="time-horizon"/>
    <w:p>
      <w:pPr>
        <w:pStyle w:val="Heading2"/>
      </w:pPr>
      <w:r>
        <w:t xml:space="preserve">4.4 Time Horizon</w:t>
      </w:r>
    </w:p>
    <w:p>
      <w:pPr>
        <w:pStyle w:val="FirstParagraph"/>
      </w:pPr>
      <w:r>
        <w:t xml:space="preserve">The default analysis period is 30 years (2026 – 2056), matching the useful life of solar panels (30 years) and falling within the range of credible demand projections. Submarine cables are designed for 40-year service and LNG terminals for 30–40 years, so a 30-year horizon captures most benefits while avoiding speculative extrapolation.</w:t>
      </w:r>
    </w:p>
    <w:p>
      <w:pPr>
        <w:pStyle w:val="BodyText"/>
      </w:pPr>
      <w:r>
        <w:t xml:space="preserve">Robustness checks extend the analysis to a shorter 20-year and a longer 50-year horizon. All infrastructure with remaining useful life at the end of the analysis period receives a salvage value credit based on straight-line depreciation.</w:t>
      </w:r>
    </w:p>
    <w:bookmarkEnd w:id="96"/>
    <w:bookmarkStart w:id="98" w:name="what-this-analysis-does-not-cover"/>
    <w:p>
      <w:pPr>
        <w:pStyle w:val="Heading2"/>
      </w:pPr>
      <w:r>
        <w:t xml:space="preserve">4.5 What This Analysis Does Not Cover</w:t>
      </w:r>
    </w:p>
    <w:p>
      <w:pPr>
        <w:pStyle w:val="FirstParagraph"/>
      </w:pPr>
      <w:r>
        <w:rPr>
          <w:b/>
          <w:bCs/>
        </w:rPr>
        <w:t xml:space="preserve">Resort sector.</w:t>
      </w:r>
      <w:r>
        <w:t xml:space="preserve"> </w:t>
      </w:r>
      <w:r>
        <w:t xml:space="preserve">~1,050 GWh/year of private diesel generation</w:t>
      </w:r>
      <w:r>
        <w:rPr>
          <w:rStyle w:val="FootnoteReference"/>
        </w:rPr>
        <w:footnoteReference w:id="97"/>
      </w:r>
      <w:r>
        <w:t xml:space="preserve"> </w:t>
      </w:r>
      <w:r>
        <w:t xml:space="preserve">— nearly matching the public utility — but off-grid and commercially driven. Emissions are noted for context; a separate commercial analysis would be needed.</w:t>
      </w:r>
    </w:p>
    <w:p>
      <w:pPr>
        <w:pStyle w:val="BodyText"/>
      </w:pPr>
      <w:r>
        <w:rPr>
          <w:b/>
          <w:bCs/>
        </w:rPr>
        <w:t xml:space="preserve">General equilibrium effects.</w:t>
      </w:r>
      <w:r>
        <w:t xml:space="preserve"> </w:t>
      </w:r>
      <w:r>
        <w:t xml:space="preserve">GDP multipliers, employment gains, and terms-of-trade improvements from lower electricity costs are not modelled. Including them would likely strengthen the transition case.</w:t>
      </w:r>
    </w:p>
    <w:p>
      <w:pPr>
        <w:pStyle w:val="BodyText"/>
      </w:pPr>
      <w:r>
        <w:rPr>
          <w:b/>
          <w:bCs/>
        </w:rPr>
        <w:t xml:space="preserve">Political economy.</w:t>
      </w:r>
      <w:r>
        <w:t xml:space="preserve"> </w:t>
      </w:r>
      <w:r>
        <w:t xml:space="preserve">Institutional capacity, governance, and coalition-building are treated as exogenous.</w:t>
      </w:r>
      <w:r>
        <w:t xml:space="preserve"> </w:t>
      </w:r>
      <w:hyperlink w:anchor="sec-implementation">
        <w:r>
          <w:rPr>
            <w:rStyle w:val="Hyperlink"/>
          </w:rPr>
          <w:t xml:space="preserve">Chapter 11</w:t>
        </w:r>
      </w:hyperlink>
      <w:r>
        <w:t xml:space="preserve"> </w:t>
      </w:r>
      <w:r>
        <w:t xml:space="preserve">addresses implementation qualitatively.</w:t>
      </w:r>
    </w:p>
    <w:p>
      <w:pPr>
        <w:pStyle w:val="BodyText"/>
      </w:pPr>
      <w:r>
        <w:rPr>
          <w:b/>
          <w:bCs/>
        </w:rPr>
        <w:t xml:space="preserve">Demand-side management.</w:t>
      </w:r>
      <w:r>
        <w:t xml:space="preserve"> </w:t>
      </w:r>
      <w:r>
        <w:t xml:space="preserve">Energy efficiency and demand response are not modelled beyond price elasticity effects. Aggressive efficiency programmes could reduce supply-side investment needs below estimates here.</w:t>
      </w:r>
    </w:p>
    <w:bookmarkEnd w:id="98"/>
    <w:bookmarkEnd w:id="99"/>
    <w:bookmarkStart w:id="126" w:name="sec-scenarios"/>
    <w:p>
      <w:pPr>
        <w:pStyle w:val="Heading1"/>
      </w:pPr>
      <w:r>
        <w:t xml:space="preserve">5. The Seven Scenarios</w:t>
      </w:r>
    </w:p>
    <w:p>
      <w:pPr>
        <w:pStyle w:val="FirstParagraph"/>
      </w:pPr>
      <w:r>
        <w:t xml:space="preserve">From continued diesel dependence to near-complete decarbonisation in thirty years. Each scenario below represents a plausible combination of technologies, policies, and institutional arrangements. They are structured counterfactuals, not forecasts.</w:t>
      </w:r>
    </w:p>
    <w:bookmarkStart w:id="101" w:name="scenario-overview"/>
    <w:p>
      <w:pPr>
        <w:pStyle w:val="Heading2"/>
      </w:pPr>
      <w:r>
        <w:t xml:space="preserve">5.1 Scenario Overview</w:t>
      </w:r>
    </w:p>
    <w:p>
      <w:pPr>
        <w:pStyle w:val="FirstParagraph"/>
      </w:pPr>
      <w:r>
        <w:t xml:space="preserve">The seven scenarios capture the principal strategic choices available to the Maldives, differing along four dimensions: technology mix (diesel, solar, wind, battery, LNG, submarine cable), geographic scope (island-by-island versus interconnected), international dependence (domestic-only versus reliance on India), and implementation timeline (immediate versus phased).</w:t>
      </w:r>
    </w:p>
    <w:tbl>
      <w:tblPr>
        <w:tblStyle w:val="Table"/>
        <w:tblW w:type="pct" w:w="5000"/>
        <w:tblLayout w:type="fixed"/>
        <w:tblLook w:firstRow="0" w:lastRow="0" w:firstColumn="0" w:lastColumn="0" w:noHBand="0" w:noVBand="0" w:val="0000"/>
      </w:tblPr>
      <w:tblGrid>
        <w:gridCol w:w="7920"/>
      </w:tblGrid>
      <w:tr>
        <w:tc>
          <w:tcPr/>
          <w:bookmarkStart w:id="100" w:name="tbl-scenario-overview"/>
          <w:p>
            <w:pPr>
              <w:jc w:val="center"/>
            </w:pPr>
            <w:pPr>
              <w:jc w:val="start"/>
              <w:spacing w:before="200"/>
              <w:pStyle w:val="ImageCaption"/>
            </w:pPr>
            <w:r>
              <w:t xml:space="preserve">Table 5.1: Summary of seven scenarios: technology mix, geographic scope, and key differentiators.</w:t>
            </w:r>
          </w:p>
          <w:tbl>
            <w:tblPr>
              <w:tblStyle w:val="Table"/>
              <w:tblW w:type="pct" w:w="5000"/>
              <w:tblLayout w:type="fixed"/>
              <w:tblLook w:firstRow="1" w:lastRow="0" w:firstColumn="0" w:lastColumn="0" w:noHBand="0" w:noVBand="0" w:val="0020"/>
            </w:tblPr>
            <w:tblGrid>
              <w:gridCol w:w="920"/>
              <w:gridCol w:w="2240"/>
              <w:gridCol w:w="1960"/>
              <w:gridCol w:w="2200"/>
              <w:gridCol w:w="600"/>
            </w:tblGrid>
            <w:tr>
              <w:trPr>
                <w:tblHeader w:val="on"/>
              </w:trPr>
              <w:tc>
                <w:tcPr/>
                <w:p>
                  <w:pPr>
                    <w:pStyle w:val="Compact"/>
                    <w:jc w:val="left"/>
                    <w:jc w:val="center"/>
                  </w:pPr>
                  <w:r>
                    <w:t xml:space="preserve">Scenario</w:t>
                  </w:r>
                </w:p>
              </w:tc>
              <w:tc>
                <w:tcPr/>
                <w:p>
                  <w:pPr>
                    <w:pStyle w:val="Compact"/>
                    <w:jc w:val="left"/>
                    <w:jc w:val="center"/>
                  </w:pPr>
                  <w:r>
                    <w:t xml:space="preserve">Technology</w:t>
                  </w:r>
                </w:p>
              </w:tc>
              <w:tc>
                <w:tcPr/>
                <w:p>
                  <w:pPr>
                    <w:pStyle w:val="Compact"/>
                    <w:jc w:val="left"/>
                    <w:jc w:val="center"/>
                  </w:pPr>
                  <w:r>
                    <w:t xml:space="preserve">Geographic Focus</w:t>
                  </w:r>
                </w:p>
              </w:tc>
              <w:tc>
                <w:tcPr/>
                <w:p>
                  <w:pPr>
                    <w:pStyle w:val="Compact"/>
                    <w:jc w:val="left"/>
                    <w:jc w:val="center"/>
                  </w:pPr>
                  <w:r>
                    <w:t xml:space="preserve">Key Feature</w:t>
                  </w:r>
                </w:p>
              </w:tc>
              <w:tc>
                <w:tcPr/>
                <w:p>
                  <w:pPr>
                    <w:pStyle w:val="Compact"/>
                    <w:jc w:val="left"/>
                    <w:jc w:val="center"/>
                  </w:pPr>
                  <w:r>
                    <w:t xml:space="preserve">India Cable</w:t>
                  </w:r>
                </w:p>
              </w:tc>
            </w:tr>
            <w:tr>
              <w:tc>
                <w:tcPr/>
                <w:p>
                  <w:pPr>
                    <w:pStyle w:val="Compact"/>
                    <w:jc w:val="left"/>
                    <w:jc w:val="center"/>
                  </w:pPr>
                  <w:r>
                    <w:t xml:space="preserve">S1 — BAU (Diesel)</w:t>
                  </w:r>
                </w:p>
              </w:tc>
              <w:tc>
                <w:tcPr/>
                <w:p>
                  <w:pPr>
                    <w:pStyle w:val="Compact"/>
                    <w:jc w:val="left"/>
                    <w:jc w:val="center"/>
                  </w:pPr>
                  <w:r>
                    <w:t xml:space="preserve">Diesel generators only</w:t>
                  </w:r>
                </w:p>
              </w:tc>
              <w:tc>
                <w:tcPr/>
                <w:p>
                  <w:pPr>
                    <w:pStyle w:val="Compact"/>
                    <w:jc w:val="left"/>
                    <w:jc w:val="center"/>
                  </w:pPr>
                  <w:r>
                    <w:t xml:space="preserve">All islands (status quo)</w:t>
                  </w:r>
                </w:p>
              </w:tc>
              <w:tc>
                <w:tcPr/>
                <w:p>
                  <w:pPr>
                    <w:pStyle w:val="Compact"/>
                    <w:jc w:val="left"/>
                    <w:jc w:val="center"/>
                  </w:pPr>
                  <w:r>
                    <w:t xml:space="preserve">No new RE investment; continued diesel expansion</w:t>
                  </w:r>
                </w:p>
              </w:tc>
              <w:tc>
                <w:tcPr/>
                <w:p>
                  <w:pPr>
                    <w:pStyle w:val="Compact"/>
                    <w:jc w:val="left"/>
                    <w:jc w:val="center"/>
                  </w:pPr>
                  <w:r>
                    <w:t xml:space="preserve">No</w:t>
                  </w:r>
                </w:p>
              </w:tc>
            </w:tr>
            <w:tr>
              <w:tc>
                <w:tcPr/>
                <w:p>
                  <w:pPr>
                    <w:pStyle w:val="Compact"/>
                    <w:jc w:val="left"/>
                    <w:jc w:val="center"/>
                  </w:pPr>
                  <w:r>
                    <w:t xml:space="preserve">S2 — Full Integration</w:t>
                  </w:r>
                </w:p>
              </w:tc>
              <w:tc>
                <w:tcPr/>
                <w:p>
                  <w:pPr>
                    <w:pStyle w:val="Compact"/>
                    <w:jc w:val="left"/>
                    <w:jc w:val="center"/>
                  </w:pPr>
                  <w:r>
                    <w:t xml:space="preserve">India HVDC cable + solar + battery</w:t>
                  </w:r>
                </w:p>
              </w:tc>
              <w:tc>
                <w:tcPr/>
                <w:p>
                  <w:pPr>
                    <w:pStyle w:val="Compact"/>
                    <w:jc w:val="left"/>
                    <w:jc w:val="center"/>
                  </w:pPr>
                  <w:r>
                    <w:t xml:space="preserve">Greater Malé via cable; outer islands via solar</w:t>
                  </w:r>
                </w:p>
              </w:tc>
              <w:tc>
                <w:tcPr/>
                <w:p>
                  <w:pPr>
                    <w:pStyle w:val="Compact"/>
                    <w:jc w:val="left"/>
                    <w:jc w:val="center"/>
                  </w:pPr>
                  <w:r>
                    <w:t xml:space="preserve">700 km submarine cable to India; imports at $0.06/kWh</w:t>
                  </w:r>
                </w:p>
              </w:tc>
              <w:tc>
                <w:tcPr/>
                <w:p>
                  <w:pPr>
                    <w:pStyle w:val="Compact"/>
                    <w:jc w:val="left"/>
                    <w:jc w:val="center"/>
                  </w:pPr>
                  <w:r>
                    <w:t xml:space="preserve">Yes</w:t>
                  </w:r>
                </w:p>
              </w:tc>
            </w:tr>
            <w:tr>
              <w:tc>
                <w:tcPr/>
                <w:p>
                  <w:pPr>
                    <w:pStyle w:val="Compact"/>
                    <w:jc w:val="left"/>
                    <w:jc w:val="center"/>
                  </w:pPr>
                  <w:r>
                    <w:t xml:space="preserve">S3 — National Grid</w:t>
                  </w:r>
                </w:p>
              </w:tc>
              <w:tc>
                <w:tcPr/>
                <w:p>
                  <w:pPr>
                    <w:pStyle w:val="Compact"/>
                    <w:jc w:val="left"/>
                    <w:jc w:val="center"/>
                  </w:pPr>
                  <w:r>
                    <w:t xml:space="preserve">Solar + battery + inter-island cables</w:t>
                  </w:r>
                </w:p>
              </w:tc>
              <w:tc>
                <w:tcPr/>
                <w:p>
                  <w:pPr>
                    <w:pStyle w:val="Compact"/>
                    <w:jc w:val="left"/>
                    <w:jc w:val="center"/>
                  </w:pPr>
                  <w:r>
                    <w:t xml:space="preserve">All islands; limited interconnection</w:t>
                  </w:r>
                </w:p>
              </w:tc>
              <w:tc>
                <w:tcPr/>
                <w:p>
                  <w:pPr>
                    <w:pStyle w:val="Compact"/>
                    <w:jc w:val="left"/>
                    <w:jc w:val="center"/>
                  </w:pPr>
                  <w:r>
                    <w:t xml:space="preserve">Domestic RE only; no international cable</w:t>
                  </w:r>
                </w:p>
              </w:tc>
              <w:tc>
                <w:tcPr/>
                <w:p>
                  <w:pPr>
                    <w:pStyle w:val="Compact"/>
                    <w:jc w:val="left"/>
                    <w:jc w:val="center"/>
                  </w:pPr>
                  <w:r>
                    <w:t xml:space="preserve">No</w:t>
                  </w:r>
                </w:p>
              </w:tc>
            </w:tr>
            <w:tr>
              <w:tc>
                <w:tcPr/>
                <w:p>
                  <w:pPr>
                    <w:pStyle w:val="Compact"/>
                    <w:jc w:val="left"/>
                    <w:jc w:val="center"/>
                  </w:pPr>
                  <w:r>
                    <w:t xml:space="preserve">S4 — Islanded Green</w:t>
                  </w:r>
                </w:p>
              </w:tc>
              <w:tc>
                <w:tcPr/>
                <w:p>
                  <w:pPr>
                    <w:pStyle w:val="Compact"/>
                    <w:jc w:val="left"/>
                    <w:jc w:val="center"/>
                  </w:pPr>
                  <w:r>
                    <w:t xml:space="preserve">Solar + battery (island-by-island)</w:t>
                  </w:r>
                </w:p>
              </w:tc>
              <w:tc>
                <w:tcPr/>
                <w:p>
                  <w:pPr>
                    <w:pStyle w:val="Compact"/>
                    <w:jc w:val="left"/>
                    <w:jc w:val="center"/>
                  </w:pPr>
                  <w:r>
                    <w:t xml:space="preserve">Each island independently</w:t>
                  </w:r>
                </w:p>
              </w:tc>
              <w:tc>
                <w:tcPr/>
                <w:p>
                  <w:pPr>
                    <w:pStyle w:val="Compact"/>
                    <w:jc w:val="left"/>
                    <w:jc w:val="center"/>
                  </w:pPr>
                  <w:r>
                    <w:t xml:space="preserve">Modular deployment; no grid extension</w:t>
                  </w:r>
                </w:p>
              </w:tc>
              <w:tc>
                <w:tcPr/>
                <w:p>
                  <w:pPr>
                    <w:pStyle w:val="Compact"/>
                    <w:jc w:val="left"/>
                    <w:jc w:val="center"/>
                  </w:pPr>
                  <w:r>
                    <w:t xml:space="preserve">No</w:t>
                  </w:r>
                </w:p>
              </w:tc>
            </w:tr>
            <w:tr>
              <w:tc>
                <w:tcPr/>
                <w:p>
                  <w:pPr>
                    <w:pStyle w:val="Compact"/>
                    <w:jc w:val="left"/>
                    <w:jc w:val="center"/>
                  </w:pPr>
                  <w:r>
                    <w:t xml:space="preserve">S5 — Near-Shore Solar</w:t>
                  </w:r>
                </w:p>
              </w:tc>
              <w:tc>
                <w:tcPr/>
                <w:p>
                  <w:pPr>
                    <w:pStyle w:val="Compact"/>
                    <w:jc w:val="left"/>
                    <w:jc w:val="center"/>
                  </w:pPr>
                  <w:r>
                    <w:t xml:space="preserve">Solar farms on uninhabited islands + battery</w:t>
                  </w:r>
                </w:p>
              </w:tc>
              <w:tc>
                <w:tcPr/>
                <w:p>
                  <w:pPr>
                    <w:pStyle w:val="Compact"/>
                    <w:jc w:val="left"/>
                    <w:jc w:val="center"/>
                  </w:pPr>
                  <w:r>
                    <w:t xml:space="preserve">Greater Malé + outer islands</w:t>
                  </w:r>
                </w:p>
              </w:tc>
              <w:tc>
                <w:tcPr/>
                <w:p>
                  <w:pPr>
                    <w:pStyle w:val="Compact"/>
                    <w:jc w:val="left"/>
                    <w:jc w:val="center"/>
                  </w:pPr>
                  <w:r>
                    <w:t xml:space="preserve">104 MW on uninhabited islands near Malé</w:t>
                  </w:r>
                </w:p>
              </w:tc>
              <w:tc>
                <w:tcPr/>
                <w:p>
                  <w:pPr>
                    <w:pStyle w:val="Compact"/>
                    <w:jc w:val="left"/>
                    <w:jc w:val="center"/>
                  </w:pPr>
                  <w:r>
                    <w:t xml:space="preserve">No</w:t>
                  </w:r>
                </w:p>
              </w:tc>
            </w:tr>
            <w:tr>
              <w:tc>
                <w:tcPr/>
                <w:p>
                  <w:pPr>
                    <w:pStyle w:val="Compact"/>
                    <w:jc w:val="left"/>
                    <w:jc w:val="center"/>
                  </w:pPr>
                  <w:r>
                    <w:t xml:space="preserve">S6 — Maximum RE</w:t>
                  </w:r>
                </w:p>
              </w:tc>
              <w:tc>
                <w:tcPr/>
                <w:p>
                  <w:pPr>
                    <w:pStyle w:val="Compact"/>
                    <w:jc w:val="left"/>
                    <w:jc w:val="center"/>
                  </w:pPr>
                  <w:r>
                    <w:t xml:space="preserve">Floating solar + near-shore + rooftop + wind + battery</w:t>
                  </w:r>
                </w:p>
              </w:tc>
              <w:tc>
                <w:tcPr/>
                <w:p>
                  <w:pPr>
                    <w:pStyle w:val="Compact"/>
                    <w:jc w:val="left"/>
                    <w:jc w:val="center"/>
                  </w:pPr>
                  <w:r>
                    <w:t xml:space="preserve">All islands; floating solar on lagoons</w:t>
                  </w:r>
                </w:p>
              </w:tc>
              <w:tc>
                <w:tcPr/>
                <w:p>
                  <w:pPr>
                    <w:pStyle w:val="Compact"/>
                    <w:jc w:val="left"/>
                    <w:jc w:val="center"/>
                  </w:pPr>
                  <w:r>
                    <w:t xml:space="preserve">195 MW floating + 80 MW wind (GoM Roadmap)</w:t>
                  </w:r>
                </w:p>
              </w:tc>
              <w:tc>
                <w:tcPr/>
                <w:p>
                  <w:pPr>
                    <w:pStyle w:val="Compact"/>
                    <w:jc w:val="left"/>
                    <w:jc w:val="center"/>
                  </w:pPr>
                  <w:r>
                    <w:t xml:space="preserve">No</w:t>
                  </w:r>
                </w:p>
              </w:tc>
            </w:tr>
            <w:tr>
              <w:tc>
                <w:tcPr/>
                <w:p>
                  <w:pPr>
                    <w:pStyle w:val="Compact"/>
                    <w:jc w:val="left"/>
                    <w:jc w:val="center"/>
                  </w:pPr>
                  <w:r>
                    <w:t xml:space="preserve">S7 — LNG Transition</w:t>
                  </w:r>
                </w:p>
              </w:tc>
              <w:tc>
                <w:tcPr/>
                <w:p>
                  <w:pPr>
                    <w:pStyle w:val="Compact"/>
                    <w:jc w:val="left"/>
                    <w:jc w:val="center"/>
                  </w:pPr>
                  <w:r>
                    <w:t xml:space="preserve">LNG terminal + solar + battery</w:t>
                  </w:r>
                </w:p>
              </w:tc>
              <w:tc>
                <w:tcPr/>
                <w:p>
                  <w:pPr>
                    <w:pStyle w:val="Compact"/>
                    <w:jc w:val="left"/>
                    <w:jc w:val="center"/>
                  </w:pPr>
                  <w:r>
                    <w:t xml:space="preserve">Greater Malé via LNG; outer islands via solar</w:t>
                  </w:r>
                </w:p>
              </w:tc>
              <w:tc>
                <w:tcPr/>
                <w:p>
                  <w:pPr>
                    <w:pStyle w:val="Compact"/>
                    <w:jc w:val="left"/>
                    <w:jc w:val="center"/>
                  </w:pPr>
                  <w:r>
                    <w:t xml:space="preserve">140 MW Gulhifalhu LNG terminal from 2031</w:t>
                  </w:r>
                </w:p>
              </w:tc>
              <w:tc>
                <w:tcPr/>
                <w:p>
                  <w:pPr>
                    <w:pStyle w:val="Compact"/>
                    <w:jc w:val="left"/>
                    <w:jc w:val="center"/>
                  </w:pPr>
                  <w:r>
                    <w:t xml:space="preserve">No</w:t>
                  </w:r>
                </w:p>
              </w:tc>
            </w:tr>
          </w:tbl>
          <w:bookmarkEnd w:id="100"/>
          <w:p/>
        </w:tc>
      </w:tr>
    </w:tbl>
    <w:p>
      <w:pPr>
        <w:pStyle w:val="BodyText"/>
      </w:pPr>
      <w:r>
        <w:t xml:space="preserve">Only S2 involves an international submarine cable. S3, S4, and S5 rely entirely on domestic renewables. S6 adds floating solar and wind. S7 introduces LNG as a bridge fuel for Greater Malé.</w:t>
      </w:r>
    </w:p>
    <w:bookmarkEnd w:id="101"/>
    <w:bookmarkStart w:id="107" w:name="sec-s1"/>
    <w:p>
      <w:pPr>
        <w:pStyle w:val="Heading2"/>
      </w:pPr>
      <w:r>
        <w:t xml:space="preserve">5.2 S1 — BAU: Continued Diesel</w:t>
      </w:r>
    </w:p>
    <w:p>
      <w:pPr>
        <w:pStyle w:val="FirstParagraph"/>
      </w:pPr>
      <w:r>
        <w:t xml:space="preserve">The business-as-usual scenario is the analytical counterfactual: the Maldives continues expanding diesel generation in step with demand, making no new renewable investments beyond the existing pipeline. The Government’s Energy Roadmap</w:t>
      </w:r>
      <w:r>
        <w:t xml:space="preserve"> </w:t>
      </w:r>
      <w:r>
        <w:t xml:space="preserve">(2024)</w:t>
      </w:r>
      <w:r>
        <w:t xml:space="preserve"> </w:t>
      </w:r>
      <w:r>
        <w:t xml:space="preserve">envisions otherwise, but BAU defines the costs that would accumulate absent policy action. Its purpose is not to predict, but to establish the baseline against which all alternatives are measured.</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03" name="Picture"/>
                  <a:graphic>
                    <a:graphicData uri="http://schemas.openxmlformats.org/drawingml/2006/picture">
                      <pic:pic>
                        <pic:nvPicPr>
                          <pic:cNvPr descr="C:\Users\LucasSempe\AppData\Local\Programs\Quarto\share\formats\docx\warning.png" id="104" name="Picture"/>
                          <pic:cNvPicPr>
                            <a:picLocks noChangeArrowheads="1" noChangeAspect="1"/>
                          </pic:cNvPicPr>
                        </pic:nvPicPr>
                        <pic:blipFill>
                          <a:blip r:embed="rId10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BAU is not a realistic future — it represents</w:t>
            </w:r>
            <w:r>
              <w:t xml:space="preserve"> </w:t>
            </w:r>
            <w:r>
              <w:rPr>
                <w:i/>
                <w:iCs/>
              </w:rPr>
              <w:t xml:space="preserve">what happens if no policy action is taken</w:t>
            </w:r>
            <w:r>
              <w:t xml:space="preserve">. It exists as the analytical baseline against which all alternatives are measured.</w:t>
            </w:r>
          </w:p>
        </w:tc>
      </w:tr>
    </w:tbl>
    <w:p>
      <w:pPr>
        <w:pStyle w:val="BodyText"/>
      </w:pPr>
      <w:r>
        <w:t xml:space="preserve">The BAU scenario assumes electricity demand grows at 5 per cent per year</w:t>
      </w:r>
      <w:r>
        <w:rPr>
          <w:rStyle w:val="FootnoteReference"/>
        </w:rPr>
        <w:footnoteReference w:id="105"/>
      </w:r>
      <w:r>
        <w:t xml:space="preserve">. Diesel fuel is projected to cost $0.85 per litre in 2026, escalating at 2 per cent per year in real terms</w:t>
      </w:r>
      <w:r>
        <w:rPr>
          <w:rStyle w:val="FootnoteReference"/>
        </w:rPr>
        <w:footnoteReference w:id="106"/>
      </w:r>
      <w:r>
        <w:t xml:space="preserve">. No new solar or battery capacity is deployed, and all externalities accumulate at full diesel intensity throughout.</w:t>
      </w:r>
    </w:p>
    <w:bookmarkEnd w:id="107"/>
    <w:bookmarkStart w:id="112" w:name="sec-s2"/>
    <w:p>
      <w:pPr>
        <w:pStyle w:val="Heading2"/>
      </w:pPr>
      <w:r>
        <w:t xml:space="preserve">5.3 S2 — Full Integration: The India Cable</w:t>
      </w:r>
    </w:p>
    <w:p>
      <w:pPr>
        <w:pStyle w:val="FirstParagraph"/>
      </w:pPr>
      <w:r>
        <w:t xml:space="preserve">The Full Integration scenario centres on a 700-kilometre HVDC submarine cable connecting the Maldives to India’s national grid</w:t>
      </w:r>
      <w:r>
        <w:rPr>
          <w:rStyle w:val="FootnoteReference"/>
        </w:rPr>
        <w:footnoteReference w:id="108"/>
      </w:r>
      <w:r>
        <w:t xml:space="preserve">. Imported electricity would reach Greater Malé at an estimated $0.06/kWh</w:t>
      </w:r>
      <w:r>
        <w:rPr>
          <w:rStyle w:val="FootnoteReference"/>
        </w:rPr>
        <w:footnoteReference w:id="109"/>
      </w:r>
      <w:r>
        <w:t xml:space="preserve">. Outer islands, too distant from the cable route, would still receive solar-plus-battery systems.</w:t>
      </w:r>
    </w:p>
    <w:p>
      <w:pPr>
        <w:pStyle w:val="BodyText"/>
      </w:pPr>
      <w:r>
        <w:t xml:space="preserve">Additional CAPEX: approximately $3.1 billion relative to BAU (cable, converters, landing stations, grid upgrades). NPV savings: $10.3 billion. Even with the largest upfront cost of any scenario, the cable pathway is superior to continued diesel.</w:t>
      </w:r>
    </w:p>
    <w:p>
      <w:pPr>
        <w:pStyle w:val="BodyText"/>
      </w:pPr>
      <w:r>
        <w:t xml:space="preserve">The cable provides stable baseload power to Greater Malé (57 per cent of national demand), where extreme urban density limits rooftop solar. The Indian grid’s emission factor of 0.70 kgCO₂/kWh</w:t>
      </w:r>
      <w:r>
        <w:rPr>
          <w:rStyle w:val="FootnoteReference"/>
        </w:rPr>
        <w:footnoteReference w:id="110"/>
      </w:r>
      <w:r>
        <w:t xml:space="preserve"> </w:t>
      </w:r>
      <w:r>
        <w:t xml:space="preserve">is lower than diesel and declining at approximately 2 per cent per year. The cable also eliminates direct fuel import dependency, replacing it with electricity import dependency.</w:t>
      </w:r>
    </w:p>
    <w:p>
      <w:pPr>
        <w:pStyle w:val="BodyText"/>
      </w:pPr>
      <w:r>
        <w:t xml:space="preserve">The risks are substantial. Outage rates for comparable submarine cables (NorNed, Basslink</w:t>
      </w:r>
      <w:r>
        <w:rPr>
          <w:rStyle w:val="FootnoteReference"/>
        </w:rPr>
        <w:footnoteReference w:id="111"/>
      </w:r>
      <w:r>
        <w:t xml:space="preserve">) average 0.15 per year, with repair times of one to six months. The Maldives would need to maintain backup diesel capacity, partially undermining fuel savings. Geopolitically, dependence on a single foreign electricity supplier for over half of supply carries diplomatic leverage implications. No cost-sharing agreement exists; the base case assumes the Maldives bears 100 per cent of cable cost, though sensitivity analysis explores 50 per cent cost-sharing.</w:t>
      </w:r>
    </w:p>
    <w:bookmarkEnd w:id="112"/>
    <w:bookmarkStart w:id="113" w:name="sec-s3"/>
    <w:p>
      <w:pPr>
        <w:pStyle w:val="Heading2"/>
      </w:pPr>
      <w:r>
        <w:t xml:space="preserve">5.4 S3 — National Grid: Domestic RE with Interconnection</w:t>
      </w:r>
    </w:p>
    <w:p>
      <w:pPr>
        <w:pStyle w:val="FirstParagraph"/>
      </w:pPr>
      <w:r>
        <w:t xml:space="preserve">Full domestic energy independence. Solar-plus-battery on every island, complemented by 14 km of inter-island cables linking the three islands nearest to Malé. No international cable, no LNG, no external dependence. Greater Malé is constrained to ~34 MWp of rooftop solar (</w:t>
      </w:r>
      <w:r>
        <w:t xml:space="preserve">Zentrum für Nachhaltige Energiesysteme (ZNES), Europa-Universität Flensburg (2020)</w:t>
      </w:r>
      <w:r>
        <w:t xml:space="preserve">).</w:t>
      </w:r>
    </w:p>
    <w:p>
      <w:pPr>
        <w:pStyle w:val="BodyText"/>
      </w:pPr>
      <w:r>
        <w:t xml:space="preserve">Additional CAPEX: ~$1.0 billion. NPV savings: $11.3 billion. The least-cost engine optimises technology assignment island-by-island, factoring in solar resources, land, demand, and cable economics.</w:t>
      </w:r>
    </w:p>
    <w:p>
      <w:pPr>
        <w:pStyle w:val="BodyText"/>
      </w:pPr>
      <w:r>
        <w:t xml:space="preserve">Strength: the Maldives controls its entire supply chain. No geopolitical cable risk, no fuel price volatility. Modular deployment means early islands generate savings that finance later phases.</w:t>
      </w:r>
    </w:p>
    <w:bookmarkEnd w:id="113"/>
    <w:bookmarkStart w:id="115" w:name="sec-s4"/>
    <w:p>
      <w:pPr>
        <w:pStyle w:val="Heading2"/>
      </w:pPr>
      <w:r>
        <w:t xml:space="preserve">5.5 S4 — Islanded Green: Solar+Battery on Every Island</w:t>
      </w:r>
    </w:p>
    <w:p>
      <w:pPr>
        <w:pStyle w:val="FirstParagraph"/>
      </w:pPr>
      <w:r>
        <w:t xml:space="preserve">The most implementable pathway. Each island gets its own solar-plus-battery system, sized to local demand and land availability. No cables, no cross-island coordination, no international dependencies.</w:t>
      </w:r>
    </w:p>
    <w:p>
      <w:pPr>
        <w:pStyle w:val="BodyText"/>
      </w:pPr>
      <w:r>
        <w:t xml:space="preserve">CAPEX: ~$1.4 billion. NPV savings: $10.3 billion. MCA implementation feasibility score: 0.80 (highest among all alternatives), reflecting proven technology and no regulatory or diplomatic prerequisites. Geographic equity is maximal: no community waits on diesel while others receive renewables. The trade-off is forgone scale economies from interconnection, plus island logistics that add a ~30% cost premium</w:t>
      </w:r>
      <w:r>
        <w:rPr>
          <w:rStyle w:val="FootnoteReference"/>
        </w:rPr>
        <w:footnoteReference w:id="114"/>
      </w:r>
      <w:r>
        <w:t xml:space="preserve">. Greater Malé achieves only ~18 MWp, leaving it with the highest residual diesel share among RE scenarios.</w:t>
      </w:r>
    </w:p>
    <w:bookmarkEnd w:id="115"/>
    <w:bookmarkStart w:id="116" w:name="sec-s5"/>
    <w:p>
      <w:pPr>
        <w:pStyle w:val="Heading2"/>
      </w:pPr>
      <w:r>
        <w:t xml:space="preserve">5.6 S5 — Near-Shore Solar: Uninhabited Island Solar Farms</w:t>
      </w:r>
    </w:p>
    <w:p>
      <w:pPr>
        <w:pStyle w:val="FirstParagraph"/>
      </w:pPr>
      <w:r>
        <w:t xml:space="preserve">Malé has almost no land for solar — one of the densest urban footprints in the world. Near-Shore Solar solves this by deploying 104 MW on uninhabited islands within 10 km: Thilafushi (industrial), Gulhifalhu (port development), Funadhoo, and Dhoonidhoo. Short submarine cables link these farms to Greater Malé.</w:t>
      </w:r>
    </w:p>
    <w:p>
      <w:pPr>
        <w:pStyle w:val="BodyText"/>
      </w:pPr>
      <w:r>
        <w:t xml:space="preserve">CAPEX: ~$1.2 billion. NPV savings: $12.0 billion. Greater Malé’s RE share jumps from ~4% (rooftop only) to ~25%, with no international infrastructure or geopolitical exposure. Outer islands receive standard solar-battery as in other scenarios. Implementation challenges include environmental permitting (Funadhoo and Dhoonidhoo may have ecological sensitivities), land tenure on industrial sites, and engineering shallow-reef submarine cables.</w:t>
      </w:r>
    </w:p>
    <w:bookmarkEnd w:id="116"/>
    <w:bookmarkStart w:id="118" w:name="sec-s6"/>
    <w:p>
      <w:pPr>
        <w:pStyle w:val="Heading2"/>
      </w:pPr>
      <w:r>
        <w:t xml:space="preserve">5.7 S6 — Maximum RE: Floating Solar and Beyond</w:t>
      </w:r>
    </w:p>
    <w:p>
      <w:pPr>
        <w:pStyle w:val="FirstParagraph"/>
      </w:pPr>
      <w:r>
        <w:t xml:space="preserve">The most ambitious domestic pathway, deploying every identified RE source: rooftop solar on all islands (34 MWp on Greater Malé), ground-mount where land permits, 104 MW near-shore, 195 MW floating solar (100 MW Malé lagoon + 95 MW outer atolls), and 80 MW wind</w:t>
      </w:r>
      <w:r>
        <w:rPr>
          <w:rStyle w:val="FootnoteReference"/>
        </w:rPr>
        <w:footnoteReference w:id="117"/>
      </w:r>
      <w:r>
        <w:t xml:space="preserve">. Solar peaks at midday; wind adds generation in the evening and under overcast conditions. The floating solar target aligns with the</w:t>
      </w:r>
      <w:r>
        <w:t xml:space="preserve"> </w:t>
      </w:r>
      <w:r>
        <w:t xml:space="preserve">Ministry of Climate Change, Environment and Energy, Republic of Maldives (2024)</w:t>
      </w:r>
      <w:r>
        <w:t xml:space="preserve">.</w:t>
      </w:r>
    </w:p>
    <w:p>
      <w:pPr>
        <w:pStyle w:val="BodyText"/>
      </w:pPr>
      <w:r>
        <w:t xml:space="preserve">CAPEX: ~$1.8 billion. NPV savings: $13.8 billion. Final RE share reaches 64% — one of the highest achievable by any SIDS. Diesel dependence and foreign energy exposure are both minimised.</w:t>
      </w:r>
    </w:p>
    <w:p>
      <w:pPr>
        <w:pStyle w:val="BodyText"/>
      </w:pPr>
      <w:r>
        <w:t xml:space="preserve">Wind at 80 MW contributes ~175 GWh/year (25% CF, below global averages due to the equatorial location). Its RE share is modest (~4–5 percentage points) but it provides generation diversity at hours when solar output is low.</w:t>
      </w:r>
    </w:p>
    <w:p>
      <w:pPr>
        <w:pStyle w:val="BodyText"/>
      </w:pPr>
      <w:r>
        <w:t xml:space="preserve">Floating solar carries a ~50% cost premium for marine installation, anchoring, and corrosion resistance. The technology is commercial but largely untested at scale in tropical oceans. If floating solar underperforms, the remaining near-shore, rooftop, and wind capacity still delivers strong returns. The scenario therefore contains a built-in fallback.</w:t>
      </w:r>
    </w:p>
    <w:bookmarkEnd w:id="118"/>
    <w:bookmarkStart w:id="120" w:name="sec-s7"/>
    <w:p>
      <w:pPr>
        <w:pStyle w:val="Heading2"/>
      </w:pPr>
      <w:r>
        <w:t xml:space="preserve">5.8 S7 — LNG Transition: Gas for Malé, Solar for Islands</w:t>
      </w:r>
    </w:p>
    <w:p>
      <w:pPr>
        <w:pStyle w:val="FirstParagraph"/>
      </w:pPr>
      <w:r>
        <w:t xml:space="preserve">The pragmatic bridge. A 140 MW LNG terminal at Gulhifalhu (operational 2031) replaces diesel in Greater Malé. Emission factor: 0.40 kgCO₂/kWh</w:t>
      </w:r>
      <w:r>
        <w:rPr>
          <w:rStyle w:val="FootnoteReference"/>
        </w:rPr>
        <w:footnoteReference w:id="119"/>
      </w:r>
      <w:r>
        <w:t xml:space="preserve"> </w:t>
      </w:r>
      <w:r>
        <w:t xml:space="preserve">— 44% lower than diesel. Outer islands follow standard solar-battery.</w:t>
      </w:r>
    </w:p>
    <w:p>
      <w:pPr>
        <w:pStyle w:val="BodyText"/>
      </w:pPr>
      <w:r>
        <w:t xml:space="preserve">CAPEX: ~$1.4 billion. NPV savings: $13.3 billion. Fastest payback (6 years). Highest IRR (44.2%). The economics are strong: modest capital, immediate fuel savings, flexible dispatchable baseload that complements solar.</w:t>
      </w:r>
    </w:p>
    <w:p>
      <w:pPr>
        <w:pStyle w:val="BodyText"/>
      </w:pPr>
      <w:r>
        <w:t xml:space="preserve">The catch: lock-in. A 140 MW terminal means 30-year gas contracts, maintenance obligations, and institutional inertia. The Maldives would replace diesel dependence with LNG dependence. LNG is cleaner (44% lower emissions) and cheaper, but it does not achieve the deep decarbonisation of the renewable pathways, and LNG prices are themselves volatile (cf. the 2022 European price crisis). This scenario is viable only if paired with binding RE ramp commitments that prevent LNG from displacing renewables rather than bridging to them.</w:t>
      </w:r>
    </w:p>
    <w:bookmarkEnd w:id="120"/>
    <w:bookmarkStart w:id="125" w:name="scenario-comparison-matrix"/>
    <w:p>
      <w:pPr>
        <w:pStyle w:val="Heading2"/>
      </w:pPr>
      <w:r>
        <w:t xml:space="preserve">5.9 Scenario Comparison Matrix</w:t>
      </w:r>
    </w:p>
    <w:p>
      <w:pPr>
        <w:pStyle w:val="FirstParagraph"/>
      </w:pPr>
      <w:r>
        <w:t xml:space="preserve">The bubble chart below provides a visual synthesis of how the seven scenarios compare along two of the most important dimensions: cumulative emissions (horizontal axis, with lower emissions to the right) and NPV savings relative to diesel BAU (vertical axis, with higher savings toward the top). The size of each bubble is proportional to the total capital expenditure required, allowing the reader to see at a glance which pathways achieve the largest economic and environmental benefits and at what investment cost.</w:t>
      </w:r>
    </w:p>
    <w:tbl>
      <w:tblPr>
        <w:tblStyle w:val="Table"/>
        <w:tblW w:type="pct" w:w="5000"/>
        <w:tblLayout w:type="fixed"/>
        <w:tblLook w:firstRow="0" w:lastRow="0" w:firstColumn="0" w:lastColumn="0" w:noHBand="0" w:noVBand="0" w:val="0000"/>
      </w:tblPr>
      <w:tblGrid>
        <w:gridCol w:w="7920"/>
      </w:tblGrid>
      <w:tr>
        <w:tc>
          <w:tcPr/>
          <w:bookmarkStart w:id="124" w:name="fig-scenario-matrix"/>
          <w:p>
            <w:pPr>
              <w:pStyle w:val="Compact"/>
              <w:jc w:val="center"/>
            </w:pPr>
            <w:r>
              <w:drawing>
                <wp:inline>
                  <wp:extent cx="5334000" cy="3810000"/>
                  <wp:effectExtent b="0" l="0" r="0" t="0"/>
                  <wp:docPr descr="" title="" id="122" name="Picture"/>
                  <a:graphic>
                    <a:graphicData uri="http://schemas.openxmlformats.org/drawingml/2006/picture">
                      <pic:pic>
                        <pic:nvPicPr>
                          <pic:cNvPr descr="03-scenarios_files/figure-docx/fig-scenario-matrix-output-1.png" id="123" name="Picture"/>
                          <pic:cNvPicPr>
                            <a:picLocks noChangeArrowheads="1" noChangeAspect="1"/>
                          </pic:cNvPicPr>
                        </pic:nvPicPr>
                        <pic:blipFill>
                          <a:blip r:embed="rId121"/>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5.1: Scenario positioning on cost vs. emissions dimensions. Bubble size represents total CAPEX.</w:t>
            </w:r>
          </w:p>
          <w:bookmarkEnd w:id="124"/>
        </w:tc>
      </w:tr>
    </w:tbl>
    <w:p>
      <w:pPr>
        <w:pStyle w:val="BodyText"/>
      </w:pPr>
      <w:r>
        <w:t xml:space="preserve">Higher savings and lower emissions tend to go together, indicating limited tension between economic efficiency and environmental performance. The India cable (S2) requires the largest investment without delivering the largest returns. S6 pushes toward the frontier on both dimensions, while S7 occupies an intermediate emissions position.</w:t>
      </w:r>
    </w:p>
    <w:bookmarkEnd w:id="125"/>
    <w:bookmarkEnd w:id="126"/>
    <w:bookmarkStart w:id="168" w:name="sec-results"/>
    <w:p>
      <w:pPr>
        <w:pStyle w:val="Heading1"/>
      </w:pPr>
      <w:r>
        <w:t xml:space="preserve">6. Results</w:t>
      </w:r>
    </w:p>
    <w:p>
      <w:pPr>
        <w:pStyle w:val="FirstParagraph"/>
      </w:pPr>
      <w:r>
        <w:t xml:space="preserve">Savings of $10.3B to $13.8B in present value, across every alternative. This chapter quantifies the gap: present-value costs, benefit-cost ratios, levelised costs, and emissions trajectories.</w:t>
      </w:r>
    </w:p>
    <w:bookmarkStart w:id="131" w:name="X869baa64170fa0ea071dfe086ae1f9e9ed5fe67"/>
    <w:p>
      <w:pPr>
        <w:pStyle w:val="Heading2"/>
      </w:pPr>
      <w:r>
        <w:t xml:space="preserve">6.1 The Big Picture: All Alternatives Beat Diesel</w:t>
      </w:r>
    </w:p>
    <w:p>
      <w:pPr>
        <w:pStyle w:val="FirstParagraph"/>
      </w:pPr>
      <w:r>
        <w:t xml:space="preserve">Every alternative pathway generates net economic benefits compared to continued diesel dependence.</w:t>
      </w:r>
    </w:p>
    <w:tbl>
      <w:tblPr>
        <w:tblStyle w:val="Table"/>
        <w:tblW w:type="pct" w:w="5000"/>
        <w:tblLayout w:type="fixed"/>
        <w:tblLook w:firstRow="0" w:lastRow="0" w:firstColumn="0" w:lastColumn="0" w:noHBand="0" w:noVBand="0" w:val="0000"/>
      </w:tblPr>
      <w:tblGrid>
        <w:gridCol w:w="7920"/>
      </w:tblGrid>
      <w:tr>
        <w:tc>
          <w:tcPr/>
          <w:bookmarkStart w:id="130" w:name="fig-npv-savings"/>
          <w:p>
            <w:pPr>
              <w:pStyle w:val="Compact"/>
              <w:jc w:val="center"/>
            </w:pPr>
            <w:r>
              <w:drawing>
                <wp:inline>
                  <wp:extent cx="5334000" cy="3810000"/>
                  <wp:effectExtent b="0" l="0" r="0" t="0"/>
                  <wp:docPr descr="" title="" id="128" name="Picture"/>
                  <a:graphic>
                    <a:graphicData uri="http://schemas.openxmlformats.org/drawingml/2006/picture">
                      <pic:pic>
                        <pic:nvPicPr>
                          <pic:cNvPr descr="04-results_files/figure-docx/fig-npv-savings-output-1.png" id="129" name="Picture"/>
                          <pic:cNvPicPr>
                            <a:picLocks noChangeArrowheads="1" noChangeAspect="1"/>
                          </pic:cNvPicPr>
                        </pic:nvPicPr>
                        <pic:blipFill>
                          <a:blip r:embed="rId127"/>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6.1: Net present value of savings versus BAU for each alternative scenario. All alternatives generate billions in net benefits.</w:t>
            </w:r>
          </w:p>
          <w:bookmarkEnd w:id="130"/>
        </w:tc>
      </w:tr>
    </w:tbl>
    <w:p>
      <w:pPr>
        <w:pStyle w:val="BodyText"/>
      </w:pPr>
      <w:r>
        <w:t xml:space="preserve">Every alternative saves $10.3 to $13.8 billion in present value over 30 years. S6 — Maximum RE leads; even S4 — Islanded Green — the least advantageous — delivers substantial benefits. The magnitude reflects cumulative diesel costs over three decades, which outweigh transition capital.</w:t>
      </w:r>
    </w:p>
    <w:p>
      <w:pPr>
        <w:pStyle w:val="BodyText"/>
      </w:pPr>
      <w:r>
        <w:t xml:space="preserve">At the base 6% discount rate, late-year benefits are heavily discounted. Lower rates (3–4%) would increase savings further; at the high end (12%), all alternatives still dominate diesel — breakeven rates exceed 0%.</w:t>
      </w:r>
    </w:p>
    <w:bookmarkEnd w:id="131"/>
    <w:bookmarkStart w:id="138" w:name="cost-breakdown-by-component"/>
    <w:p>
      <w:pPr>
        <w:pStyle w:val="Heading2"/>
      </w:pPr>
      <w:r>
        <w:t xml:space="preserve">6.2 Cost Breakdown by Component</w:t>
      </w:r>
    </w:p>
    <w:p>
      <w:pPr>
        <w:pStyle w:val="FirstParagraph"/>
      </w:pPr>
      <w:r>
        <w:t xml:space="preserve">The cost advantage of renewables becomes clear when lifetime costs are decomposed by component. The stacked chart below separates present-value costs into CAPEX, OPEX, fuel, and PPA imports.</w:t>
      </w:r>
    </w:p>
    <w:tbl>
      <w:tblPr>
        <w:tblStyle w:val="Table"/>
        <w:tblW w:type="pct" w:w="5000"/>
        <w:tblLayout w:type="fixed"/>
        <w:tblLook w:firstRow="0" w:lastRow="0" w:firstColumn="0" w:lastColumn="0" w:noHBand="0" w:noVBand="0" w:val="0000"/>
      </w:tblPr>
      <w:tblGrid>
        <w:gridCol w:w="7920"/>
      </w:tblGrid>
      <w:tr>
        <w:tc>
          <w:tcPr/>
          <w:bookmarkStart w:id="135" w:name="fig-cost-breakdown"/>
          <w:p>
            <w:pPr>
              <w:pStyle w:val="Compact"/>
              <w:jc w:val="center"/>
            </w:pPr>
            <w:r>
              <w:drawing>
                <wp:inline>
                  <wp:extent cx="5334000" cy="3810000"/>
                  <wp:effectExtent b="0" l="0" r="0" t="0"/>
                  <wp:docPr descr="" title="" id="133" name="Picture"/>
                  <a:graphic>
                    <a:graphicData uri="http://schemas.openxmlformats.org/drawingml/2006/picture">
                      <pic:pic>
                        <pic:nvPicPr>
                          <pic:cNvPr descr="04-results_files/figure-docx/fig-cost-breakdown-output-1.png" id="134" name="Picture"/>
                          <pic:cNvPicPr>
                            <a:picLocks noChangeArrowheads="1" noChangeAspect="1"/>
                          </pic:cNvPicPr>
                        </pic:nvPicPr>
                        <pic:blipFill>
                          <a:blip r:embed="rId132"/>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6.2: Present value of costs by component for each scenario. Fuel costs dominate BAU; CAPEX dominates alternatives but at lower total cost.</w:t>
            </w:r>
          </w:p>
          <w:bookmarkEnd w:id="135"/>
        </w:tc>
      </w:tr>
    </w:tbl>
    <w:p>
      <w:pPr>
        <w:pStyle w:val="BodyText"/>
      </w:pPr>
      <w:r>
        <w:t xml:space="preserve">The cost composition differs sharply between diesel and renewable pathways. Under BAU, fuel dominates at $14.4 billion — roughly 92 per cent of total lifetime costs.</w:t>
      </w:r>
    </w:p>
    <w:p>
      <w:pPr>
        <w:pStyle w:val="BodyText"/>
      </w:pPr>
      <w:r>
        <w:t xml:space="preserve">Renewable scenarios invert this. Capital expenditure becomes the largest component, while fuel costs shrink or disappear. Total lifetime system cost falls because avoided fuel outweighs additional capital. Once installed, solar and battery systems have near-zero marginal operating cost.</w:t>
      </w:r>
    </w:p>
    <w:p>
      <w:pPr>
        <w:pStyle w:val="BodyText"/>
      </w:pPr>
      <w:r>
        <w:t xml:space="preserve">Full Integration (S2) also exhibits significant PPA import costs alongside CAPEX, reflecting ongoing payments for electricity imported through the India cable. These are lower than diesel fuel costs but represent a continuing outflow that domestic renewable scenarios avoid.</w:t>
      </w:r>
    </w:p>
    <w:bookmarkStart w:id="137" w:name="sec-fuel-persistence"/>
    <w:p>
      <w:pPr>
        <w:pStyle w:val="Heading3"/>
      </w:pPr>
      <w:r>
        <w:t xml:space="preserve">6.2.1 Why Fuel Costs Remain Substantial Even Under Renewable Scenarios</w:t>
      </w:r>
    </w:p>
    <w:p>
      <w:pPr>
        <w:pStyle w:val="FirstParagraph"/>
      </w:pPr>
      <w:r>
        <w:t xml:space="preserve">Why does fuel still constitute 26–74 per cent of total lifetime costs in the domestic scenarios (S3–S7), even with major renewable investment? The answer: binding physical, geographic, and technical constraints limit achievable RE penetration on small coral islands.</w:t>
      </w:r>
    </w:p>
    <w:p>
      <w:pPr>
        <w:pStyle w:val="BodyText"/>
      </w:pPr>
      <w:r>
        <w:rPr>
          <w:b/>
          <w:bCs/>
        </w:rPr>
        <w:t xml:space="preserve">Land scarcity.</w:t>
      </w:r>
      <w:r>
        <w:t xml:space="preserve"> </w:t>
      </w:r>
      <w:r>
        <w:t xml:space="preserve">The most fundamental constraint is that the Maldives has only 134 km² of total inhabited island area, spread across nearly 200 islands. Solar PV requires approximately 7 m² per installed kW (including panel spacing and access), and the model caps the usable share of island area at 15 per cent to preserve land for housing, agriculture, vegetation, and public use. On the smallest and most densely populated islands, solar demand for space exceeds this limit, forcing them into diesel-hybrid configurations regardless of economics. Across all inhabited islands, this physical ceiling means that rooftop and ground-mount solar alone cannot supply the growing national demand.</w:t>
      </w:r>
    </w:p>
    <w:p>
      <w:pPr>
        <w:pStyle w:val="BodyText"/>
      </w:pPr>
      <w:r>
        <w:rPr>
          <w:b/>
          <w:bCs/>
        </w:rPr>
        <w:t xml:space="preserve">The Malé bottleneck.</w:t>
      </w:r>
      <w:r>
        <w:t xml:space="preserve"> </w:t>
      </w:r>
      <w:r>
        <w:t xml:space="preserve">Greater Malé — comprising Malé, Hulhumalé, and Villimalé — consumes more than half of national electricity but is among the most densely built urban areas in the world. With limited available land, rooftop and commercial installations are capped at approximately 34 MWp, which can supply only about 8 per cent of Malé’s demand</w:t>
      </w:r>
      <w:r>
        <w:rPr>
          <w:rStyle w:val="FootnoteReference"/>
        </w:rPr>
        <w:footnoteReference w:id="136"/>
      </w:r>
      <w:r>
        <w:t xml:space="preserve">. Because Malé’s demand share is so large, even if every outer island achieved 100 per cent renewable supply, the national weighted average would be constrained by Malé’s limited rooftop potential. The Near-Shore Solar (S5) and Maximum RE (S6) scenarios exist specifically to break this bottleneck by siting 104 MW on uninhabited islands, 195 MW on floating platforms, and 80 MW of wind energy near Malé — which is why S6 achieves the highest final RE share at 64 per cent.</w:t>
      </w:r>
    </w:p>
    <w:p>
      <w:pPr>
        <w:pStyle w:val="BodyText"/>
      </w:pPr>
      <w:r>
        <w:rPr>
          <w:b/>
          <w:bCs/>
        </w:rPr>
        <w:t xml:space="preserve">Deployment speed.</w:t>
      </w:r>
      <w:r>
        <w:t xml:space="preserve"> </w:t>
      </w:r>
      <w:r>
        <w:t xml:space="preserve">Even where economics and land permit, construction logistics impose a practical ceiling of 80 MW of new solar capacity per year nationally. The ADB Energy Roadmap 2024–2033 identifies a pipeline of 424 MW of planned and potential solar initiatives over five years (approximately 85 MW per year), which the model adopts as the base deployment pace. This reflects the realities of importing equipment to remote atolls, limited port capacity, skilled labour scarcity, and the sequential nature of island-by-island installation. Over the 30 year analysis period, cumulative installations are substantial, but growing demand (at approximately 5 per cent per year) constantly expands the denominator against which the RE share is measured.</w:t>
      </w:r>
    </w:p>
    <w:p>
      <w:pPr>
        <w:pStyle w:val="BodyText"/>
      </w:pPr>
      <w:r>
        <w:t xml:space="preserve">Note that the Government of Maldives targets</w:t>
      </w:r>
      <w:r>
        <w:t xml:space="preserve"> </w:t>
      </w:r>
      <w:r>
        <w:rPr>
          <w:b/>
          <w:bCs/>
        </w:rPr>
        <w:t xml:space="preserve">33 per cent</w:t>
      </w:r>
      <w:r>
        <w:t xml:space="preserve"> </w:t>
      </w:r>
      <w:r>
        <w:t xml:space="preserve">renewable energy in electricity consumption by 2028 (ADB Energy Roadmap 2024–2033), which requires approximately 800 GWh from renewable sources against projected demand of 2,400 GWh. The model’s deployment trajectory is calibrated to this near-term target, and the scenarios explore what happens as the transition continues beyond 2028 toward 2056, with the ultimate RE share determined by the interplay of deployment speed, land constraints, and demand growth.</w:t>
      </w:r>
    </w:p>
    <w:p>
      <w:pPr>
        <w:pStyle w:val="BodyText"/>
      </w:pPr>
      <w:r>
        <w:rPr>
          <w:b/>
          <w:bCs/>
        </w:rPr>
        <w:t xml:space="preserve">Storage duration.</w:t>
      </w:r>
      <w:r>
        <w:t xml:space="preserve"> </w:t>
      </w:r>
      <w:r>
        <w:t xml:space="preserve">Solar panels produce electricity for roughly six to eight hours per day, concentrated around midday. The model assumes 4 hours of battery storage per site, which covers the evening demand peak but cannot carry load through the entire night. With a maximum depth of discharge of 80 per cent and round-trip efficiency of 88 per cent, the usable energy per cycle is further reduced. Diesel backup therefore remains essential for overnight and extended cloudy-period generation. Doubling storage duration to eight hours could push RE penetration toward 70–75 per cent on favourable sites, but at current battery prices ($350/kWh installed), the additional storage cost exceeds the fuel savings it would displace.</w:t>
      </w:r>
    </w:p>
    <w:p>
      <w:pPr>
        <w:pStyle w:val="BodyText"/>
      </w:pPr>
      <w:r>
        <w:rPr>
          <w:b/>
          <w:bCs/>
        </w:rPr>
        <w:t xml:space="preserve">In aggregate,</w:t>
      </w:r>
      <w:r>
        <w:t xml:space="preserve"> </w:t>
      </w:r>
      <w:r>
        <w:t xml:space="preserve">even the most ambitious scenario (S6 Maximum RE) reaches only 64 per cent renewable penetration by 2056, while S3 and S4 plateau around 51 to 51 per cent. The remaining gap (36 to 5 per cent) must be filled by diesel (or LNG in S7), and the cumulative fuel cost of that residual fossil generation over 30 years produces the large red bars visible in every scenario. This persistent fuel exposure is why the sensitivity analysis (</w:t>
      </w:r>
      <w:hyperlink w:anchor="sec-sensitivity">
        <w:r>
          <w:rPr>
            <w:rStyle w:val="Hyperlink"/>
          </w:rPr>
          <w:t xml:space="preserve">Chapter 7</w:t>
        </w:r>
      </w:hyperlink>
      <w:r>
        <w:t xml:space="preserve">) identifies diesel price as the single most influential parameter: even after transition, the Maldives remains partially dependent on imported fuel. The economic case for transition is strengthened, not weakened, by this reality, because the alternative is</w:t>
      </w:r>
      <w:r>
        <w:t xml:space="preserve"> </w:t>
      </w:r>
      <w:r>
        <w:rPr>
          <w:i/>
          <w:iCs/>
        </w:rPr>
        <w:t xml:space="preserve">total</w:t>
      </w:r>
      <w:r>
        <w:t xml:space="preserve"> </w:t>
      </w:r>
      <w:r>
        <w:t xml:space="preserve">dependence under BAU.</w:t>
      </w:r>
    </w:p>
    <w:bookmarkEnd w:id="137"/>
    <w:bookmarkEnd w:id="138"/>
    <w:bookmarkStart w:id="148" w:name="sec-re-ceiling"/>
    <w:p>
      <w:pPr>
        <w:pStyle w:val="Heading2"/>
      </w:pPr>
      <w:r>
        <w:t xml:space="preserve">6.3 Renewable Energy Ceiling: Can the Maldives Reach 70–80 Per Cent?</w:t>
      </w:r>
    </w:p>
    <w:p>
      <w:pPr>
        <w:pStyle w:val="FirstParagraph"/>
      </w:pPr>
      <w:r>
        <w:t xml:space="preserve">The Government of Maldives’ Energy Roadmap 2024–2033</w:t>
      </w:r>
      <w:r>
        <w:t xml:space="preserve"> </w:t>
      </w:r>
      <w:r>
        <w:t xml:space="preserve">(2024)</w:t>
      </w:r>
      <w:r>
        <w:t xml:space="preserve"> </w:t>
      </w:r>
      <w:r>
        <w:t xml:space="preserve">targets 33 per cent renewable energy by 2028. A question of significant policy interest is whether the Maldives can push further — to 70, 80, or even higher renewable energy shares by mid-century. The Maximum RE scenario (S6) provides the analytical framework to answer this question, and the results reveal both encouraging progress and sobering structural limits.</w:t>
      </w:r>
    </w:p>
    <w:tbl>
      <w:tblPr>
        <w:tblStyle w:val="Table"/>
        <w:tblW w:type="pct" w:w="5000"/>
        <w:tblLayout w:type="fixed"/>
        <w:tblLook w:firstRow="0" w:lastRow="0" w:firstColumn="0" w:lastColumn="0" w:noHBand="0" w:noVBand="0" w:val="0000"/>
      </w:tblPr>
      <w:tblGrid>
        <w:gridCol w:w="7920"/>
      </w:tblGrid>
      <w:tr>
        <w:tc>
          <w:tcPr/>
          <w:bookmarkStart w:id="142" w:name="fig-re-trajectory"/>
          <w:p>
            <w:pPr>
              <w:pStyle w:val="Compact"/>
              <w:jc w:val="center"/>
            </w:pPr>
            <w:r>
              <w:drawing>
                <wp:inline>
                  <wp:extent cx="5334000" cy="3810000"/>
                  <wp:effectExtent b="0" l="0" r="0" t="0"/>
                  <wp:docPr descr="" title="" id="140" name="Picture"/>
                  <a:graphic>
                    <a:graphicData uri="http://schemas.openxmlformats.org/drawingml/2006/picture">
                      <pic:pic>
                        <pic:nvPicPr>
                          <pic:cNvPr descr="04-results_files/figure-docx/fig-re-trajectory-output-1.png" id="141" name="Picture"/>
                          <pic:cNvPicPr>
                            <a:picLocks noChangeArrowheads="1" noChangeAspect="1"/>
                          </pic:cNvPicPr>
                        </pic:nvPicPr>
                        <pic:blipFill>
                          <a:blip r:embed="rId139"/>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6.3: Renewable energy share trajectory under Maximum RE (S6). RE peaks in the late 2030s before demand growth erodes the share.</w:t>
            </w:r>
          </w:p>
          <w:bookmarkEnd w:id="142"/>
        </w:tc>
      </w:tr>
    </w:tbl>
    <w:p>
      <w:pPr>
        <w:pStyle w:val="BodyText"/>
      </w:pPr>
      <w:hyperlink w:anchor="fig-re-trajectory">
        <w:r>
          <w:rPr>
            <w:rStyle w:val="Hyperlink"/>
          </w:rPr>
          <w:t xml:space="preserve">Figure 6.3</w:t>
        </w:r>
      </w:hyperlink>
      <w:r>
        <w:t xml:space="preserve"> </w:t>
      </w:r>
      <w:r>
        <w:t xml:space="preserve">shows that</w:t>
      </w:r>
      <w:r>
        <w:t xml:space="preserve"> </w:t>
      </w:r>
      <w:r>
        <w:rPr>
          <w:b/>
          <w:bCs/>
        </w:rPr>
        <w:t xml:space="preserve">the RE share does not rise monotonically</w:t>
      </w:r>
      <w:r>
        <w:t xml:space="preserve">. Under the Maximum RE scenario, renewable energy reaches approximately 87 per cent by 2035 and peaks around 72 per cent by 2040, temporarily exceeding the 70 per cent threshold, before falling back to 44 per cent by 2050 and 64 per cent by 2056. This occurs because renewable energy capacity is bounded by physical constraints (land area, deployment speed, technology availability), while electricity demand continues growing at approximately 5 per cent per year.</w:t>
      </w:r>
    </w:p>
    <w:bookmarkStart w:id="143" w:name="supply-side-re-potential"/>
    <w:p>
      <w:pPr>
        <w:pStyle w:val="Heading3"/>
      </w:pPr>
      <w:r>
        <w:t xml:space="preserve">6.3.1 Supply-Side RE Potential</w:t>
      </w:r>
    </w:p>
    <w:p>
      <w:pPr>
        <w:pStyle w:val="FirstParagraph"/>
      </w:pPr>
      <w:r>
        <w:t xml:space="preserve">The Maximum RE scenario deploys every available domestic renewable energy technology: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Technology</w:t>
            </w:r>
          </w:p>
        </w:tc>
        <w:tc>
          <w:tcPr/>
          <w:p>
            <w:pPr>
              <w:pStyle w:val="Compact"/>
            </w:pPr>
            <w:r>
              <w:t xml:space="preserve">Capacity</w:t>
            </w:r>
          </w:p>
        </w:tc>
        <w:tc>
          <w:tcPr/>
          <w:p>
            <w:pPr>
              <w:pStyle w:val="Compact"/>
            </w:pPr>
            <w:r>
              <w:t xml:space="preserve">Annual Generation</w:t>
            </w:r>
          </w:p>
        </w:tc>
        <w:tc>
          <w:tcPr/>
          <w:p>
            <w:pPr>
              <w:pStyle w:val="Compact"/>
            </w:pPr>
            <w:r>
              <w:t xml:space="preserve">Source</w:t>
            </w:r>
          </w:p>
        </w:tc>
      </w:tr>
      <w:tr>
        <w:tc>
          <w:tcPr/>
          <w:p>
            <w:pPr>
              <w:pStyle w:val="Compact"/>
            </w:pPr>
            <w:r>
              <w:t xml:space="preserve">Rooftop solar (Malé)</w:t>
            </w:r>
          </w:p>
        </w:tc>
        <w:tc>
          <w:tcPr/>
          <w:p>
            <w:pPr>
              <w:pStyle w:val="Compact"/>
            </w:pPr>
            <w:r>
              <w:t xml:space="preserve">34 MWp</w:t>
            </w:r>
          </w:p>
        </w:tc>
        <w:tc>
          <w:tcPr/>
          <w:p>
            <w:pPr>
              <w:pStyle w:val="Compact"/>
            </w:pPr>
            <w:r>
              <w:t xml:space="preserve">~52 GWh</w:t>
            </w:r>
          </w:p>
        </w:tc>
        <w:tc>
          <w:tcPr/>
          <w:p>
            <w:pPr>
              <w:pStyle w:val="Compact"/>
            </w:pPr>
            <w:r>
              <w:t xml:space="preserve">ADB Roadmap Table 8</w:t>
            </w:r>
          </w:p>
        </w:tc>
      </w:tr>
      <w:tr>
        <w:tc>
          <w:tcPr/>
          <w:p>
            <w:pPr>
              <w:pStyle w:val="Compact"/>
            </w:pPr>
            <w:r>
              <w:t xml:space="preserve">Near-shore solar</w:t>
            </w:r>
          </w:p>
        </w:tc>
        <w:tc>
          <w:tcPr/>
          <w:p>
            <w:pPr>
              <w:pStyle w:val="Compact"/>
            </w:pPr>
            <w:r>
              <w:t xml:space="preserve">104 MW</w:t>
            </w:r>
          </w:p>
        </w:tc>
        <w:tc>
          <w:tcPr/>
          <w:p>
            <w:pPr>
              <w:pStyle w:val="Compact"/>
            </w:pPr>
            <w:r>
              <w:t xml:space="preserve">~159 GWh</w:t>
            </w:r>
          </w:p>
        </w:tc>
        <w:tc>
          <w:tcPr/>
          <w:p>
            <w:pPr>
              <w:pStyle w:val="Compact"/>
            </w:pPr>
            <w:r>
              <w:t xml:space="preserve">Uninhabited islands</w:t>
            </w:r>
          </w:p>
        </w:tc>
      </w:tr>
      <w:tr>
        <w:tc>
          <w:tcPr/>
          <w:p>
            <w:pPr>
              <w:pStyle w:val="Compact"/>
            </w:pPr>
            <w:r>
              <w:t xml:space="preserve">Floating solar</w:t>
            </w:r>
          </w:p>
        </w:tc>
        <w:tc>
          <w:tcPr/>
          <w:p>
            <w:pPr>
              <w:pStyle w:val="Compact"/>
            </w:pPr>
            <w:r>
              <w:t xml:space="preserve">195 MW</w:t>
            </w:r>
          </w:p>
        </w:tc>
        <w:tc>
          <w:tcPr/>
          <w:p>
            <w:pPr>
              <w:pStyle w:val="Compact"/>
            </w:pPr>
            <w:r>
              <w:t xml:space="preserve">~299 GWh</w:t>
            </w:r>
          </w:p>
        </w:tc>
        <w:tc>
          <w:tcPr/>
          <w:p>
            <w:pPr>
              <w:pStyle w:val="Compact"/>
            </w:pPr>
            <w:r>
              <w:t xml:space="preserve">GoM Roadmap target</w:t>
            </w:r>
          </w:p>
        </w:tc>
      </w:tr>
      <w:tr>
        <w:tc>
          <w:tcPr/>
          <w:p>
            <w:pPr>
              <w:pStyle w:val="Compact"/>
            </w:pPr>
            <w:r>
              <w:t xml:space="preserve">Wind energy</w:t>
            </w:r>
          </w:p>
        </w:tc>
        <w:tc>
          <w:tcPr/>
          <w:p>
            <w:pPr>
              <w:pStyle w:val="Compact"/>
            </w:pPr>
            <w:r>
              <w:t xml:space="preserve">80 MW</w:t>
            </w:r>
          </w:p>
        </w:tc>
        <w:tc>
          <w:tcPr/>
          <w:p>
            <w:pPr>
              <w:pStyle w:val="Compact"/>
            </w:pPr>
            <w:r>
              <w:t xml:space="preserve">~175 GWh</w:t>
            </w:r>
          </w:p>
        </w:tc>
        <w:tc>
          <w:tcPr/>
          <w:p>
            <w:pPr>
              <w:pStyle w:val="Compact"/>
            </w:pPr>
            <w:r>
              <w:t xml:space="preserve">ADB Roadmap §4.7.2</w:t>
            </w:r>
          </w:p>
        </w:tc>
      </w:tr>
      <w:tr>
        <w:tc>
          <w:tcPr/>
          <w:p>
            <w:pPr>
              <w:pStyle w:val="Compact"/>
            </w:pPr>
            <w:r>
              <w:t xml:space="preserve">Outer island solar</w:t>
            </w:r>
          </w:p>
        </w:tc>
        <w:tc>
          <w:tcPr/>
          <w:p>
            <w:pPr>
              <w:pStyle w:val="Compact"/>
            </w:pPr>
            <w:r>
              <w:t xml:space="preserve">Variable</w:t>
            </w:r>
          </w:p>
        </w:tc>
        <w:tc>
          <w:tcPr/>
          <w:p>
            <w:pPr>
              <w:pStyle w:val="Compact"/>
            </w:pPr>
            <w:r>
              <w:t xml:space="preserve">Growing with demand</w:t>
            </w:r>
          </w:p>
        </w:tc>
        <w:tc>
          <w:tcPr/>
          <w:p>
            <w:pPr>
              <w:pStyle w:val="Compact"/>
            </w:pPr>
            <w:r>
              <w:t xml:space="preserve">Least-cost engine</w:t>
            </w:r>
          </w:p>
        </w:tc>
      </w:tr>
      <w:tr>
        <w:tc>
          <w:tcPr/>
          <w:p>
            <w:pPr>
              <w:pStyle w:val="Compact"/>
            </w:pPr>
            <w:r>
              <w:t xml:space="preserve">Waste-to-energy</w:t>
            </w:r>
          </w:p>
        </w:tc>
        <w:tc>
          <w:tcPr/>
          <w:p>
            <w:pPr>
              <w:pStyle w:val="Compact"/>
            </w:pPr>
            <w:r>
              <w:t xml:space="preserve">14 MW</w:t>
            </w:r>
          </w:p>
        </w:tc>
        <w:tc>
          <w:tcPr/>
          <w:p>
            <w:pPr>
              <w:pStyle w:val="Compact"/>
            </w:pPr>
            <w:r>
              <w:t xml:space="preserve">~98 GWh</w:t>
            </w:r>
          </w:p>
        </w:tc>
        <w:tc>
          <w:tcPr/>
          <w:p>
            <w:pPr>
              <w:pStyle w:val="Compact"/>
            </w:pPr>
            <w:r>
              <w:t xml:space="preserve">Thilafushi facility</w:t>
            </w:r>
          </w:p>
        </w:tc>
      </w:tr>
    </w:tbl>
    <w:p>
      <w:pPr>
        <w:pStyle w:val="BodyText"/>
      </w:pPr>
      <w:r>
        <w:t xml:space="preserve">The combined Malé-region RE potential (rooftop + near-shore + floating + wind) is approximately 413 MW, capable of generating roughly 686 GWh per year. This is substantial — but it is a</w:t>
      </w:r>
      <w:r>
        <w:t xml:space="preserve"> </w:t>
      </w:r>
      <w:r>
        <w:rPr>
          <w:i/>
          <w:iCs/>
        </w:rPr>
        <w:t xml:space="preserve">fixed ceiling</w:t>
      </w:r>
      <w:r>
        <w:t xml:space="preserve">, while demand is an exponentially growing quantity.</w:t>
      </w:r>
    </w:p>
    <w:bookmarkEnd w:id="143"/>
    <w:bookmarkStart w:id="144" w:name="the-demand-growth-denominator"/>
    <w:p>
      <w:pPr>
        <w:pStyle w:val="Heading3"/>
      </w:pPr>
      <w:r>
        <w:t xml:space="preserve">6.3.2 The Demand Growth Denominator</w:t>
      </w:r>
    </w:p>
    <w:p>
      <w:pPr>
        <w:pStyle w:val="FirstParagraph"/>
      </w:pPr>
      <w:r>
        <w:t xml:space="preserve">At 5 per cent annual growth, national electricity demand roughly doubles every 14 years. By 2050, demand is projected to reach approximately 3,870 GWh — nearly four times the 2026 level. Even if every available renewable technology is deployed at maximum capacity, the fixed RE generation ceiling means that the</w:t>
      </w:r>
      <w:r>
        <w:t xml:space="preserve"> </w:t>
      </w:r>
      <w:r>
        <w:rPr>
          <w:i/>
          <w:iCs/>
        </w:rPr>
        <w:t xml:space="preserve">share</w:t>
      </w:r>
      <w:r>
        <w:t xml:space="preserve"> </w:t>
      </w:r>
      <w:r>
        <w:t xml:space="preserve">of renewable energy in total supply inevitably declines once the deployment programme is complete and demand continues growing.</w:t>
      </w:r>
    </w:p>
    <w:p>
      <w:pPr>
        <w:pStyle w:val="BodyText"/>
      </w:pPr>
      <w:r>
        <w:t xml:space="preserve">The arithmetic is clear:</w:t>
      </w:r>
      <w:r>
        <w:t xml:space="preserve"> </w:t>
      </w:r>
      <w:r>
        <w:rPr>
          <w:b/>
          <w:bCs/>
        </w:rPr>
        <w:t xml:space="preserve">renewable capacity is area-constrained; electricity demand is not.</w:t>
      </w:r>
      <w:r>
        <w:t xml:space="preserve"> </w:t>
      </w:r>
      <w:r>
        <w:t xml:space="preserve">The Maldives cannot manufacture more island area, and floating solar and wind capacity, while helpful, are bounded by lagoon area, environmental constraints, and technical feasibility.</w:t>
      </w:r>
    </w:p>
    <w:bookmarkEnd w:id="144"/>
    <w:bookmarkStart w:id="147" w:name="Xc022a74e7686bfa565fc2c1f47b2447e84c8ef0"/>
    <w:p>
      <w:pPr>
        <w:pStyle w:val="Heading3"/>
      </w:pPr>
      <w:r>
        <w:t xml:space="preserve">6.3.3 Pathways to Sustained 70 Per Cent or Higher</w:t>
      </w:r>
    </w:p>
    <w:p>
      <w:pPr>
        <w:pStyle w:val="FirstParagraph"/>
      </w:pPr>
      <w:r>
        <w:t xml:space="preserve">Sustaining RE penetration above 70 per cent beyond the 2040 window would require one or more of the following structural changes:</w:t>
      </w:r>
    </w:p>
    <w:p>
      <w:pPr>
        <w:numPr>
          <w:ilvl w:val="0"/>
          <w:numId w:val="1002"/>
        </w:numPr>
      </w:pPr>
      <w:r>
        <w:rPr>
          <w:b/>
          <w:bCs/>
        </w:rPr>
        <w:t xml:space="preserve">Demand moderation.</w:t>
      </w:r>
      <w:r>
        <w:t xml:space="preserve"> </w:t>
      </w:r>
      <w:r>
        <w:t xml:space="preserve">If demand growth were moderated to 3.5 per cent per year (the Low sensitivity case) rather than 5 per cent, 2050 demand would be approximately 2,740 GWh rather than 3,870 GWh — a reduction of 29 per cent that would sustain RE shares above 70 per cent for significantly longer. Energy efficiency standards, time-of-use pricing, and demand-side management programmes are the principal policy levers.</w:t>
      </w:r>
    </w:p>
    <w:p>
      <w:pPr>
        <w:numPr>
          <w:ilvl w:val="0"/>
          <w:numId w:val="1002"/>
        </w:numPr>
      </w:pPr>
      <w:r>
        <w:rPr>
          <w:b/>
          <w:bCs/>
        </w:rPr>
        <w:t xml:space="preserve">Floating solar expansion beyond 195 MW.</w:t>
      </w:r>
      <w:r>
        <w:t xml:space="preserve"> </w:t>
      </w:r>
      <w:r>
        <w:t xml:space="preserve">The current target of 195 MW is aligned with the GoM Roadmap, but the Maldives has approximately 26,000 km² of lagoon area, of which even 0.1 per cent utilisation would yield over 3,000 MW of potential. If floating solar technology matures and costs decline as projected, a second phase of 200–400 MW could substantially extend the RE ceiling. This remains speculative given the technology’s immaturity in tropical marine environments.</w:t>
      </w:r>
    </w:p>
    <w:p>
      <w:pPr>
        <w:numPr>
          <w:ilvl w:val="0"/>
          <w:numId w:val="1002"/>
        </w:numPr>
      </w:pPr>
      <w:r>
        <w:rPr>
          <w:b/>
          <w:bCs/>
        </w:rPr>
        <w:t xml:space="preserve">Wind energy expansion.</w:t>
      </w:r>
      <w:r>
        <w:t xml:space="preserve"> </w:t>
      </w:r>
      <w:r>
        <w:t xml:space="preserve">The ADB Roadmap identifies 80 MW of wind potential, contributing approximately 175 GWh per year (roughly 4–5 percentage points of RE share). Scaling wind beyond 80 MW is constrained by the Maldives’ relatively modest wind resources — capacity factors of 25 per cent are below the global average for onshore wind — but it provides valuable generation diversity (wind and solar have partially complementary diurnal profiles).</w:t>
      </w:r>
    </w:p>
    <w:p>
      <w:pPr>
        <w:numPr>
          <w:ilvl w:val="0"/>
          <w:numId w:val="1002"/>
        </w:numPr>
      </w:pPr>
      <w:r>
        <w:rPr>
          <w:b/>
          <w:bCs/>
        </w:rPr>
        <w:t xml:space="preserve">India submarine cable.</w:t>
      </w:r>
      <w:r>
        <w:t xml:space="preserve"> </w:t>
      </w:r>
      <w:r>
        <w:t xml:space="preserve">The Full Integration scenario (S2) achieves the highest</w:t>
      </w:r>
      <w:r>
        <w:t xml:space="preserve"> </w:t>
      </w:r>
      <w:r>
        <w:rPr>
          <w:i/>
          <w:iCs/>
        </w:rPr>
        <w:t xml:space="preserve">total</w:t>
      </w:r>
      <w:r>
        <w:t xml:space="preserve"> </w:t>
      </w:r>
      <w:r>
        <w:t xml:space="preserve">clean energy supply by importing grid electricity from India, but this reduces</w:t>
      </w:r>
      <w:r>
        <w:t xml:space="preserve"> </w:t>
      </w:r>
      <w:r>
        <w:rPr>
          <w:i/>
          <w:iCs/>
        </w:rPr>
        <w:t xml:space="preserve">domestic</w:t>
      </w:r>
      <w:r>
        <w:t xml:space="preserve"> </w:t>
      </w:r>
      <w:r>
        <w:t xml:space="preserve">RE share to approximately 11 per cent. Whether imported electricity counts toward RE targets depends on the carbon intensity of the Indian grid, which is currently 0.70 kgCO₂/kWh and declining.</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45" name="Picture"/>
                  <a:graphic>
                    <a:graphicData uri="http://schemas.openxmlformats.org/drawingml/2006/picture">
                      <pic:pic>
                        <pic:nvPicPr>
                          <pic:cNvPr descr="C:\Users\LucasSempe\AppData\Local\Programs\Quarto\share\formats\docx\important.png" id="146"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70% RE is achievable but time-limited</w:t>
            </w:r>
          </w:p>
        </w:tc>
      </w:tr>
      <w:tr>
        <w:trPr>
          <w:cantSplit/>
        </w:trPr>
        <w:tc>
          <w:tcPr>
            <w:tcMar>
              <w:top w:w="108" w:type="dxa"/>
              <w:bottom w:w="108" w:type="dxa"/>
            </w:tcMar>
          </w:tcPr>
          <w:p>
            <w:pPr>
              <w:pStyle w:val="BodyText"/>
            </w:pPr>
            <w:pPr>
              <w:spacing w:before="16" w:after="16"/>
            </w:pPr>
            <w:r>
              <w:t xml:space="preserve">The Maximum RE scenario demonstrates that 70 per cent renewable energy penetration is technically feasible and economically attractive in the late 2030s window. However, sustaining this level requires either moderating demand growth, expanding floating solar beyond current plans, or accepting that the Maldives’ domestic RE share will plateau in the 60–65 per cent range by 2050 under base-case demand growth.</w:t>
            </w:r>
          </w:p>
        </w:tc>
      </w:tr>
    </w:tbl>
    <w:bookmarkEnd w:id="147"/>
    <w:bookmarkEnd w:id="148"/>
    <w:bookmarkStart w:id="154" w:name="benefit-cost-ratios-and-returns"/>
    <w:p>
      <w:pPr>
        <w:pStyle w:val="Heading2"/>
      </w:pPr>
      <w:r>
        <w:t xml:space="preserve">6.4 Benefit-Cost Ratios and Returns</w:t>
      </w:r>
    </w:p>
    <w:p>
      <w:pPr>
        <w:pStyle w:val="FirstParagraph"/>
      </w:pPr>
      <w:r>
        <w:t xml:space="preserve">BCR &gt;1 means net value creation; IRR above the 6% hurdle confirms viability.</w:t>
      </w:r>
    </w:p>
    <w:tbl>
      <w:tblPr>
        <w:tblStyle w:val="Table"/>
        <w:tblW w:type="pct" w:w="5000"/>
        <w:tblLayout w:type="fixed"/>
        <w:tblLook w:firstRow="0" w:lastRow="0" w:firstColumn="0" w:lastColumn="0" w:noHBand="0" w:noVBand="0" w:val="0000"/>
      </w:tblPr>
      <w:tblGrid>
        <w:gridCol w:w="7920"/>
      </w:tblGrid>
      <w:tr>
        <w:tc>
          <w:tcPr/>
          <w:bookmarkStart w:id="152" w:name="fig-bcr-irr"/>
          <w:p>
            <w:pPr>
              <w:pStyle w:val="Compact"/>
              <w:jc w:val="center"/>
            </w:pPr>
            <w:r>
              <w:drawing>
                <wp:inline>
                  <wp:extent cx="5334000" cy="3810000"/>
                  <wp:effectExtent b="0" l="0" r="0" t="0"/>
                  <wp:docPr descr="" title="" id="150" name="Picture"/>
                  <a:graphic>
                    <a:graphicData uri="http://schemas.openxmlformats.org/drawingml/2006/picture">
                      <pic:pic>
                        <pic:nvPicPr>
                          <pic:cNvPr descr="04-results_files/figure-docx/fig-bcr-irr-output-1.png" id="151" name="Picture"/>
                          <pic:cNvPicPr>
                            <a:picLocks noChangeArrowheads="1" noChangeAspect="1"/>
                          </pic:cNvPicPr>
                        </pic:nvPicPr>
                        <pic:blipFill>
                          <a:blip r:embed="rId149"/>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6.4: Benefit-cost ratios (left) and internal rates of return (right) for each alternative scenario.</w:t>
            </w:r>
          </w:p>
          <w:bookmarkEnd w:id="152"/>
        </w:tc>
      </w:tr>
    </w:tbl>
    <w:p>
      <w:pPr>
        <w:pStyle w:val="BodyText"/>
      </w:pPr>
      <w:r>
        <w:t xml:space="preserve">All six alternatives achieve BCRs well above 1.0 and IRRs above the 6% hurdle (dashed red line). Highest BCRs go to scenarios with deepest diesel displacement. LNG (S7) achieves the highest IRR — modest CAPEX plus rapid fuel savings — though not the highest absolute NPV.</w:t>
      </w:r>
    </w:p>
    <w:p>
      <w:pPr>
        <w:pStyle w:val="BodyText"/>
      </w:pPr>
      <w:r>
        <w:t xml:space="preserve">The full results table below consolidates all key metrics for ready comparison across scenarios.</w:t>
      </w:r>
    </w:p>
    <w:tbl>
      <w:tblPr>
        <w:tblStyle w:val="Table"/>
        <w:tblW w:type="pct" w:w="5000"/>
        <w:tblLayout w:type="fixed"/>
        <w:tblLook w:firstRow="0" w:lastRow="0" w:firstColumn="0" w:lastColumn="0" w:noHBand="0" w:noVBand="0" w:val="0000"/>
      </w:tblPr>
      <w:tblGrid>
        <w:gridCol w:w="7920"/>
      </w:tblGrid>
      <w:tr>
        <w:tc>
          <w:tcPr/>
          <w:bookmarkStart w:id="153" w:name="tbl-results-summary"/>
          <w:p>
            <w:pPr>
              <w:jc w:val="center"/>
            </w:pPr>
            <w:pPr>
              <w:jc w:val="start"/>
              <w:spacing w:before="200"/>
              <w:pStyle w:val="ImageCaption"/>
            </w:pPr>
            <w:r>
              <w:t xml:space="preserve">Table 6.1: Full scenario comparison table: costs, savings, returns, emissions.</w:t>
            </w:r>
          </w:p>
          <w:tbl>
            <w:tblPr>
              <w:tblStyle w:val="Table"/>
              <w:tblW w:type="pct" w:w="5000"/>
              <w:tblLayout w:type="fixed"/>
              <w:tblLook w:firstRow="1" w:lastRow="0" w:firstColumn="0" w:lastColumn="0" w:noHBand="0" w:noVBand="0" w:val="0020"/>
            </w:tblPr>
            <w:tblGrid>
              <w:gridCol w:w="669"/>
              <w:gridCol w:w="1282"/>
              <w:gridCol w:w="892"/>
              <w:gridCol w:w="1115"/>
              <w:gridCol w:w="390"/>
              <w:gridCol w:w="613"/>
              <w:gridCol w:w="892"/>
              <w:gridCol w:w="1171"/>
              <w:gridCol w:w="892"/>
            </w:tblGrid>
            <w:tr>
              <w:trPr>
                <w:tblHeader w:val="on"/>
              </w:trPr>
              <w:tc>
                <w:tcPr/>
                <w:p>
                  <w:pPr>
                    <w:pStyle w:val="Compact"/>
                    <w:jc w:val="left"/>
                    <w:jc w:val="center"/>
                  </w:pPr>
                  <w:r>
                    <w:t xml:space="preserve">Scenario</w:t>
                  </w:r>
                </w:p>
              </w:tc>
              <w:tc>
                <w:tcPr/>
                <w:p>
                  <w:pPr>
                    <w:pStyle w:val="Compact"/>
                    <w:jc w:val="left"/>
                    <w:jc w:val="center"/>
                  </w:pPr>
                  <w:r>
                    <w:t xml:space="preserve">PV Total Costs (</w:t>
                  </w:r>
                  <m:oMath>
                    <m:r>
                      <m:t>B</m:t>
                    </m:r>
                    <m:r>
                      <m:rPr>
                        <m:sty m:val="p"/>
                      </m:rPr>
                      <m:t>)</m:t>
                    </m:r>
                    <m:r>
                      <m:rPr>
                        <m:sty m:val="p"/>
                      </m:rPr>
                      <m:t>|</m:t>
                    </m:r>
                    <m:r>
                      <m:t>L</m:t>
                    </m:r>
                    <m:r>
                      <m:t>C</m:t>
                    </m:r>
                    <m:r>
                      <m:t>O</m:t>
                    </m:r>
                    <m:r>
                      <m:t>E</m:t>
                    </m:r>
                    <m:r>
                      <m:rPr>
                        <m:sty m:val="p"/>
                      </m:rPr>
                      <m:t>(</m:t>
                    </m:r>
                  </m:oMath>
                  <w:r>
                    <w:t xml:space="preserve">/kWh)</w:t>
                  </w:r>
                </w:p>
              </w:tc>
              <w:tc>
                <w:tcPr/>
                <w:p>
                  <w:pPr>
                    <w:pStyle w:val="Compact"/>
                    <w:jc w:val="left"/>
                    <w:jc w:val="center"/>
                  </w:pPr>
                  <w:r>
                    <w:t xml:space="preserve">NPV Savings ($B)</w:t>
                  </w:r>
                </w:p>
              </w:tc>
              <w:tc>
                <w:tcPr/>
                <w:p>
                  <w:pPr>
                    <w:pStyle w:val="Compact"/>
                    <w:jc w:val="left"/>
                    <w:jc w:val="center"/>
                  </w:pPr>
                  <w:r>
                    <w:t xml:space="preserve">BCR</w:t>
                  </w:r>
                </w:p>
              </w:tc>
              <w:tc>
                <w:tcPr/>
                <w:p>
                  <w:pPr>
                    <w:pStyle w:val="Compact"/>
                    <w:jc w:val="left"/>
                    <w:jc w:val="center"/>
                  </w:pPr>
                  <w:r>
                    <w:t xml:space="preserve">IRR (%)</w:t>
                  </w:r>
                </w:p>
              </w:tc>
              <w:tc>
                <w:tcPr/>
                <w:p>
                  <w:pPr>
                    <w:pStyle w:val="Compact"/>
                    <w:jc w:val="left"/>
                    <w:jc w:val="center"/>
                  </w:pPr>
                  <w:r>
                    <w:t xml:space="preserve">Payback (yr)</w:t>
                  </w:r>
                </w:p>
              </w:tc>
              <w:tc>
                <w:tcPr/>
                <w:p>
                  <w:pPr>
                    <w:pStyle w:val="Compact"/>
                    <w:jc w:val="left"/>
                    <w:jc w:val="center"/>
                  </w:pPr>
                  <w:r>
                    <w:t xml:space="preserve">Emissions (MtCO₂)</w:t>
                  </w:r>
                </w:p>
              </w:tc>
              <w:tc>
                <w:tcPr/>
                <w:p>
                  <w:pPr>
                    <w:pStyle w:val="Compact"/>
                    <w:jc w:val="right"/>
                    <w:jc w:val="center"/>
                  </w:pPr>
                  <w:r>
                    <w:t xml:space="preserve">Final RE (%)</w:t>
                  </w:r>
                </w:p>
              </w:tc>
              <w:tc>
                <w:tcPr/>
                <w:p>
                  <w:pPr>
                    <w:pStyle w:val="Compact"/>
                  </w:pPr>
                </w:p>
              </w:tc>
            </w:tr>
            <w:tr>
              <w:tc>
                <w:tcPr/>
                <w:p>
                  <w:pPr>
                    <w:pStyle w:val="Compact"/>
                    <w:jc w:val="left"/>
                    <w:jc w:val="center"/>
                  </w:pPr>
                  <w:r>
                    <w:t xml:space="preserve">S1 BAU</w:t>
                  </w:r>
                </w:p>
              </w:tc>
              <w:tc>
                <w:tcPr/>
                <w:p>
                  <w:pPr>
                    <w:pStyle w:val="Compact"/>
                    <w:jc w:val="left"/>
                    <w:jc w:val="center"/>
                  </w:pPr>
                  <w:r>
                    <w:t xml:space="preserve">$15.7</w:t>
                  </w:r>
                </w:p>
              </w:tc>
              <w:tc>
                <w:tcPr/>
                <w:p>
                  <w:pPr>
                    <w:pStyle w:val="Compact"/>
                    <w:jc w:val="left"/>
                    <w:jc w:val="center"/>
                  </w:pPr>
                  <w:r>
                    <w:t xml:space="preserve">$0.437</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w:t>
                  </w:r>
                </w:p>
              </w:tc>
              <w:tc>
                <w:tcPr/>
                <w:p>
                  <w:pPr>
                    <w:pStyle w:val="Compact"/>
                    <w:jc w:val="right"/>
                    <w:jc w:val="center"/>
                  </w:pPr>
                  <w:r>
                    <w:t xml:space="preserve">65.8</w:t>
                  </w:r>
                </w:p>
              </w:tc>
              <w:tc>
                <w:tcPr/>
                <w:p>
                  <w:pPr>
                    <w:pStyle w:val="Compact"/>
                    <w:jc w:val="left"/>
                    <w:jc w:val="center"/>
                  </w:pPr>
                  <w:r>
                    <w:t xml:space="preserve">1%</w:t>
                  </w:r>
                </w:p>
              </w:tc>
            </w:tr>
            <w:tr>
              <w:tc>
                <w:tcPr/>
                <w:p>
                  <w:pPr>
                    <w:pStyle w:val="Compact"/>
                    <w:jc w:val="left"/>
                    <w:jc w:val="center"/>
                  </w:pPr>
                  <w:r>
                    <w:t xml:space="preserve">S2 FI</w:t>
                  </w:r>
                </w:p>
              </w:tc>
              <w:tc>
                <w:tcPr/>
                <w:p>
                  <w:pPr>
                    <w:pStyle w:val="Compact"/>
                    <w:jc w:val="left"/>
                    <w:jc w:val="center"/>
                  </w:pPr>
                  <w:r>
                    <w:t xml:space="preserve">$9.0</w:t>
                  </w:r>
                </w:p>
              </w:tc>
              <w:tc>
                <w:tcPr/>
                <w:p>
                  <w:pPr>
                    <w:pStyle w:val="Compact"/>
                    <w:jc w:val="left"/>
                    <w:jc w:val="center"/>
                  </w:pPr>
                  <w:r>
                    <w:t xml:space="preserve">$0.204</w:t>
                  </w:r>
                </w:p>
              </w:tc>
              <w:tc>
                <w:tcPr/>
                <w:p>
                  <w:pPr>
                    <w:pStyle w:val="Compact"/>
                    <w:jc w:val="left"/>
                    <w:jc w:val="center"/>
                  </w:pPr>
                  <w:r>
                    <w:t xml:space="preserve">$10.3</w:t>
                  </w:r>
                </w:p>
              </w:tc>
              <w:tc>
                <w:tcPr/>
                <w:p>
                  <w:pPr>
                    <w:pStyle w:val="Compact"/>
                    <w:jc w:val="left"/>
                    <w:jc w:val="center"/>
                  </w:pPr>
                  <w:r>
                    <w:t xml:space="preserve">2.9×</w:t>
                  </w:r>
                </w:p>
              </w:tc>
              <w:tc>
                <w:tcPr/>
                <w:p>
                  <w:pPr>
                    <w:pStyle w:val="Compact"/>
                    <w:jc w:val="left"/>
                    <w:jc w:val="center"/>
                  </w:pPr>
                  <w:r>
                    <w:t xml:space="preserve">17.0%</w:t>
                  </w:r>
                </w:p>
              </w:tc>
              <w:tc>
                <w:tcPr/>
                <w:p>
                  <w:pPr>
                    <w:pStyle w:val="Compact"/>
                    <w:jc w:val="left"/>
                    <w:jc w:val="center"/>
                  </w:pPr>
                  <w:r>
                    <w:t xml:space="preserve">13</w:t>
                  </w:r>
                </w:p>
              </w:tc>
              <w:tc>
                <w:tcPr/>
                <w:p>
                  <w:pPr>
                    <w:pStyle w:val="Compact"/>
                    <w:jc w:val="right"/>
                    <w:jc w:val="center"/>
                  </w:pPr>
                  <w:r>
                    <w:t xml:space="preserve">46</w:t>
                  </w:r>
                </w:p>
              </w:tc>
              <w:tc>
                <w:tcPr/>
                <w:p>
                  <w:pPr>
                    <w:pStyle w:val="Compact"/>
                    <w:jc w:val="left"/>
                    <w:jc w:val="center"/>
                  </w:pPr>
                  <w:r>
                    <w:t xml:space="preserve">11%</w:t>
                  </w:r>
                </w:p>
              </w:tc>
            </w:tr>
            <w:tr>
              <w:tc>
                <w:tcPr/>
                <w:p>
                  <w:pPr>
                    <w:pStyle w:val="Compact"/>
                    <w:jc w:val="left"/>
                    <w:jc w:val="center"/>
                  </w:pPr>
                  <w:r>
                    <w:t xml:space="preserve">S3 NG</w:t>
                  </w:r>
                </w:p>
              </w:tc>
              <w:tc>
                <w:tcPr/>
                <w:p>
                  <w:pPr>
                    <w:pStyle w:val="Compact"/>
                    <w:jc w:val="left"/>
                    <w:jc w:val="center"/>
                  </w:pPr>
                  <w:r>
                    <w:t xml:space="preserve">$8.6</w:t>
                  </w:r>
                </w:p>
              </w:tc>
              <w:tc>
                <w:tcPr/>
                <w:p>
                  <w:pPr>
                    <w:pStyle w:val="Compact"/>
                    <w:jc w:val="left"/>
                    <w:jc w:val="center"/>
                  </w:pPr>
                  <w:r>
                    <w:t xml:space="preserve">$0.273</w:t>
                  </w:r>
                </w:p>
              </w:tc>
              <w:tc>
                <w:tcPr/>
                <w:p>
                  <w:pPr>
                    <w:pStyle w:val="Compact"/>
                    <w:jc w:val="left"/>
                    <w:jc w:val="center"/>
                  </w:pPr>
                  <w:r>
                    <w:t xml:space="preserve">$11.3</w:t>
                  </w:r>
                </w:p>
              </w:tc>
              <w:tc>
                <w:tcPr/>
                <w:p>
                  <w:pPr>
                    <w:pStyle w:val="Compact"/>
                    <w:jc w:val="left"/>
                    <w:jc w:val="center"/>
                  </w:pPr>
                  <w:r>
                    <w:t xml:space="preserve">12.4×</w:t>
                  </w:r>
                </w:p>
              </w:tc>
              <w:tc>
                <w:tcPr/>
                <w:p>
                  <w:pPr>
                    <w:pStyle w:val="Compact"/>
                    <w:jc w:val="left"/>
                    <w:jc w:val="center"/>
                  </w:pPr>
                  <w:r>
                    <w:t xml:space="preserve">38.7%</w:t>
                  </w:r>
                </w:p>
              </w:tc>
              <w:tc>
                <w:tcPr/>
                <w:p>
                  <w:pPr>
                    <w:pStyle w:val="Compact"/>
                    <w:jc w:val="left"/>
                    <w:jc w:val="center"/>
                  </w:pPr>
                  <w:r>
                    <w:t xml:space="preserve">6</w:t>
                  </w:r>
                </w:p>
              </w:tc>
              <w:tc>
                <w:tcPr/>
                <w:p>
                  <w:pPr>
                    <w:pStyle w:val="Compact"/>
                    <w:jc w:val="right"/>
                    <w:jc w:val="center"/>
                  </w:pPr>
                  <w:r>
                    <w:t xml:space="preserve">31.4</w:t>
                  </w:r>
                </w:p>
              </w:tc>
              <w:tc>
                <w:tcPr/>
                <w:p>
                  <w:pPr>
                    <w:pStyle w:val="Compact"/>
                    <w:jc w:val="left"/>
                    <w:jc w:val="center"/>
                  </w:pPr>
                  <w:r>
                    <w:t xml:space="preserve">51%</w:t>
                  </w:r>
                </w:p>
              </w:tc>
            </w:tr>
            <w:tr>
              <w:tc>
                <w:tcPr/>
                <w:p>
                  <w:pPr>
                    <w:pStyle w:val="Compact"/>
                    <w:jc w:val="left"/>
                    <w:jc w:val="center"/>
                  </w:pPr>
                  <w:r>
                    <w:t xml:space="preserve">S4 IG</w:t>
                  </w:r>
                </w:p>
              </w:tc>
              <w:tc>
                <w:tcPr/>
                <w:p>
                  <w:pPr>
                    <w:pStyle w:val="Compact"/>
                    <w:jc w:val="left"/>
                    <w:jc w:val="center"/>
                  </w:pPr>
                  <w:r>
                    <w:t xml:space="preserve">$9.6</w:t>
                  </w:r>
                </w:p>
              </w:tc>
              <w:tc>
                <w:tcPr/>
                <w:p>
                  <w:pPr>
                    <w:pStyle w:val="Compact"/>
                    <w:jc w:val="left"/>
                    <w:jc w:val="center"/>
                  </w:pPr>
                  <w:r>
                    <w:t xml:space="preserve">$0.304</w:t>
                  </w:r>
                </w:p>
              </w:tc>
              <w:tc>
                <w:tcPr/>
                <w:p>
                  <w:pPr>
                    <w:pStyle w:val="Compact"/>
                    <w:jc w:val="left"/>
                    <w:jc w:val="center"/>
                  </w:pPr>
                  <w:r>
                    <w:t xml:space="preserve">$10.3</w:t>
                  </w:r>
                </w:p>
              </w:tc>
              <w:tc>
                <w:tcPr/>
                <w:p>
                  <w:pPr>
                    <w:pStyle w:val="Compact"/>
                    <w:jc w:val="left"/>
                    <w:jc w:val="center"/>
                  </w:pPr>
                  <w:r>
                    <w:t xml:space="preserve">8.4×</w:t>
                  </w:r>
                </w:p>
              </w:tc>
              <w:tc>
                <w:tcPr/>
                <w:p>
                  <w:pPr>
                    <w:pStyle w:val="Compact"/>
                    <w:jc w:val="left"/>
                    <w:jc w:val="center"/>
                  </w:pPr>
                  <w:r>
                    <w:t xml:space="preserve">29.4%</w:t>
                  </w:r>
                </w:p>
              </w:tc>
              <w:tc>
                <w:tcPr/>
                <w:p>
                  <w:pPr>
                    <w:pStyle w:val="Compact"/>
                    <w:jc w:val="left"/>
                    <w:jc w:val="center"/>
                  </w:pPr>
                  <w:r>
                    <w:t xml:space="preserve">8</w:t>
                  </w:r>
                </w:p>
              </w:tc>
              <w:tc>
                <w:tcPr/>
                <w:p>
                  <w:pPr>
                    <w:pStyle w:val="Compact"/>
                    <w:jc w:val="right"/>
                    <w:jc w:val="center"/>
                  </w:pPr>
                  <w:r>
                    <w:t xml:space="preserve">31.5</w:t>
                  </w:r>
                </w:p>
              </w:tc>
              <w:tc>
                <w:tcPr/>
                <w:p>
                  <w:pPr>
                    <w:pStyle w:val="Compact"/>
                    <w:jc w:val="left"/>
                    <w:jc w:val="center"/>
                  </w:pPr>
                  <w:r>
                    <w:t xml:space="preserve">51%</w:t>
                  </w:r>
                </w:p>
              </w:tc>
            </w:tr>
            <w:tr>
              <w:tc>
                <w:tcPr/>
                <w:p>
                  <w:pPr>
                    <w:pStyle w:val="Compact"/>
                    <w:jc w:val="left"/>
                    <w:jc w:val="center"/>
                  </w:pPr>
                  <w:r>
                    <w:t xml:space="preserve">S5 NS</w:t>
                  </w:r>
                </w:p>
              </w:tc>
              <w:tc>
                <w:tcPr/>
                <w:p>
                  <w:pPr>
                    <w:pStyle w:val="Compact"/>
                    <w:jc w:val="left"/>
                    <w:jc w:val="center"/>
                  </w:pPr>
                  <w:r>
                    <w:t xml:space="preserve">$8.3</w:t>
                  </w:r>
                </w:p>
              </w:tc>
              <w:tc>
                <w:tcPr/>
                <w:p>
                  <w:pPr>
                    <w:pStyle w:val="Compact"/>
                    <w:jc w:val="left"/>
                    <w:jc w:val="center"/>
                  </w:pPr>
                  <w:r>
                    <w:t xml:space="preserve">$0.263</w:t>
                  </w:r>
                </w:p>
              </w:tc>
              <w:tc>
                <w:tcPr/>
                <w:p>
                  <w:pPr>
                    <w:pStyle w:val="Compact"/>
                    <w:jc w:val="left"/>
                    <w:jc w:val="center"/>
                  </w:pPr>
                  <w:r>
                    <w:t xml:space="preserve">$12.0</w:t>
                  </w:r>
                </w:p>
              </w:tc>
              <w:tc>
                <w:tcPr/>
                <w:p>
                  <w:pPr>
                    <w:pStyle w:val="Compact"/>
                    <w:jc w:val="left"/>
                    <w:jc w:val="center"/>
                  </w:pPr>
                  <w:r>
                    <w:t xml:space="preserve">11.0×</w:t>
                  </w:r>
                </w:p>
              </w:tc>
              <w:tc>
                <w:tcPr/>
                <w:p>
                  <w:pPr>
                    <w:pStyle w:val="Compact"/>
                    <w:jc w:val="left"/>
                    <w:jc w:val="center"/>
                  </w:pPr>
                  <w:r>
                    <w:t xml:space="preserve">37.6%</w:t>
                  </w:r>
                </w:p>
              </w:tc>
              <w:tc>
                <w:tcPr/>
                <w:p>
                  <w:pPr>
                    <w:pStyle w:val="Compact"/>
                    <w:jc w:val="left"/>
                    <w:jc w:val="center"/>
                  </w:pPr>
                  <w:r>
                    <w:t xml:space="preserve">7</w:t>
                  </w:r>
                </w:p>
              </w:tc>
              <w:tc>
                <w:tcPr/>
                <w:p>
                  <w:pPr>
                    <w:pStyle w:val="Compact"/>
                    <w:jc w:val="right"/>
                    <w:jc w:val="center"/>
                  </w:pPr>
                  <w:r>
                    <w:t xml:space="preserve">28.9</w:t>
                  </w:r>
                </w:p>
              </w:tc>
              <w:tc>
                <w:tcPr/>
                <w:p>
                  <w:pPr>
                    <w:pStyle w:val="Compact"/>
                    <w:jc w:val="left"/>
                    <w:jc w:val="center"/>
                  </w:pPr>
                  <w:r>
                    <w:t xml:space="preserve">54%</w:t>
                  </w:r>
                </w:p>
              </w:tc>
            </w:tr>
            <w:tr>
              <w:tc>
                <w:tcPr/>
                <w:p>
                  <w:pPr>
                    <w:pStyle w:val="Compact"/>
                    <w:jc w:val="left"/>
                    <w:jc w:val="center"/>
                  </w:pPr>
                  <w:r>
                    <w:t xml:space="preserve">S6 MR</w:t>
                  </w:r>
                </w:p>
              </w:tc>
              <w:tc>
                <w:tcPr/>
                <w:p>
                  <w:pPr>
                    <w:pStyle w:val="Compact"/>
                    <w:jc w:val="left"/>
                    <w:jc w:val="center"/>
                  </w:pPr>
                  <w:r>
                    <w:t xml:space="preserve">$7.3</w:t>
                  </w:r>
                </w:p>
              </w:tc>
              <w:tc>
                <w:tcPr/>
                <w:p>
                  <w:pPr>
                    <w:pStyle w:val="Compact"/>
                    <w:jc w:val="left"/>
                    <w:jc w:val="center"/>
                  </w:pPr>
                  <w:r>
                    <w:t xml:space="preserve">$0.234</w:t>
                  </w:r>
                </w:p>
              </w:tc>
              <w:tc>
                <w:tcPr/>
                <w:p>
                  <w:pPr>
                    <w:pStyle w:val="Compact"/>
                    <w:jc w:val="left"/>
                    <w:jc w:val="center"/>
                  </w:pPr>
                  <w:r>
                    <w:t xml:space="preserve">$13.8</w:t>
                  </w:r>
                </w:p>
              </w:tc>
              <w:tc>
                <w:tcPr/>
                <w:p>
                  <w:pPr>
                    <w:pStyle w:val="Compact"/>
                    <w:jc w:val="left"/>
                    <w:jc w:val="center"/>
                  </w:pPr>
                  <w:r>
                    <w:t xml:space="preserve">9.1×</w:t>
                  </w:r>
                </w:p>
              </w:tc>
              <w:tc>
                <w:tcPr/>
                <w:p>
                  <w:pPr>
                    <w:pStyle w:val="Compact"/>
                    <w:jc w:val="left"/>
                    <w:jc w:val="center"/>
                  </w:pPr>
                  <w:r>
                    <w:t xml:space="preserve">36.5%</w:t>
                  </w:r>
                </w:p>
              </w:tc>
              <w:tc>
                <w:tcPr/>
                <w:p>
                  <w:pPr>
                    <w:pStyle w:val="Compact"/>
                    <w:jc w:val="left"/>
                    <w:jc w:val="center"/>
                  </w:pPr>
                  <w:r>
                    <w:t xml:space="preserve">7</w:t>
                  </w:r>
                </w:p>
              </w:tc>
              <w:tc>
                <w:tcPr/>
                <w:p>
                  <w:pPr>
                    <w:pStyle w:val="Compact"/>
                    <w:jc w:val="right"/>
                    <w:jc w:val="center"/>
                  </w:pPr>
                  <w:r>
                    <w:t xml:space="preserve">21.7</w:t>
                  </w:r>
                </w:p>
              </w:tc>
              <w:tc>
                <w:tcPr/>
                <w:p>
                  <w:pPr>
                    <w:pStyle w:val="Compact"/>
                    <w:jc w:val="left"/>
                    <w:jc w:val="center"/>
                  </w:pPr>
                  <w:r>
                    <w:t xml:space="preserve">64%</w:t>
                  </w:r>
                </w:p>
              </w:tc>
            </w:tr>
            <w:tr>
              <w:tc>
                <w:tcPr/>
                <w:p>
                  <w:pPr>
                    <w:pStyle w:val="Compact"/>
                    <w:jc w:val="left"/>
                    <w:jc w:val="center"/>
                  </w:pPr>
                  <w:r>
                    <w:t xml:space="preserve">S7 LNG</w:t>
                  </w:r>
                </w:p>
              </w:tc>
              <w:tc>
                <w:tcPr/>
                <w:p>
                  <w:pPr>
                    <w:pStyle w:val="Compact"/>
                    <w:jc w:val="left"/>
                    <w:jc w:val="center"/>
                  </w:pPr>
                  <w:r>
                    <w:t xml:space="preserve">$7.2</w:t>
                  </w:r>
                </w:p>
              </w:tc>
              <w:tc>
                <w:tcPr/>
                <w:p>
                  <w:pPr>
                    <w:pStyle w:val="Compact"/>
                    <w:jc w:val="left"/>
                    <w:jc w:val="center"/>
                  </w:pPr>
                  <w:r>
                    <w:t xml:space="preserve">$0.200</w:t>
                  </w:r>
                </w:p>
              </w:tc>
              <w:tc>
                <w:tcPr/>
                <w:p>
                  <w:pPr>
                    <w:pStyle w:val="Compact"/>
                    <w:jc w:val="left"/>
                    <w:jc w:val="center"/>
                  </w:pPr>
                  <w:r>
                    <w:t xml:space="preserve">$13.3</w:t>
                  </w:r>
                </w:p>
              </w:tc>
              <w:tc>
                <w:tcPr/>
                <w:p>
                  <w:pPr>
                    <w:pStyle w:val="Compact"/>
                    <w:jc w:val="left"/>
                    <w:jc w:val="center"/>
                  </w:pPr>
                  <w:r>
                    <w:t xml:space="preserve">11.5×</w:t>
                  </w:r>
                </w:p>
              </w:tc>
              <w:tc>
                <w:tcPr/>
                <w:p>
                  <w:pPr>
                    <w:pStyle w:val="Compact"/>
                    <w:jc w:val="left"/>
                    <w:jc w:val="center"/>
                  </w:pPr>
                  <w:r>
                    <w:t xml:space="preserve">44.2%</w:t>
                  </w:r>
                </w:p>
              </w:tc>
              <w:tc>
                <w:tcPr/>
                <w:p>
                  <w:pPr>
                    <w:pStyle w:val="Compact"/>
                    <w:jc w:val="left"/>
                    <w:jc w:val="center"/>
                  </w:pPr>
                  <w:r>
                    <w:t xml:space="preserve">6</w:t>
                  </w:r>
                </w:p>
              </w:tc>
              <w:tc>
                <w:tcPr/>
                <w:p>
                  <w:pPr>
                    <w:pStyle w:val="Compact"/>
                    <w:jc w:val="right"/>
                    <w:jc w:val="center"/>
                  </w:pPr>
                  <w:r>
                    <w:t xml:space="preserve">30</w:t>
                  </w:r>
                </w:p>
              </w:tc>
              <w:tc>
                <w:tcPr/>
                <w:p>
                  <w:pPr>
                    <w:pStyle w:val="Compact"/>
                    <w:jc w:val="left"/>
                    <w:jc w:val="center"/>
                  </w:pPr>
                  <w:r>
                    <w:t xml:space="preserve">47%</w:t>
                  </w:r>
                </w:p>
              </w:tc>
            </w:tr>
          </w:tbl>
          <w:bookmarkEnd w:id="153"/>
          <w:p/>
        </w:tc>
      </w:tr>
    </w:tbl>
    <w:p>
      <w:pPr>
        <w:pStyle w:val="BodyText"/>
      </w:pPr>
      <w:r>
        <w:t xml:space="preserve">Every alternative beats diesel. Highest RE shares deliver largest NPV, lowest LCOE, deepest emissions cuts — but may involve more capital and tech risk (floating solar in S6). LNG stands out for fast payback: it swaps fuels rather than transforming the technology base.</w:t>
      </w:r>
    </w:p>
    <w:bookmarkEnd w:id="154"/>
    <w:bookmarkStart w:id="159" w:name="lcoe-comparison"/>
    <w:p>
      <w:pPr>
        <w:pStyle w:val="Heading2"/>
      </w:pPr>
      <w:r>
        <w:t xml:space="preserve">6.5 LCOE Comparison</w:t>
      </w:r>
    </w:p>
    <w:p>
      <w:pPr>
        <w:pStyle w:val="FirstParagraph"/>
      </w:pPr>
      <w:r>
        <w:t xml:space="preserve">Levelised cost expresses average cost per kWh over project lifetime — directly comparable to tariffs and benchmarks.</w:t>
      </w:r>
    </w:p>
    <w:tbl>
      <w:tblPr>
        <w:tblStyle w:val="Table"/>
        <w:tblW w:type="pct" w:w="5000"/>
        <w:tblLayout w:type="fixed"/>
        <w:tblLook w:firstRow="0" w:lastRow="0" w:firstColumn="0" w:lastColumn="0" w:noHBand="0" w:noVBand="0" w:val="0000"/>
      </w:tblPr>
      <w:tblGrid>
        <w:gridCol w:w="7920"/>
      </w:tblGrid>
      <w:tr>
        <w:tc>
          <w:tcPr/>
          <w:bookmarkStart w:id="158" w:name="fig-lcoe"/>
          <w:p>
            <w:pPr>
              <w:pStyle w:val="Compact"/>
              <w:jc w:val="center"/>
            </w:pPr>
            <w:r>
              <w:drawing>
                <wp:inline>
                  <wp:extent cx="5334000" cy="3810000"/>
                  <wp:effectExtent b="0" l="0" r="0" t="0"/>
                  <wp:docPr descr="" title="" id="156" name="Picture"/>
                  <a:graphic>
                    <a:graphicData uri="http://schemas.openxmlformats.org/drawingml/2006/picture">
                      <pic:pic>
                        <pic:nvPicPr>
                          <pic:cNvPr descr="04-results_files/figure-docx/fig-lcoe-output-1.png" id="157" name="Picture"/>
                          <pic:cNvPicPr>
                            <a:picLocks noChangeArrowheads="1" noChangeAspect="1"/>
                          </pic:cNvPicPr>
                        </pic:nvPicPr>
                        <pic:blipFill>
                          <a:blip r:embed="rId155"/>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6.5: Levelised cost of electricity by scenario, with international benchmarks for context.</w:t>
            </w:r>
          </w:p>
          <w:bookmarkEnd w:id="158"/>
        </w:tc>
      </w:tr>
    </w:tbl>
    <w:p>
      <w:pPr>
        <w:pStyle w:val="BodyText"/>
      </w:pPr>
      <w:r>
        <w:t xml:space="preserve">Diesel BAU LCOE exceeds global mini-grid averages — fuel transport, scale inefficiencies, remote maintenance. Renewable scenarios approach SIDS averages and, in some cases, near global utility-scale solar — remarkable for a small island nation. The gap represents the per-unit cost advantage that compounds into billions in NPV savings.</w:t>
      </w:r>
    </w:p>
    <w:bookmarkEnd w:id="159"/>
    <w:bookmarkStart w:id="164" w:name="emissions-trajectories"/>
    <w:p>
      <w:pPr>
        <w:pStyle w:val="Heading2"/>
      </w:pPr>
      <w:r>
        <w:t xml:space="preserve">6.6 Emissions Trajectories</w:t>
      </w:r>
    </w:p>
    <w:p>
      <w:pPr>
        <w:pStyle w:val="FirstParagraph"/>
      </w:pPr>
      <w:r>
        <w:t xml:space="preserve">The Maldives has Paris Agreement commitments and, as the lowest-lying nation, an existential stake in climate action.</w:t>
      </w:r>
    </w:p>
    <w:tbl>
      <w:tblPr>
        <w:tblStyle w:val="Table"/>
        <w:tblW w:type="pct" w:w="5000"/>
        <w:tblLayout w:type="fixed"/>
        <w:tblLook w:firstRow="0" w:lastRow="0" w:firstColumn="0" w:lastColumn="0" w:noHBand="0" w:noVBand="0" w:val="0000"/>
      </w:tblPr>
      <w:tblGrid>
        <w:gridCol w:w="7920"/>
      </w:tblGrid>
      <w:tr>
        <w:tc>
          <w:tcPr/>
          <w:bookmarkStart w:id="163" w:name="fig-emissions"/>
          <w:p>
            <w:pPr>
              <w:pStyle w:val="Compact"/>
              <w:jc w:val="center"/>
            </w:pPr>
            <w:r>
              <w:drawing>
                <wp:inline>
                  <wp:extent cx="5334000" cy="3810000"/>
                  <wp:effectExtent b="0" l="0" r="0" t="0"/>
                  <wp:docPr descr="" title="" id="161" name="Picture"/>
                  <a:graphic>
                    <a:graphicData uri="http://schemas.openxmlformats.org/drawingml/2006/picture">
                      <pic:pic>
                        <pic:nvPicPr>
                          <pic:cNvPr descr="04-results_files/figure-docx/fig-emissions-output-1.png" id="162" name="Picture"/>
                          <pic:cNvPicPr>
                            <a:picLocks noChangeArrowheads="1" noChangeAspect="1"/>
                          </pic:cNvPicPr>
                        </pic:nvPicPr>
                        <pic:blipFill>
                          <a:blip r:embed="rId160"/>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6.6: Cumulative CO₂ emissions by scenario. All alternatives achieve significant emission reductions versus diesel BAU.</w:t>
            </w:r>
          </w:p>
          <w:bookmarkEnd w:id="163"/>
        </w:tc>
      </w:tr>
    </w:tbl>
    <w:p>
      <w:pPr>
        <w:pStyle w:val="BodyText"/>
      </w:pPr>
      <w:r>
        <w:t xml:space="preserve">Under diesel BAU, the electricity sector would emit 65.8 million tonnes of CO₂ over 30 years. The cleanest scenario, S6 MR, cuts cumulative emissions by 67 per cent to 21.7 million tonnes. Even S7 (LNG), which retains fossil fuel, achieves a 44 per cent reduction in emission intensity by switching from diesel to gas.</w:t>
      </w:r>
    </w:p>
    <w:p>
      <w:pPr>
        <w:pStyle w:val="BodyText"/>
      </w:pPr>
      <w:r>
        <w:t xml:space="preserve">The emissions ranking does not perfectly mirror the economic ranking. Some slightly less cost-optimal scenarios deliver substantially deeper decarbonisation, but the trade-off is modest: the cost difference between the most efficient and the most ambitious scenario is small relative to the savings both deliver versus diesel.</w:t>
      </w:r>
    </w:p>
    <w:bookmarkEnd w:id="164"/>
    <w:bookmarkStart w:id="167" w:name="Xd8c1de6bb8ffd4c9a1970a8550a7aa53ee0ba1a"/>
    <w:p>
      <w:pPr>
        <w:pStyle w:val="Heading2"/>
      </w:pPr>
      <w:r>
        <w:t xml:space="preserve">6.7 The India Cable vs. Domestic Alternatives</w:t>
      </w:r>
    </w:p>
    <w:p>
      <w:pPr>
        <w:pStyle w:val="FirstParagraph"/>
      </w:pPr>
      <w:r>
        <w:t xml:space="preserve">The cable beats diesel, but the more informative comparison is whether it beats the next-best domestic option.</w:t>
      </w:r>
    </w:p>
    <w:p>
      <w:pPr>
        <w:pStyle w:val="BodyText"/>
      </w:pPr>
      <w:r>
        <w:t xml:space="preserve">The incremental analysis reveals that the India cable requires $2.0B in additional capital expenditure beyond what the National Grid domestic scenario would cost. This additional investment yields an incremental benefit-cost ratio of only 0.78, which falls below the 1.0 threshold — meaning that the marginal costs of the cable exceed its marginal benefits relative to domestic solar-plus-battery. The incremental IRR of 1.2 per cent is below the 6 per cent social discount rate, and the incremental payback period extends to 22 years, raising questions about the cable’s economic justification on the margin.</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65" name="Picture"/>
                  <a:graphic>
                    <a:graphicData uri="http://schemas.openxmlformats.org/drawingml/2006/picture">
                      <pic:pic>
                        <pic:nvPicPr>
                          <pic:cNvPr descr="C:\Users\LucasSempe\AppData\Local\Programs\Quarto\share\formats\docx\important.png" id="166"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cable does not pay for itself on the margin</w:t>
            </w:r>
          </w:p>
        </w:tc>
      </w:tr>
      <w:tr>
        <w:trPr>
          <w:cantSplit/>
        </w:trPr>
        <w:tc>
          <w:tcPr>
            <w:tcMar>
              <w:top w:w="108" w:type="dxa"/>
              <w:bottom w:w="108" w:type="dxa"/>
            </w:tcMar>
          </w:tcPr>
          <w:p>
            <w:pPr>
              <w:pStyle w:val="BodyText"/>
            </w:pPr>
            <w:pPr>
              <w:spacing w:before="16" w:after="16"/>
            </w:pPr>
            <w:r>
              <w:t xml:space="preserve">While S2 saves money versus</w:t>
            </w:r>
            <w:r>
              <w:t xml:space="preserve"> </w:t>
            </w:r>
            <w:r>
              <w:rPr>
                <w:i/>
                <w:iCs/>
              </w:rPr>
              <w:t xml:space="preserve">diesel</w:t>
            </w:r>
            <w:r>
              <w:t xml:space="preserve"> </w:t>
            </w:r>
            <w:r>
              <w:t xml:space="preserve">(BCR 2.9 ×), it does</w:t>
            </w:r>
            <w:r>
              <w:t xml:space="preserve"> </w:t>
            </w:r>
            <w:r>
              <w:rPr>
                <w:i/>
                <w:iCs/>
              </w:rPr>
              <w:t xml:space="preserve">not</w:t>
            </w:r>
            <w:r>
              <w:t xml:space="preserve"> </w:t>
            </w:r>
            <w:r>
              <w:t xml:space="preserve">save money versus</w:t>
            </w:r>
            <w:r>
              <w:t xml:space="preserve"> </w:t>
            </w:r>
            <w:r>
              <w:rPr>
                <w:i/>
                <w:iCs/>
              </w:rPr>
              <w:t xml:space="preserve">domestic solar+battery</w:t>
            </w:r>
            <w:r>
              <w:t xml:space="preserve"> </w:t>
            </w:r>
            <w:r>
              <w:t xml:space="preserve">(S3). The cable’s marginal BCR of 0.78 means that every additional dollar invested in the cable yields only 78 cents of additional benefit. Domestic RE is more cost-effective.</w:t>
            </w:r>
          </w:p>
        </w:tc>
      </w:tr>
    </w:tbl>
    <w:p>
      <w:pPr>
        <w:pStyle w:val="BodyText"/>
      </w:pPr>
      <w:r>
        <w:t xml:space="preserve">Geopolitical or strategic considerations could override the economic analysis, but the cost-effectiveness evidence points clearly toward domestic alternatives. The same capital yields more benefit if invested in solar, battery, and near-shore capacity. The cable’s marginal economics would improve under 50 per cent cost-sharing with India, lower export prices, or domestic solar cost escalation. These conditions are plausible but speculative, which reinforces the real-options argument for deferring the cable decision (</w:t>
      </w:r>
      <w:hyperlink w:anchor="sec-real-options">
        <w:r>
          <w:rPr>
            <w:rStyle w:val="Hyperlink"/>
          </w:rPr>
          <w:t xml:space="preserve">Section 15.4</w:t>
        </w:r>
      </w:hyperlink>
      <w:r>
        <w:t xml:space="preserve">).</w:t>
      </w:r>
    </w:p>
    <w:bookmarkEnd w:id="167"/>
    <w:bookmarkEnd w:id="168"/>
    <w:bookmarkStart w:id="196" w:name="sec-sensitivity"/>
    <w:p>
      <w:pPr>
        <w:pStyle w:val="Heading1"/>
      </w:pPr>
      <w:r>
        <w:t xml:space="preserve">7. Sensitivity &amp; Robustness</w:t>
      </w:r>
    </w:p>
    <w:p>
      <w:pPr>
        <w:pStyle w:val="FirstParagraph"/>
      </w:pPr>
      <w:r>
        <w:t xml:space="preserve">How far can the assumptions bend before the conclusions break? One-way sensitivity (48 parameters), 1,000-iteration Monte Carlo, switching-value analysis, multi-horizon comparison, and declining discount rate schedules all test the same question.</w:t>
      </w:r>
    </w:p>
    <w:bookmarkStart w:id="173" w:name="one-way-sensitivity-analysis"/>
    <w:p>
      <w:pPr>
        <w:pStyle w:val="Heading2"/>
      </w:pPr>
      <w:r>
        <w:t xml:space="preserve">7.1 One-Way Sensitivity Analysis</w:t>
      </w:r>
    </w:p>
    <w:p>
      <w:pPr>
        <w:pStyle w:val="FirstParagraph"/>
      </w:pPr>
      <w:r>
        <w:t xml:space="preserve">Varying individual parameters between low and high bounds (others at base) reveals which assumptions matter most. The tornado diagram ranks the 15 most influential parameters for the National Grid scenario (S3) by total NPV swing.</w:t>
      </w:r>
    </w:p>
    <w:tbl>
      <w:tblPr>
        <w:tblStyle w:val="Table"/>
        <w:tblW w:type="pct" w:w="5000"/>
        <w:tblLayout w:type="fixed"/>
        <w:tblLook w:firstRow="0" w:lastRow="0" w:firstColumn="0" w:lastColumn="0" w:noHBand="0" w:noVBand="0" w:val="0000"/>
      </w:tblPr>
      <w:tblGrid>
        <w:gridCol w:w="7920"/>
      </w:tblGrid>
      <w:tr>
        <w:tc>
          <w:tcPr/>
          <w:bookmarkStart w:id="172" w:name="fig-tornado"/>
          <w:p>
            <w:pPr>
              <w:pStyle w:val="Compact"/>
              <w:jc w:val="center"/>
            </w:pPr>
            <w:r>
              <w:drawing>
                <wp:inline>
                  <wp:extent cx="5334000" cy="3810000"/>
                  <wp:effectExtent b="0" l="0" r="0" t="0"/>
                  <wp:docPr descr="" title="" id="170" name="Picture"/>
                  <a:graphic>
                    <a:graphicData uri="http://schemas.openxmlformats.org/drawingml/2006/picture">
                      <pic:pic>
                        <pic:nvPicPr>
                          <pic:cNvPr descr="05-sensitivity_files/figure-docx/fig-tornado-output-1.png" id="171" name="Picture"/>
                          <pic:cNvPicPr>
                            <a:picLocks noChangeArrowheads="1" noChangeAspect="1"/>
                          </pic:cNvPicPr>
                        </pic:nvPicPr>
                        <pic:blipFill>
                          <a:blip r:embed="rId169"/>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7.1: Tornado diagram for the National Grid scenario (S3): top 15 parameters by impact on NPV savings. Red bars show NPV when parameter is at its high bound; blue bars at its low bound.</w:t>
            </w:r>
          </w:p>
          <w:bookmarkEnd w:id="172"/>
        </w:tc>
      </w:tr>
    </w:tbl>
    <w:p>
      <w:pPr>
        <w:pStyle w:val="BodyText"/>
      </w:pPr>
      <w:r>
        <w:t xml:space="preserve">Discount rate and diesel price dominate, which follows from the comparison of upfront capital (renewables) against ongoing fuel costs (diesel). Solar and battery CAPEX also matter, though less. No single-parameter variation reverses the case for transition.</w:t>
      </w:r>
    </w:p>
    <w:bookmarkEnd w:id="173"/>
    <w:bookmarkStart w:id="182" w:name="monte-carlo-simulation"/>
    <w:p>
      <w:pPr>
        <w:pStyle w:val="Heading2"/>
      </w:pPr>
      <w:r>
        <w:t xml:space="preserve">7.2 Monte Carlo Simulation</w:t>
      </w:r>
    </w:p>
    <w:p>
      <w:pPr>
        <w:pStyle w:val="FirstParagraph"/>
      </w:pPr>
      <w:r>
        <w:t xml:space="preserve">Monte Carlo varies 48 parameters simultaneously across 1,000 iterations (triangular distributions, Iman-Conover rank correlations for realistic dependencies). Each iteration yields a complete NPV distribution across all seven scenarios.</w:t>
      </w:r>
    </w:p>
    <w:p>
      <w:pPr>
        <w:pStyle w:val="BodyText"/>
      </w:pPr>
      <w:r>
        <w:t xml:space="preserve">Every alternative beats diesel BAU in &gt;100% of iterations — well above the 60–70% threshold typical in public investment appraisal</w:t>
      </w:r>
      <w:r>
        <w:rPr>
          <w:rStyle w:val="FootnoteReference"/>
        </w:rPr>
        <w:footnoteReference w:id="174"/>
      </w:r>
      <w:r>
        <w:t xml:space="preserv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76" name="Picture"/>
                  <a:graphic>
                    <a:graphicData uri="http://schemas.openxmlformats.org/drawingml/2006/picture">
                      <pic:pic>
                        <pic:nvPicPr>
                          <pic:cNvPr descr="C:\Users\LucasSempe\AppData\Local\Programs\Quarto\share\formats\docx\tip.png" id="177" name="Picture"/>
                          <pic:cNvPicPr>
                            <a:picLocks noChangeArrowheads="1" noChangeAspect="1"/>
                          </pic:cNvPicPr>
                        </pic:nvPicPr>
                        <pic:blipFill>
                          <a:blip r:embed="rId17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Every alternative beats BAU in</w:t>
            </w:r>
            <w:r>
              <w:t xml:space="preserve"> </w:t>
            </w:r>
            <w:r>
              <w:rPr>
                <w:b/>
                <w:bCs/>
              </w:rPr>
              <w:t xml:space="preserve">&gt;100%</w:t>
            </w:r>
            <w:r>
              <w:t xml:space="preserve"> </w:t>
            </w:r>
            <w:r>
              <w:t xml:space="preserve">of Monte Carlo iterations. The case for leaving diesel does not depend on getting any individual parameter right.</w:t>
            </w:r>
          </w:p>
        </w:tc>
      </w:tr>
    </w:tbl>
    <w:p>
      <w:pPr>
        <w:pStyle w:val="BodyText"/>
      </w:pPr>
      <w:r>
        <w:t xml:space="preserve">Beyond beating BAU, the Monte Carlo results also reveal which scenario ranks first most frequently:</w:t>
      </w:r>
    </w:p>
    <w:tbl>
      <w:tblPr>
        <w:tblStyle w:val="Table"/>
        <w:tblW w:type="pct" w:w="5000"/>
        <w:tblLayout w:type="fixed"/>
        <w:tblLook w:firstRow="0" w:lastRow="0" w:firstColumn="0" w:lastColumn="0" w:noHBand="0" w:noVBand="0" w:val="0000"/>
      </w:tblPr>
      <w:tblGrid>
        <w:gridCol w:w="7920"/>
      </w:tblGrid>
      <w:tr>
        <w:tc>
          <w:tcPr/>
          <w:bookmarkStart w:id="181" w:name="fig-mc-ranking"/>
          <w:p>
            <w:pPr>
              <w:pStyle w:val="Compact"/>
              <w:jc w:val="center"/>
            </w:pPr>
            <w:r>
              <w:drawing>
                <wp:inline>
                  <wp:extent cx="5334000" cy="3810000"/>
                  <wp:effectExtent b="0" l="0" r="0" t="0"/>
                  <wp:docPr descr="" title="" id="179" name="Picture"/>
                  <a:graphic>
                    <a:graphicData uri="http://schemas.openxmlformats.org/drawingml/2006/picture">
                      <pic:pic>
                        <pic:nvPicPr>
                          <pic:cNvPr descr="05-sensitivity_files/figure-docx/fig-mc-ranking-output-1.png" id="180" name="Picture"/>
                          <pic:cNvPicPr>
                            <a:picLocks noChangeArrowheads="1" noChangeAspect="1"/>
                          </pic:cNvPicPr>
                        </pic:nvPicPr>
                        <pic:blipFill>
                          <a:blip r:embed="rId178"/>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7.2: Probability of being the #1 scenario across Monte Carlo iterations.</w:t>
            </w:r>
          </w:p>
          <w:bookmarkEnd w:id="181"/>
        </w:tc>
      </w:tr>
    </w:tbl>
    <w:bookmarkEnd w:id="182"/>
    <w:bookmarkStart w:id="184" w:name="switching-values"/>
    <w:p>
      <w:pPr>
        <w:pStyle w:val="Heading2"/>
      </w:pPr>
      <w:r>
        <w:t xml:space="preserve">7.3 Switching Values</w:t>
      </w:r>
    </w:p>
    <w:p>
      <w:pPr>
        <w:pStyle w:val="FirstParagraph"/>
      </w:pPr>
      <w:r>
        <w:t xml:space="preserve">By how much must a parameter change to reverse a scenario ranking? These thresholds give policymakers concrete monitoring targets.</w:t>
      </w:r>
    </w:p>
    <w:tbl>
      <w:tblPr>
        <w:tblStyle w:val="Table"/>
        <w:tblW w:type="pct" w:w="5000"/>
        <w:tblLayout w:type="fixed"/>
        <w:tblLook w:firstRow="0" w:lastRow="0" w:firstColumn="0" w:lastColumn="0" w:noHBand="0" w:noVBand="0" w:val="0000"/>
      </w:tblPr>
      <w:tblGrid>
        <w:gridCol w:w="7920"/>
      </w:tblGrid>
      <w:tr>
        <w:tc>
          <w:tcPr/>
          <w:bookmarkStart w:id="183" w:name="tbl-switching"/>
          <w:p>
            <w:pPr>
              <w:jc w:val="center"/>
            </w:pPr>
            <w:pPr>
              <w:jc w:val="start"/>
              <w:spacing w:before="200"/>
              <w:pStyle w:val="ImageCaption"/>
            </w:pPr>
            <w:r>
              <w:t xml:space="preserve">Table 7.1: Key switching values — parameter thresholds at which scenario rankings change.</w:t>
            </w:r>
          </w:p>
          <w:tbl>
            <w:tblPr>
              <w:tblStyle w:val="Table"/>
              <w:tblW w:type="pct" w:w="5000"/>
              <w:tblLayout w:type="fixed"/>
              <w:tblLook w:firstRow="1" w:lastRow="0" w:firstColumn="0" w:lastColumn="0" w:noHBand="0" w:noVBand="0" w:val="0020"/>
            </w:tblPr>
            <w:tblGrid>
              <w:gridCol w:w="2478"/>
              <w:gridCol w:w="1390"/>
              <w:gridCol w:w="846"/>
              <w:gridCol w:w="1148"/>
              <w:gridCol w:w="665"/>
              <w:gridCol w:w="604"/>
              <w:gridCol w:w="785"/>
            </w:tblGrid>
            <w:tr>
              <w:trPr>
                <w:tblHeader w:val="on"/>
              </w:trPr>
              <w:tc>
                <w:tcPr/>
                <w:p>
                  <w:pPr>
                    <w:pStyle w:val="Compact"/>
                    <w:jc w:val="left"/>
                    <w:jc w:val="center"/>
                  </w:pPr>
                  <w:r>
                    <w:t xml:space="preserve">Scenario Pair</w:t>
                  </w:r>
                </w:p>
              </w:tc>
              <w:tc>
                <w:tcPr/>
                <w:p>
                  <w:pPr>
                    <w:pStyle w:val="Compact"/>
                    <w:jc w:val="left"/>
                    <w:jc w:val="center"/>
                  </w:pPr>
                  <w:r>
                    <w:t xml:space="preserve">Parameter</w:t>
                  </w:r>
                </w:p>
              </w:tc>
              <w:tc>
                <w:tcPr/>
                <w:p>
                  <w:pPr>
                    <w:pStyle w:val="Compact"/>
                    <w:jc w:val="left"/>
                    <w:jc w:val="center"/>
                  </w:pPr>
                  <w:r>
                    <w:t xml:space="preserve">Base Value</w:t>
                  </w:r>
                </w:p>
              </w:tc>
              <w:tc>
                <w:tcPr/>
                <w:p>
                  <w:pPr>
                    <w:pStyle w:val="Compact"/>
                    <w:jc w:val="left"/>
                    <w:jc w:val="center"/>
                  </w:pPr>
                  <w:r>
                    <w:t xml:space="preserve">Switching Value</w:t>
                  </w:r>
                </w:p>
              </w:tc>
              <w:tc>
                <w:tcPr/>
                <w:p>
                  <w:pPr>
                    <w:pStyle w:val="Compact"/>
                    <w:jc w:val="left"/>
                    <w:jc w:val="center"/>
                  </w:pPr>
                  <w:r>
                    <w:t xml:space="preserve">Unit</w:t>
                  </w:r>
                </w:p>
              </w:tc>
              <w:tc>
                <w:tcPr/>
                <w:p>
                  <w:pPr>
                    <w:pStyle w:val="Compact"/>
                    <w:jc w:val="left"/>
                    <w:jc w:val="center"/>
                  </w:pPr>
                  <w:r>
                    <w:t xml:space="preserve">Change</w:t>
                  </w:r>
                </w:p>
              </w:tc>
              <w:tc>
                <w:tcPr/>
                <w:p>
                  <w:pPr>
                    <w:pStyle w:val="Compact"/>
                    <w:jc w:val="left"/>
                    <w:jc w:val="center"/>
                  </w:pPr>
                  <w:r>
                    <w:t xml:space="preserve">In Range?</w:t>
                  </w:r>
                </w:p>
              </w:tc>
            </w:tr>
            <w:tr>
              <w:tc>
                <w:tcPr/>
                <w:p>
                  <w:pPr>
                    <w:pStyle w:val="Compact"/>
                    <w:jc w:val="left"/>
                    <w:jc w:val="center"/>
                  </w:pPr>
                  <w:r>
                    <w:t xml:space="preserve">S6 Max RE vs S7 LNG</w:t>
                  </w:r>
                </w:p>
              </w:tc>
              <w:tc>
                <w:tcPr/>
                <w:p>
                  <w:pPr>
                    <w:pStyle w:val="Compact"/>
                    <w:jc w:val="left"/>
                    <w:jc w:val="center"/>
                  </w:pPr>
                  <w:r>
                    <w:t xml:space="preserve">Base Demand 2026</w:t>
                  </w:r>
                </w:p>
              </w:tc>
              <w:tc>
                <w:tcPr/>
                <w:p>
                  <w:pPr>
                    <w:pStyle w:val="Compact"/>
                    <w:jc w:val="left"/>
                    <w:jc w:val="center"/>
                  </w:pPr>
                  <w:r>
                    <w:t xml:space="preserve">1,200</w:t>
                  </w:r>
                </w:p>
              </w:tc>
              <w:tc>
                <w:tcPr/>
                <w:p>
                  <w:pPr>
                    <w:pStyle w:val="Compact"/>
                    <w:jc w:val="left"/>
                    <w:jc w:val="center"/>
                  </w:pPr>
                  <w:r>
                    <w:t xml:space="preserve">823</w:t>
                  </w:r>
                </w:p>
              </w:tc>
              <w:tc>
                <w:tcPr/>
                <w:p>
                  <w:pPr>
                    <w:pStyle w:val="Compact"/>
                    <w:jc w:val="left"/>
                    <w:jc w:val="center"/>
                  </w:pPr>
                  <w:r>
                    <w:t xml:space="preserve">GWh</w:t>
                  </w:r>
                </w:p>
              </w:tc>
              <w:tc>
                <w:tcPr/>
                <w:p>
                  <w:pPr>
                    <w:pStyle w:val="Compact"/>
                    <w:jc w:val="left"/>
                    <w:jc w:val="center"/>
                  </w:pPr>
                  <w:r>
                    <w:t xml:space="preserve">-31%</w:t>
                  </w:r>
                </w:p>
              </w:tc>
              <w:tc>
                <w:tcPr/>
                <w:p>
                  <w:pPr>
                    <w:pStyle w:val="Compact"/>
                    <w:jc w:val="left"/>
                    <w:jc w:val="center"/>
                  </w:pPr>
                  <w:r>
                    <w:t xml:space="preserve">✗</w:t>
                  </w:r>
                </w:p>
              </w:tc>
            </w:tr>
            <w:tr>
              <w:tc>
                <w:tcPr/>
                <w:p>
                  <w:pPr>
                    <w:pStyle w:val="Compact"/>
                    <w:jc w:val="left"/>
                    <w:jc w:val="center"/>
                  </w:pPr>
                  <w:r>
                    <w:t xml:space="preserve">S6 Max RE vs S7 LNG</w:t>
                  </w:r>
                </w:p>
              </w:tc>
              <w:tc>
                <w:tcPr/>
                <w:p>
                  <w:pPr>
                    <w:pStyle w:val="Compact"/>
                    <w:jc w:val="left"/>
                    <w:jc w:val="center"/>
                  </w:pPr>
                  <w:r>
                    <w:t xml:space="preserve">Solar Capacity Factor</w:t>
                  </w:r>
                </w:p>
              </w:tc>
              <w:tc>
                <w:tcPr/>
                <w:p>
                  <w:pPr>
                    <w:pStyle w:val="Compact"/>
                    <w:jc w:val="left"/>
                    <w:jc w:val="center"/>
                  </w:pPr>
                  <w:r>
                    <w:t xml:space="preserve">0.17</w:t>
                  </w:r>
                </w:p>
              </w:tc>
              <w:tc>
                <w:tcPr/>
                <w:p>
                  <w:pPr>
                    <w:pStyle w:val="Compact"/>
                    <w:jc w:val="left"/>
                    <w:jc w:val="center"/>
                  </w:pPr>
                  <w:r>
                    <w:t xml:space="preserve">0.12</w:t>
                  </w:r>
                </w:p>
              </w:tc>
              <w:tc>
                <w:tcPr/>
                <w:p>
                  <w:pPr>
                    <w:pStyle w:val="Compact"/>
                    <w:jc w:val="left"/>
                    <w:jc w:val="center"/>
                  </w:pPr>
                  <w:r>
                    <w:t xml:space="preserve">ratio</w:t>
                  </w:r>
                </w:p>
              </w:tc>
              <w:tc>
                <w:tcPr/>
                <w:p>
                  <w:pPr>
                    <w:pStyle w:val="Compact"/>
                    <w:jc w:val="left"/>
                    <w:jc w:val="center"/>
                  </w:pPr>
                  <w:r>
                    <w:t xml:space="preserve">-34%</w:t>
                  </w:r>
                </w:p>
              </w:tc>
              <w:tc>
                <w:tcPr/>
                <w:p>
                  <w:pPr>
                    <w:pStyle w:val="Compact"/>
                    <w:jc w:val="left"/>
                    <w:jc w:val="center"/>
                  </w:pPr>
                  <w:r>
                    <w:t xml:space="preserve">✗</w:t>
                  </w:r>
                </w:p>
              </w:tc>
            </w:tr>
            <w:tr>
              <w:tc>
                <w:tcPr/>
                <w:p>
                  <w:pPr>
                    <w:pStyle w:val="Compact"/>
                    <w:jc w:val="left"/>
                    <w:jc w:val="center"/>
                  </w:pPr>
                  <w:r>
                    <w:t xml:space="preserve">S2 Full Integration vs S3 National Grid</w:t>
                  </w:r>
                </w:p>
              </w:tc>
              <w:tc>
                <w:tcPr/>
                <w:p>
                  <w:pPr>
                    <w:pStyle w:val="Compact"/>
                    <w:jc w:val="left"/>
                    <w:jc w:val="center"/>
                  </w:pPr>
                  <w:r>
                    <w:t xml:space="preserve">Diesel Price</w:t>
                  </w:r>
                </w:p>
              </w:tc>
              <w:tc>
                <w:tcPr/>
                <w:p>
                  <w:pPr>
                    <w:pStyle w:val="Compact"/>
                    <w:jc w:val="left"/>
                    <w:jc w:val="center"/>
                  </w:pPr>
                  <w:r>
                    <w:t xml:space="preserve">0.85</w:t>
                  </w:r>
                </w:p>
              </w:tc>
              <w:tc>
                <w:tcPr/>
                <w:p>
                  <w:pPr>
                    <w:pStyle w:val="Compact"/>
                    <w:jc w:val="left"/>
                    <w:jc w:val="center"/>
                  </w:pPr>
                  <w:r>
                    <w:t xml:space="preserve">1.23</w:t>
                  </w:r>
                </w:p>
              </w:tc>
              <w:tc>
                <w:tcPr/>
                <w:p>
                  <w:pPr>
                    <w:pStyle w:val="Compact"/>
                    <w:jc w:val="left"/>
                    <w:jc w:val="center"/>
                  </w:pPr>
                  <w:r>
                    <w:t xml:space="preserve">USD/L</w:t>
                  </w:r>
                </w:p>
              </w:tc>
              <w:tc>
                <w:tcPr/>
                <w:p>
                  <w:pPr>
                    <w:pStyle w:val="Compact"/>
                    <w:jc w:val="left"/>
                    <w:jc w:val="center"/>
                  </w:pPr>
                  <w:r>
                    <w:t xml:space="preserve">+45%</w:t>
                  </w:r>
                </w:p>
              </w:tc>
              <w:tc>
                <w:tcPr/>
                <w:p>
                  <w:pPr>
                    <w:pStyle w:val="Compact"/>
                    <w:jc w:val="left"/>
                    <w:jc w:val="center"/>
                  </w:pPr>
                  <w:r>
                    <w:t xml:space="preserve">✗</w:t>
                  </w:r>
                </w:p>
              </w:tc>
            </w:tr>
            <w:tr>
              <w:tc>
                <w:tcPr/>
                <w:p>
                  <w:pPr>
                    <w:pStyle w:val="Compact"/>
                    <w:jc w:val="left"/>
                    <w:jc w:val="center"/>
                  </w:pPr>
                  <w:r>
                    <w:t xml:space="preserve">S6 Max RE vs S7 LNG</w:t>
                  </w:r>
                </w:p>
              </w:tc>
              <w:tc>
                <w:tcPr/>
                <w:p>
                  <w:pPr>
                    <w:pStyle w:val="Compact"/>
                    <w:jc w:val="left"/>
                    <w:jc w:val="center"/>
                  </w:pPr>
                  <w:r>
                    <w:t xml:space="preserve">LNG Emission Factor</w:t>
                  </w:r>
                </w:p>
              </w:tc>
              <w:tc>
                <w:tcPr/>
                <w:p>
                  <w:pPr>
                    <w:pStyle w:val="Compact"/>
                    <w:jc w:val="left"/>
                    <w:jc w:val="center"/>
                  </w:pPr>
                  <w:r>
                    <w:t xml:space="preserve">0.40</w:t>
                  </w:r>
                </w:p>
              </w:tc>
              <w:tc>
                <w:tcPr/>
                <w:p>
                  <w:pPr>
                    <w:pStyle w:val="Compact"/>
                    <w:jc w:val="left"/>
                    <w:jc w:val="center"/>
                  </w:pPr>
                  <w:r>
                    <w:t xml:space="preserve">0.20</w:t>
                  </w:r>
                </w:p>
              </w:tc>
              <w:tc>
                <w:tcPr/>
                <w:p>
                  <w:pPr>
                    <w:pStyle w:val="Compact"/>
                    <w:jc w:val="left"/>
                    <w:jc w:val="center"/>
                  </w:pPr>
                  <w:r>
                    <w:t xml:space="preserve">kgCO2/kWh</w:t>
                  </w:r>
                </w:p>
              </w:tc>
              <w:tc>
                <w:tcPr/>
                <w:p>
                  <w:pPr>
                    <w:pStyle w:val="Compact"/>
                    <w:jc w:val="left"/>
                    <w:jc w:val="center"/>
                  </w:pPr>
                  <w:r>
                    <w:t xml:space="preserve">-51%</w:t>
                  </w:r>
                </w:p>
              </w:tc>
              <w:tc>
                <w:tcPr/>
                <w:p>
                  <w:pPr>
                    <w:pStyle w:val="Compact"/>
                    <w:jc w:val="left"/>
                    <w:jc w:val="center"/>
                  </w:pPr>
                  <w:r>
                    <w:t xml:space="preserve">✗</w:t>
                  </w:r>
                </w:p>
              </w:tc>
            </w:tr>
            <w:tr>
              <w:tc>
                <w:tcPr/>
                <w:p>
                  <w:pPr>
                    <w:pStyle w:val="Compact"/>
                    <w:jc w:val="left"/>
                    <w:jc w:val="center"/>
                  </w:pPr>
                  <w:r>
                    <w:t xml:space="preserve">S6 Max RE vs S7 LNG</w:t>
                  </w:r>
                </w:p>
              </w:tc>
              <w:tc>
                <w:tcPr/>
                <w:p>
                  <w:pPr>
                    <w:pStyle w:val="Compact"/>
                    <w:jc w:val="left"/>
                    <w:jc w:val="center"/>
                  </w:pPr>
                  <w:r>
                    <w:t xml:space="preserve">Floating Solar MW</w:t>
                  </w:r>
                </w:p>
              </w:tc>
              <w:tc>
                <w:tcPr/>
                <w:p>
                  <w:pPr>
                    <w:pStyle w:val="Compact"/>
                    <w:jc w:val="left"/>
                    <w:jc w:val="center"/>
                  </w:pPr>
                  <w:r>
                    <w:t xml:space="preserve">195</w:t>
                  </w:r>
                </w:p>
              </w:tc>
              <w:tc>
                <w:tcPr/>
                <w:p>
                  <w:pPr>
                    <w:pStyle w:val="Compact"/>
                    <w:jc w:val="left"/>
                    <w:jc w:val="center"/>
                  </w:pPr>
                  <w:r>
                    <w:t xml:space="preserve">85.80</w:t>
                  </w:r>
                </w:p>
              </w:tc>
              <w:tc>
                <w:tcPr/>
                <w:p>
                  <w:pPr>
                    <w:pStyle w:val="Compact"/>
                    <w:jc w:val="left"/>
                    <w:jc w:val="center"/>
                  </w:pPr>
                  <w:r>
                    <w:t xml:space="preserve">MW</w:t>
                  </w:r>
                </w:p>
              </w:tc>
              <w:tc>
                <w:tcPr/>
                <w:p>
                  <w:pPr>
                    <w:pStyle w:val="Compact"/>
                    <w:jc w:val="left"/>
                    <w:jc w:val="center"/>
                  </w:pPr>
                  <w:r>
                    <w:t xml:space="preserve">-56%</w:t>
                  </w:r>
                </w:p>
              </w:tc>
              <w:tc>
                <w:tcPr/>
                <w:p>
                  <w:pPr>
                    <w:pStyle w:val="Compact"/>
                    <w:jc w:val="left"/>
                    <w:jc w:val="center"/>
                  </w:pPr>
                  <w:r>
                    <w:t xml:space="preserve">✗</w:t>
                  </w:r>
                </w:p>
              </w:tc>
            </w:tr>
            <w:tr>
              <w:tc>
                <w:tcPr/>
                <w:p>
                  <w:pPr>
                    <w:pStyle w:val="Compact"/>
                    <w:jc w:val="left"/>
                    <w:jc w:val="center"/>
                  </w:pPr>
                  <w:r>
                    <w:t xml:space="preserve">S6 Max RE vs S7 LNG</w:t>
                  </w:r>
                </w:p>
              </w:tc>
              <w:tc>
                <w:tcPr/>
                <w:p>
                  <w:pPr>
                    <w:pStyle w:val="Compact"/>
                    <w:jc w:val="left"/>
                    <w:jc w:val="center"/>
                  </w:pPr>
                  <w:r>
                    <w:t xml:space="preserve">LNG Fuel Cost</w:t>
                  </w:r>
                </w:p>
              </w:tc>
              <w:tc>
                <w:tcPr/>
                <w:p>
                  <w:pPr>
                    <w:pStyle w:val="Compact"/>
                    <w:jc w:val="left"/>
                    <w:jc w:val="center"/>
                  </w:pPr>
                  <w:r>
                    <w:t xml:space="preserve">70.00</w:t>
                  </w:r>
                </w:p>
              </w:tc>
              <w:tc>
                <w:tcPr/>
                <w:p>
                  <w:pPr>
                    <w:pStyle w:val="Compact"/>
                    <w:jc w:val="left"/>
                    <w:jc w:val="center"/>
                  </w:pPr>
                  <w:r>
                    <w:t xml:space="preserve">28.22</w:t>
                  </w:r>
                </w:p>
              </w:tc>
              <w:tc>
                <w:tcPr/>
                <w:p>
                  <w:pPr>
                    <w:pStyle w:val="Compact"/>
                    <w:jc w:val="left"/>
                    <w:jc w:val="center"/>
                  </w:pPr>
                  <w:r>
                    <w:t xml:space="preserve">USD/MWh</w:t>
                  </w:r>
                </w:p>
              </w:tc>
              <w:tc>
                <w:tcPr/>
                <w:p>
                  <w:pPr>
                    <w:pStyle w:val="Compact"/>
                    <w:jc w:val="left"/>
                    <w:jc w:val="center"/>
                  </w:pPr>
                  <w:r>
                    <w:t xml:space="preserve">-60%</w:t>
                  </w:r>
                </w:p>
              </w:tc>
              <w:tc>
                <w:tcPr/>
                <w:p>
                  <w:pPr>
                    <w:pStyle w:val="Compact"/>
                    <w:jc w:val="left"/>
                    <w:jc w:val="center"/>
                  </w:pPr>
                  <w:r>
                    <w:t xml:space="preserve">✗</w:t>
                  </w:r>
                </w:p>
              </w:tc>
            </w:tr>
            <w:tr>
              <w:tc>
                <w:tcPr/>
                <w:p>
                  <w:pPr>
                    <w:pStyle w:val="Compact"/>
                    <w:jc w:val="left"/>
                    <w:jc w:val="center"/>
                  </w:pPr>
                  <w:r>
                    <w:t xml:space="preserve">S3 National Grid vs S4 Islanded Green</w:t>
                  </w:r>
                </w:p>
              </w:tc>
              <w:tc>
                <w:tcPr/>
                <w:p>
                  <w:pPr>
                    <w:pStyle w:val="Compact"/>
                    <w:jc w:val="left"/>
                    <w:jc w:val="center"/>
                  </w:pPr>
                  <w:r>
                    <w:t xml:space="preserve">Demand Growth Rate</w:t>
                  </w:r>
                </w:p>
              </w:tc>
              <w:tc>
                <w:tcPr/>
                <w:p>
                  <w:pPr>
                    <w:pStyle w:val="Compact"/>
                    <w:jc w:val="left"/>
                    <w:jc w:val="center"/>
                  </w:pPr>
                  <w:r>
                    <w:t xml:space="preserve">0.05</w:t>
                  </w:r>
                </w:p>
              </w:tc>
              <w:tc>
                <w:tcPr/>
                <w:p>
                  <w:pPr>
                    <w:pStyle w:val="Compact"/>
                    <w:jc w:val="left"/>
                    <w:jc w:val="center"/>
                  </w:pPr>
                  <w:r>
                    <w:t xml:space="preserve">0.02</w:t>
                  </w:r>
                </w:p>
              </w:tc>
              <w:tc>
                <w:tcPr/>
                <w:p>
                  <w:pPr>
                    <w:pStyle w:val="Compact"/>
                    <w:jc w:val="left"/>
                    <w:jc w:val="center"/>
                  </w:pPr>
                  <w:r>
                    <w:t xml:space="preserve">%/yr</w:t>
                  </w:r>
                </w:p>
              </w:tc>
              <w:tc>
                <w:tcPr/>
                <w:p>
                  <w:pPr>
                    <w:pStyle w:val="Compact"/>
                    <w:jc w:val="left"/>
                    <w:jc w:val="center"/>
                  </w:pPr>
                  <w:r>
                    <w:t xml:space="preserve">-69%</w:t>
                  </w:r>
                </w:p>
              </w:tc>
              <w:tc>
                <w:tcPr/>
                <w:p>
                  <w:pPr>
                    <w:pStyle w:val="Compact"/>
                    <w:jc w:val="left"/>
                    <w:jc w:val="center"/>
                  </w:pPr>
                  <w:r>
                    <w:t xml:space="preserve">✗</w:t>
                  </w:r>
                </w:p>
              </w:tc>
            </w:tr>
            <w:tr>
              <w:tc>
                <w:tcPr/>
                <w:p>
                  <w:pPr>
                    <w:pStyle w:val="Compact"/>
                    <w:jc w:val="left"/>
                    <w:jc w:val="center"/>
                  </w:pPr>
                  <w:r>
                    <w:t xml:space="preserve">S1 BAU vs S2 Full Integration</w:t>
                  </w:r>
                </w:p>
              </w:tc>
              <w:tc>
                <w:tcPr/>
                <w:p>
                  <w:pPr>
                    <w:pStyle w:val="Compact"/>
                    <w:jc w:val="left"/>
                    <w:jc w:val="center"/>
                  </w:pPr>
                  <w:r>
                    <w:t xml:space="preserve">Diesel Price</w:t>
                  </w:r>
                </w:p>
              </w:tc>
              <w:tc>
                <w:tcPr/>
                <w:p>
                  <w:pPr>
                    <w:pStyle w:val="Compact"/>
                    <w:jc w:val="left"/>
                    <w:jc w:val="center"/>
                  </w:pPr>
                  <w:r>
                    <w:t xml:space="preserve">0.85</w:t>
                  </w:r>
                </w:p>
              </w:tc>
              <w:tc>
                <w:tcPr/>
                <w:p>
                  <w:pPr>
                    <w:pStyle w:val="Compact"/>
                    <w:jc w:val="left"/>
                    <w:jc w:val="center"/>
                  </w:pPr>
                  <w:r>
                    <w:t xml:space="preserve">0.24</w:t>
                  </w:r>
                </w:p>
              </w:tc>
              <w:tc>
                <w:tcPr/>
                <w:p>
                  <w:pPr>
                    <w:pStyle w:val="Compact"/>
                    <w:jc w:val="left"/>
                    <w:jc w:val="center"/>
                  </w:pPr>
                  <w:r>
                    <w:t xml:space="preserve">USD/L</w:t>
                  </w:r>
                </w:p>
              </w:tc>
              <w:tc>
                <w:tcPr/>
                <w:p>
                  <w:pPr>
                    <w:pStyle w:val="Compact"/>
                    <w:jc w:val="left"/>
                    <w:jc w:val="center"/>
                  </w:pPr>
                  <w:r>
                    <w:t xml:space="preserve">-72%</w:t>
                  </w:r>
                </w:p>
              </w:tc>
              <w:tc>
                <w:tcPr/>
                <w:p>
                  <w:pPr>
                    <w:pStyle w:val="Compact"/>
                    <w:jc w:val="left"/>
                    <w:jc w:val="center"/>
                  </w:pPr>
                  <w:r>
                    <w:t xml:space="preserve">✗</w:t>
                  </w:r>
                </w:p>
              </w:tc>
            </w:tr>
            <w:tr>
              <w:tc>
                <w:tcPr/>
                <w:p>
                  <w:pPr>
                    <w:pStyle w:val="Compact"/>
                    <w:jc w:val="left"/>
                    <w:jc w:val="center"/>
                  </w:pPr>
                  <w:r>
                    <w:t xml:space="preserve">S2 Full Integration vs S3 National Grid</w:t>
                  </w:r>
                </w:p>
              </w:tc>
              <w:tc>
                <w:tcPr/>
                <w:p>
                  <w:pPr>
                    <w:pStyle w:val="Compact"/>
                    <w:jc w:val="left"/>
                    <w:jc w:val="center"/>
                  </w:pPr>
                  <w:r>
                    <w:t xml:space="preserve">Cable CAPEX</w:t>
                  </w:r>
                </w:p>
              </w:tc>
              <w:tc>
                <w:tcPr/>
                <w:p>
                  <w:pPr>
                    <w:pStyle w:val="Compact"/>
                    <w:jc w:val="left"/>
                    <w:jc w:val="center"/>
                  </w:pPr>
                  <w:r>
                    <w:t xml:space="preserve">3,000,000</w:t>
                  </w:r>
                </w:p>
              </w:tc>
              <w:tc>
                <w:tcPr/>
                <w:p>
                  <w:pPr>
                    <w:pStyle w:val="Compact"/>
                    <w:jc w:val="left"/>
                    <w:jc w:val="center"/>
                  </w:pPr>
                  <w:r>
                    <w:t xml:space="preserve">794,592</w:t>
                  </w:r>
                </w:p>
              </w:tc>
              <w:tc>
                <w:tcPr/>
                <w:p>
                  <w:pPr>
                    <w:pStyle w:val="Compact"/>
                    <w:jc w:val="left"/>
                    <w:jc w:val="center"/>
                  </w:pPr>
                  <w:r>
                    <w:t xml:space="preserve">USD/km</w:t>
                  </w:r>
                </w:p>
              </w:tc>
              <w:tc>
                <w:tcPr/>
                <w:p>
                  <w:pPr>
                    <w:pStyle w:val="Compact"/>
                    <w:jc w:val="left"/>
                    <w:jc w:val="center"/>
                  </w:pPr>
                  <w:r>
                    <w:t xml:space="preserve">-74%</w:t>
                  </w:r>
                </w:p>
              </w:tc>
              <w:tc>
                <w:tcPr/>
                <w:p>
                  <w:pPr>
                    <w:pStyle w:val="Compact"/>
                    <w:jc w:val="left"/>
                    <w:jc w:val="center"/>
                  </w:pPr>
                  <w:r>
                    <w:t xml:space="preserve">✗</w:t>
                  </w:r>
                </w:p>
              </w:tc>
            </w:tr>
            <w:tr>
              <w:tc>
                <w:tcPr/>
                <w:p>
                  <w:pPr>
                    <w:pStyle w:val="Compact"/>
                    <w:jc w:val="left"/>
                    <w:jc w:val="center"/>
                  </w:pPr>
                  <w:r>
                    <w:t xml:space="preserve">S2 Full Integration vs S3 National Grid</w:t>
                  </w:r>
                </w:p>
              </w:tc>
              <w:tc>
                <w:tcPr/>
                <w:p>
                  <w:pPr>
                    <w:pStyle w:val="Compact"/>
                    <w:jc w:val="left"/>
                    <w:jc w:val="center"/>
                  </w:pPr>
                  <w:r>
                    <w:t xml:space="preserve">GoM Cable Cost Share</w:t>
                  </w:r>
                </w:p>
              </w:tc>
              <w:tc>
                <w:tcPr/>
                <w:p>
                  <w:pPr>
                    <w:pStyle w:val="Compact"/>
                    <w:jc w:val="left"/>
                    <w:jc w:val="center"/>
                  </w:pPr>
                  <w:r>
                    <w:t xml:space="preserve">1.00</w:t>
                  </w:r>
                </w:p>
              </w:tc>
              <w:tc>
                <w:tcPr/>
                <w:p>
                  <w:pPr>
                    <w:pStyle w:val="Compact"/>
                    <w:jc w:val="left"/>
                    <w:jc w:val="center"/>
                  </w:pPr>
                  <w:r>
                    <w:t xml:space="preserve">0.24</w:t>
                  </w:r>
                </w:p>
              </w:tc>
              <w:tc>
                <w:tcPr/>
                <w:p>
                  <w:pPr>
                    <w:pStyle w:val="Compact"/>
                    <w:jc w:val="left"/>
                    <w:jc w:val="center"/>
                  </w:pPr>
                  <w:r>
                    <w:t xml:space="preserve">%</w:t>
                  </w:r>
                </w:p>
              </w:tc>
              <w:tc>
                <w:tcPr/>
                <w:p>
                  <w:pPr>
                    <w:pStyle w:val="Compact"/>
                    <w:jc w:val="left"/>
                    <w:jc w:val="center"/>
                  </w:pPr>
                  <w:r>
                    <w:t xml:space="preserve">-76%</w:t>
                  </w:r>
                </w:p>
              </w:tc>
              <w:tc>
                <w:tcPr/>
                <w:p>
                  <w:pPr>
                    <w:pStyle w:val="Compact"/>
                    <w:jc w:val="left"/>
                    <w:jc w:val="center"/>
                  </w:pPr>
                  <w:r>
                    <w:t xml:space="preserve">✗</w:t>
                  </w:r>
                </w:p>
              </w:tc>
            </w:tr>
            <w:tr>
              <w:tc>
                <w:tcPr/>
                <w:p>
                  <w:pPr>
                    <w:pStyle w:val="Compact"/>
                    <w:jc w:val="left"/>
                    <w:jc w:val="center"/>
                  </w:pPr>
                  <w:r>
                    <w:t xml:space="preserve">S6 Max RE vs S7 LNG</w:t>
                  </w:r>
                </w:p>
              </w:tc>
              <w:tc>
                <w:tcPr/>
                <w:p>
                  <w:pPr>
                    <w:pStyle w:val="Compact"/>
                    <w:jc w:val="left"/>
                    <w:jc w:val="center"/>
                  </w:pPr>
                  <w:r>
                    <w:t xml:space="preserve">Near-Shore Solar MW</w:t>
                  </w:r>
                </w:p>
              </w:tc>
              <w:tc>
                <w:tcPr/>
                <w:p>
                  <w:pPr>
                    <w:pStyle w:val="Compact"/>
                    <w:jc w:val="left"/>
                    <w:jc w:val="center"/>
                  </w:pPr>
                  <w:r>
                    <w:t xml:space="preserve">104</w:t>
                  </w:r>
                </w:p>
              </w:tc>
              <w:tc>
                <w:tcPr/>
                <w:p>
                  <w:pPr>
                    <w:pStyle w:val="Compact"/>
                    <w:jc w:val="left"/>
                    <w:jc w:val="center"/>
                  </w:pPr>
                  <w:r>
                    <w:t xml:space="preserve">20.97</w:t>
                  </w:r>
                </w:p>
              </w:tc>
              <w:tc>
                <w:tcPr/>
                <w:p>
                  <w:pPr>
                    <w:pStyle w:val="Compact"/>
                    <w:jc w:val="left"/>
                    <w:jc w:val="center"/>
                  </w:pPr>
                  <w:r>
                    <w:t xml:space="preserve">MW</w:t>
                  </w:r>
                </w:p>
              </w:tc>
              <w:tc>
                <w:tcPr/>
                <w:p>
                  <w:pPr>
                    <w:pStyle w:val="Compact"/>
                    <w:jc w:val="left"/>
                    <w:jc w:val="center"/>
                  </w:pPr>
                  <w:r>
                    <w:t xml:space="preserve">-80%</w:t>
                  </w:r>
                </w:p>
              </w:tc>
              <w:tc>
                <w:tcPr/>
                <w:p>
                  <w:pPr>
                    <w:pStyle w:val="Compact"/>
                    <w:jc w:val="left"/>
                    <w:jc w:val="center"/>
                  </w:pPr>
                  <w:r>
                    <w:t xml:space="preserve">✗</w:t>
                  </w:r>
                </w:p>
              </w:tc>
            </w:tr>
            <w:tr>
              <w:tc>
                <w:tcPr/>
                <w:p>
                  <w:pPr>
                    <w:pStyle w:val="Compact"/>
                    <w:jc w:val="left"/>
                    <w:jc w:val="center"/>
                  </w:pPr>
                  <w:r>
                    <w:t xml:space="preserve">S6 Max RE vs S7 LNG</w:t>
                  </w:r>
                </w:p>
              </w:tc>
              <w:tc>
                <w:tcPr/>
                <w:p>
                  <w:pPr>
                    <w:pStyle w:val="Compact"/>
                    <w:jc w:val="left"/>
                    <w:jc w:val="center"/>
                  </w:pPr>
                  <w:r>
                    <w:t xml:space="preserve">Diesel Price</w:t>
                  </w:r>
                </w:p>
              </w:tc>
              <w:tc>
                <w:tcPr/>
                <w:p>
                  <w:pPr>
                    <w:pStyle w:val="Compact"/>
                    <w:jc w:val="left"/>
                    <w:jc w:val="center"/>
                  </w:pPr>
                  <w:r>
                    <w:t xml:space="preserve">0.85</w:t>
                  </w:r>
                </w:p>
              </w:tc>
              <w:tc>
                <w:tcPr/>
                <w:p>
                  <w:pPr>
                    <w:pStyle w:val="Compact"/>
                    <w:jc w:val="left"/>
                    <w:jc w:val="center"/>
                  </w:pPr>
                  <w:r>
                    <w:t xml:space="preserve">1.59</w:t>
                  </w:r>
                </w:p>
              </w:tc>
              <w:tc>
                <w:tcPr/>
                <w:p>
                  <w:pPr>
                    <w:pStyle w:val="Compact"/>
                    <w:jc w:val="left"/>
                    <w:jc w:val="center"/>
                  </w:pPr>
                  <w:r>
                    <w:t xml:space="preserve">USD/L</w:t>
                  </w:r>
                </w:p>
              </w:tc>
              <w:tc>
                <w:tcPr/>
                <w:p>
                  <w:pPr>
                    <w:pStyle w:val="Compact"/>
                    <w:jc w:val="left"/>
                    <w:jc w:val="center"/>
                  </w:pPr>
                  <w:r>
                    <w:t xml:space="preserve">+88%</w:t>
                  </w:r>
                </w:p>
              </w:tc>
              <w:tc>
                <w:tcPr/>
                <w:p>
                  <w:pPr>
                    <w:pStyle w:val="Compact"/>
                    <w:jc w:val="left"/>
                    <w:jc w:val="center"/>
                  </w:pPr>
                  <w:r>
                    <w:t xml:space="preserve">✗</w:t>
                  </w:r>
                </w:p>
              </w:tc>
            </w:tr>
            <w:tr>
              <w:tc>
                <w:tcPr/>
                <w:p>
                  <w:pPr>
                    <w:pStyle w:val="Compact"/>
                    <w:jc w:val="left"/>
                    <w:jc w:val="center"/>
                  </w:pPr>
                  <w:r>
                    <w:t xml:space="preserve">S6 Max RE vs S7 LNG</w:t>
                  </w:r>
                </w:p>
              </w:tc>
              <w:tc>
                <w:tcPr/>
                <w:p>
                  <w:pPr>
                    <w:pStyle w:val="Compact"/>
                    <w:jc w:val="left"/>
                    <w:jc w:val="center"/>
                  </w:pPr>
                  <w:r>
                    <w:t xml:space="preserve">Deployment Ramp</w:t>
                  </w:r>
                </w:p>
              </w:tc>
              <w:tc>
                <w:tcPr/>
                <w:p>
                  <w:pPr>
                    <w:pStyle w:val="Compact"/>
                    <w:jc w:val="left"/>
                    <w:jc w:val="center"/>
                  </w:pPr>
                  <w:r>
                    <w:t xml:space="preserve">80.00</w:t>
                  </w:r>
                </w:p>
              </w:tc>
              <w:tc>
                <w:tcPr/>
                <w:p>
                  <w:pPr>
                    <w:pStyle w:val="Compact"/>
                    <w:jc w:val="left"/>
                    <w:jc w:val="center"/>
                  </w:pPr>
                  <w:r>
                    <w:t xml:space="preserve">159</w:t>
                  </w:r>
                </w:p>
              </w:tc>
              <w:tc>
                <w:tcPr/>
                <w:p>
                  <w:pPr>
                    <w:pStyle w:val="Compact"/>
                    <w:jc w:val="left"/>
                    <w:jc w:val="center"/>
                  </w:pPr>
                  <w:r>
                    <w:t xml:space="preserve">MW/yr</w:t>
                  </w:r>
                </w:p>
              </w:tc>
              <w:tc>
                <w:tcPr/>
                <w:p>
                  <w:pPr>
                    <w:pStyle w:val="Compact"/>
                    <w:jc w:val="left"/>
                    <w:jc w:val="center"/>
                  </w:pPr>
                  <w:r>
                    <w:t xml:space="preserve">+99%</w:t>
                  </w:r>
                </w:p>
              </w:tc>
              <w:tc>
                <w:tcPr/>
                <w:p>
                  <w:pPr>
                    <w:pStyle w:val="Compact"/>
                    <w:jc w:val="left"/>
                    <w:jc w:val="center"/>
                  </w:pPr>
                  <w:r>
                    <w:t xml:space="preserve">✗</w:t>
                  </w:r>
                </w:p>
              </w:tc>
            </w:tr>
            <w:tr>
              <w:tc>
                <w:tcPr/>
                <w:p>
                  <w:pPr>
                    <w:pStyle w:val="Compact"/>
                    <w:jc w:val="left"/>
                    <w:jc w:val="center"/>
                  </w:pPr>
                  <w:r>
                    <w:t xml:space="preserve">S2 Full Integration vs S3 National Grid</w:t>
                  </w:r>
                </w:p>
              </w:tc>
              <w:tc>
                <w:tcPr/>
                <w:p>
                  <w:pPr>
                    <w:pStyle w:val="Compact"/>
                    <w:jc w:val="left"/>
                    <w:jc w:val="center"/>
                  </w:pPr>
                  <w:r>
                    <w:t xml:space="preserve">Price Elasticity</w:t>
                  </w:r>
                </w:p>
              </w:tc>
              <w:tc>
                <w:tcPr/>
                <w:p>
                  <w:pPr>
                    <w:pStyle w:val="Compact"/>
                    <w:jc w:val="left"/>
                    <w:jc w:val="center"/>
                  </w:pPr>
                  <w:r>
                    <w:t xml:space="preserve">-0.30</w:t>
                  </w:r>
                </w:p>
              </w:tc>
              <w:tc>
                <w:tcPr/>
                <w:p>
                  <w:pPr>
                    <w:pStyle w:val="Compact"/>
                    <w:jc w:val="left"/>
                    <w:jc w:val="center"/>
                  </w:pPr>
                  <w:r>
                    <w:t xml:space="preserve">0.01</w:t>
                  </w:r>
                </w:p>
              </w:tc>
              <w:tc>
                <w:tcPr/>
                <w:p>
                  <w:pPr>
                    <w:pStyle w:val="Compact"/>
                    <w:jc w:val="left"/>
                    <w:jc w:val="center"/>
                  </w:pPr>
                  <w:r>
                    <w:t xml:space="preserve">ratio</w:t>
                  </w:r>
                </w:p>
              </w:tc>
              <w:tc>
                <w:tcPr/>
                <w:p>
                  <w:pPr>
                    <w:pStyle w:val="Compact"/>
                    <w:jc w:val="left"/>
                    <w:jc w:val="center"/>
                  </w:pPr>
                  <w:r>
                    <w:t xml:space="preserve">+104%</w:t>
                  </w:r>
                </w:p>
              </w:tc>
              <w:tc>
                <w:tcPr/>
                <w:p>
                  <w:pPr>
                    <w:pStyle w:val="Compact"/>
                    <w:jc w:val="left"/>
                    <w:jc w:val="center"/>
                  </w:pPr>
                  <w:r>
                    <w:t xml:space="preserve">✗</w:t>
                  </w:r>
                </w:p>
              </w:tc>
            </w:tr>
            <w:tr>
              <w:tc>
                <w:tcPr/>
                <w:p>
                  <w:pPr>
                    <w:pStyle w:val="Compact"/>
                    <w:jc w:val="left"/>
                    <w:jc w:val="center"/>
                  </w:pPr>
                  <w:r>
                    <w:t xml:space="preserve">S5 Near-Shore vs S6 Max RE</w:t>
                  </w:r>
                </w:p>
              </w:tc>
              <w:tc>
                <w:tcPr/>
                <w:p>
                  <w:pPr>
                    <w:pStyle w:val="Compact"/>
                    <w:jc w:val="left"/>
                    <w:jc w:val="center"/>
                  </w:pPr>
                  <w:r>
                    <w:t xml:space="preserve">Discount Rate</w:t>
                  </w:r>
                </w:p>
              </w:tc>
              <w:tc>
                <w:tcPr/>
                <w:p>
                  <w:pPr>
                    <w:pStyle w:val="Compact"/>
                    <w:jc w:val="left"/>
                    <w:jc w:val="center"/>
                  </w:pPr>
                  <w:r>
                    <w:t xml:space="preserve">0.06</w:t>
                  </w:r>
                </w:p>
              </w:tc>
              <w:tc>
                <w:tcPr/>
                <w:p>
                  <w:pPr>
                    <w:pStyle w:val="Compact"/>
                    <w:jc w:val="left"/>
                    <w:jc w:val="center"/>
                  </w:pPr>
                  <w:r>
                    <w:t xml:space="preserve">0.12</w:t>
                  </w:r>
                </w:p>
              </w:tc>
              <w:tc>
                <w:tcPr/>
                <w:p>
                  <w:pPr>
                    <w:pStyle w:val="Compact"/>
                    <w:jc w:val="left"/>
                    <w:jc w:val="center"/>
                  </w:pPr>
                  <w:r>
                    <w:t xml:space="preserve">%</w:t>
                  </w:r>
                </w:p>
              </w:tc>
              <w:tc>
                <w:tcPr/>
                <w:p>
                  <w:pPr>
                    <w:pStyle w:val="Compact"/>
                    <w:jc w:val="left"/>
                    <w:jc w:val="center"/>
                  </w:pPr>
                  <w:r>
                    <w:t xml:space="preserve">+106%</w:t>
                  </w:r>
                </w:p>
              </w:tc>
              <w:tc>
                <w:tcPr/>
                <w:p>
                  <w:pPr>
                    <w:pStyle w:val="Compact"/>
                    <w:jc w:val="left"/>
                    <w:jc w:val="center"/>
                  </w:pPr>
                  <w:r>
                    <w:t xml:space="preserve">✗</w:t>
                  </w:r>
                </w:p>
              </w:tc>
            </w:tr>
            <w:tr>
              <w:tc>
                <w:tcPr/>
                <w:p>
                  <w:pPr>
                    <w:pStyle w:val="Compact"/>
                    <w:jc w:val="left"/>
                    <w:jc w:val="center"/>
                  </w:pPr>
                  <w:r>
                    <w:t xml:space="preserve">S1 BAU vs S2 Full Integration</w:t>
                  </w:r>
                </w:p>
              </w:tc>
              <w:tc>
                <w:tcPr/>
                <w:p>
                  <w:pPr>
                    <w:pStyle w:val="Compact"/>
                    <w:jc w:val="left"/>
                    <w:jc w:val="center"/>
                  </w:pPr>
                  <w:r>
                    <w:t xml:space="preserve">Demand Growth Rate</w:t>
                  </w:r>
                </w:p>
              </w:tc>
              <w:tc>
                <w:tcPr/>
                <w:p>
                  <w:pPr>
                    <w:pStyle w:val="Compact"/>
                    <w:jc w:val="left"/>
                    <w:jc w:val="center"/>
                  </w:pPr>
                  <w:r>
                    <w:t xml:space="preserve">0.05</w:t>
                  </w:r>
                </w:p>
              </w:tc>
              <w:tc>
                <w:tcPr/>
                <w:p>
                  <w:pPr>
                    <w:pStyle w:val="Compact"/>
                    <w:jc w:val="left"/>
                    <w:jc w:val="center"/>
                  </w:pPr>
                  <w:r>
                    <w:t xml:space="preserve">-0.00</w:t>
                  </w:r>
                </w:p>
              </w:tc>
              <w:tc>
                <w:tcPr/>
                <w:p>
                  <w:pPr>
                    <w:pStyle w:val="Compact"/>
                    <w:jc w:val="left"/>
                    <w:jc w:val="center"/>
                  </w:pPr>
                  <w:r>
                    <w:t xml:space="preserve">%/yr</w:t>
                  </w:r>
                </w:p>
              </w:tc>
              <w:tc>
                <w:tcPr/>
                <w:p>
                  <w:pPr>
                    <w:pStyle w:val="Compact"/>
                    <w:jc w:val="left"/>
                    <w:jc w:val="center"/>
                  </w:pPr>
                  <w:r>
                    <w:t xml:space="preserve">-107%</w:t>
                  </w:r>
                </w:p>
              </w:tc>
              <w:tc>
                <w:tcPr/>
                <w:p>
                  <w:pPr>
                    <w:pStyle w:val="Compact"/>
                    <w:jc w:val="left"/>
                    <w:jc w:val="center"/>
                  </w:pPr>
                  <w:r>
                    <w:t xml:space="preserve">✗</w:t>
                  </w:r>
                </w:p>
              </w:tc>
            </w:tr>
            <w:tr>
              <w:tc>
                <w:tcPr/>
                <w:p>
                  <w:pPr>
                    <w:pStyle w:val="Compact"/>
                    <w:jc w:val="left"/>
                    <w:jc w:val="center"/>
                  </w:pPr>
                  <w:r>
                    <w:t xml:space="preserve">S6 Max RE vs S3 National Grid</w:t>
                  </w:r>
                </w:p>
              </w:tc>
              <w:tc>
                <w:tcPr/>
                <w:p>
                  <w:pPr>
                    <w:pStyle w:val="Compact"/>
                    <w:jc w:val="left"/>
                    <w:jc w:val="center"/>
                  </w:pPr>
                  <w:r>
                    <w:t xml:space="preserve">Discount Rate</w:t>
                  </w:r>
                </w:p>
              </w:tc>
              <w:tc>
                <w:tcPr/>
                <w:p>
                  <w:pPr>
                    <w:pStyle w:val="Compact"/>
                    <w:jc w:val="left"/>
                    <w:jc w:val="center"/>
                  </w:pPr>
                  <w:r>
                    <w:t xml:space="preserve">0.06</w:t>
                  </w:r>
                </w:p>
              </w:tc>
              <w:tc>
                <w:tcPr/>
                <w:p>
                  <w:pPr>
                    <w:pStyle w:val="Compact"/>
                    <w:jc w:val="left"/>
                    <w:jc w:val="center"/>
                  </w:pPr>
                  <w:r>
                    <w:t xml:space="preserve">0.12</w:t>
                  </w:r>
                </w:p>
              </w:tc>
              <w:tc>
                <w:tcPr/>
                <w:p>
                  <w:pPr>
                    <w:pStyle w:val="Compact"/>
                    <w:jc w:val="left"/>
                    <w:jc w:val="center"/>
                  </w:pPr>
                  <w:r>
                    <w:t xml:space="preserve">%</w:t>
                  </w:r>
                </w:p>
              </w:tc>
              <w:tc>
                <w:tcPr/>
                <w:p>
                  <w:pPr>
                    <w:pStyle w:val="Compact"/>
                    <w:jc w:val="left"/>
                    <w:jc w:val="center"/>
                  </w:pPr>
                  <w:r>
                    <w:t xml:space="preserve">+108%</w:t>
                  </w:r>
                </w:p>
              </w:tc>
              <w:tc>
                <w:tcPr/>
                <w:p>
                  <w:pPr>
                    <w:pStyle w:val="Compact"/>
                    <w:jc w:val="left"/>
                    <w:jc w:val="center"/>
                  </w:pPr>
                  <w:r>
                    <w:t xml:space="preserve">✗</w:t>
                  </w:r>
                </w:p>
              </w:tc>
            </w:tr>
            <w:tr>
              <w:tc>
                <w:tcPr/>
                <w:p>
                  <w:pPr>
                    <w:pStyle w:val="Compact"/>
                    <w:jc w:val="left"/>
                    <w:jc w:val="center"/>
                  </w:pPr>
                  <w:r>
                    <w:t xml:space="preserve">S6 Max RE vs S3 National Grid</w:t>
                  </w:r>
                </w:p>
              </w:tc>
              <w:tc>
                <w:tcPr/>
                <w:p>
                  <w:pPr>
                    <w:pStyle w:val="Compact"/>
                    <w:jc w:val="left"/>
                    <w:jc w:val="center"/>
                  </w:pPr>
                  <w:r>
                    <w:t xml:space="preserve">Diesel Price</w:t>
                  </w:r>
                </w:p>
              </w:tc>
              <w:tc>
                <w:tcPr/>
                <w:p>
                  <w:pPr>
                    <w:pStyle w:val="Compact"/>
                    <w:jc w:val="left"/>
                    <w:jc w:val="center"/>
                  </w:pPr>
                  <w:r>
                    <w:t xml:space="preserve">0.85</w:t>
                  </w:r>
                </w:p>
              </w:tc>
              <w:tc>
                <w:tcPr/>
                <w:p>
                  <w:pPr>
                    <w:pStyle w:val="Compact"/>
                    <w:jc w:val="left"/>
                    <w:jc w:val="center"/>
                  </w:pPr>
                  <w:r>
                    <w:t xml:space="preserve">-0.12</w:t>
                  </w:r>
                </w:p>
              </w:tc>
              <w:tc>
                <w:tcPr/>
                <w:p>
                  <w:pPr>
                    <w:pStyle w:val="Compact"/>
                    <w:jc w:val="left"/>
                    <w:jc w:val="center"/>
                  </w:pPr>
                  <w:r>
                    <w:t xml:space="preserve">USD/L</w:t>
                  </w:r>
                </w:p>
              </w:tc>
              <w:tc>
                <w:tcPr/>
                <w:p>
                  <w:pPr>
                    <w:pStyle w:val="Compact"/>
                    <w:jc w:val="left"/>
                    <w:jc w:val="center"/>
                  </w:pPr>
                  <w:r>
                    <w:t xml:space="preserve">-114%</w:t>
                  </w:r>
                </w:p>
              </w:tc>
              <w:tc>
                <w:tcPr/>
                <w:p>
                  <w:pPr>
                    <w:pStyle w:val="Compact"/>
                    <w:jc w:val="left"/>
                    <w:jc w:val="center"/>
                  </w:pPr>
                  <w:r>
                    <w:t xml:space="preserve">✗</w:t>
                  </w:r>
                </w:p>
              </w:tc>
            </w:tr>
            <w:tr>
              <w:tc>
                <w:tcPr/>
                <w:p>
                  <w:pPr>
                    <w:pStyle w:val="Compact"/>
                    <w:jc w:val="left"/>
                    <w:jc w:val="center"/>
                  </w:pPr>
                  <w:r>
                    <w:t xml:space="preserve">S5 Near-Shore vs S6 Max RE</w:t>
                  </w:r>
                </w:p>
              </w:tc>
              <w:tc>
                <w:tcPr/>
                <w:p>
                  <w:pPr>
                    <w:pStyle w:val="Compact"/>
                    <w:jc w:val="left"/>
                    <w:jc w:val="center"/>
                  </w:pPr>
                  <w:r>
                    <w:t xml:space="preserve">Diesel Price</w:t>
                  </w:r>
                </w:p>
              </w:tc>
              <w:tc>
                <w:tcPr/>
                <w:p>
                  <w:pPr>
                    <w:pStyle w:val="Compact"/>
                    <w:jc w:val="left"/>
                    <w:jc w:val="center"/>
                  </w:pPr>
                  <w:r>
                    <w:t xml:space="preserve">0.85</w:t>
                  </w:r>
                </w:p>
              </w:tc>
              <w:tc>
                <w:tcPr/>
                <w:p>
                  <w:pPr>
                    <w:pStyle w:val="Compact"/>
                    <w:jc w:val="left"/>
                    <w:jc w:val="center"/>
                  </w:pPr>
                  <w:r>
                    <w:t xml:space="preserve">-0.12</w:t>
                  </w:r>
                </w:p>
              </w:tc>
              <w:tc>
                <w:tcPr/>
                <w:p>
                  <w:pPr>
                    <w:pStyle w:val="Compact"/>
                    <w:jc w:val="left"/>
                    <w:jc w:val="center"/>
                  </w:pPr>
                  <w:r>
                    <w:t xml:space="preserve">USD/L</w:t>
                  </w:r>
                </w:p>
              </w:tc>
              <w:tc>
                <w:tcPr/>
                <w:p>
                  <w:pPr>
                    <w:pStyle w:val="Compact"/>
                    <w:jc w:val="left"/>
                    <w:jc w:val="center"/>
                  </w:pPr>
                  <w:r>
                    <w:t xml:space="preserve">-114%</w:t>
                  </w:r>
                </w:p>
              </w:tc>
              <w:tc>
                <w:tcPr/>
                <w:p>
                  <w:pPr>
                    <w:pStyle w:val="Compact"/>
                    <w:jc w:val="left"/>
                    <w:jc w:val="center"/>
                  </w:pPr>
                  <w:r>
                    <w:t xml:space="preserve">✗</w:t>
                  </w:r>
                </w:p>
              </w:tc>
            </w:tr>
            <w:tr>
              <w:tc>
                <w:tcPr/>
                <w:p>
                  <w:pPr>
                    <w:pStyle w:val="Compact"/>
                    <w:jc w:val="left"/>
                    <w:jc w:val="center"/>
                  </w:pPr>
                  <w:r>
                    <w:t xml:space="preserve">S2 Full Integration vs S3 National Grid</w:t>
                  </w:r>
                </w:p>
              </w:tc>
              <w:tc>
                <w:tcPr/>
                <w:p>
                  <w:pPr>
                    <w:pStyle w:val="Compact"/>
                    <w:jc w:val="left"/>
                    <w:jc w:val="center"/>
                  </w:pPr>
                  <w:r>
                    <w:t xml:space="preserve">Import PPA Price</w:t>
                  </w:r>
                </w:p>
              </w:tc>
              <w:tc>
                <w:tcPr/>
                <w:p>
                  <w:pPr>
                    <w:pStyle w:val="Compact"/>
                    <w:jc w:val="left"/>
                    <w:jc w:val="center"/>
                  </w:pPr>
                  <w:r>
                    <w:t xml:space="preserve">0.06</w:t>
                  </w:r>
                </w:p>
              </w:tc>
              <w:tc>
                <w:tcPr/>
                <w:p>
                  <w:pPr>
                    <w:pStyle w:val="Compact"/>
                    <w:jc w:val="left"/>
                    <w:jc w:val="center"/>
                  </w:pPr>
                  <w:r>
                    <w:t xml:space="preserve">-0.01</w:t>
                  </w:r>
                </w:p>
              </w:tc>
              <w:tc>
                <w:tcPr/>
                <w:p>
                  <w:pPr>
                    <w:pStyle w:val="Compact"/>
                    <w:jc w:val="left"/>
                    <w:jc w:val="center"/>
                  </w:pPr>
                  <w:r>
                    <w:t xml:space="preserve">USD/kWh</w:t>
                  </w:r>
                </w:p>
              </w:tc>
              <w:tc>
                <w:tcPr/>
                <w:p>
                  <w:pPr>
                    <w:pStyle w:val="Compact"/>
                    <w:jc w:val="left"/>
                    <w:jc w:val="center"/>
                  </w:pPr>
                  <w:r>
                    <w:t xml:space="preserve">-119%</w:t>
                  </w:r>
                </w:p>
              </w:tc>
              <w:tc>
                <w:tcPr/>
                <w:p>
                  <w:pPr>
                    <w:pStyle w:val="Compact"/>
                    <w:jc w:val="left"/>
                    <w:jc w:val="center"/>
                  </w:pPr>
                  <w:r>
                    <w:t xml:space="preserve">✗</w:t>
                  </w:r>
                </w:p>
              </w:tc>
            </w:tr>
            <w:tr>
              <w:tc>
                <w:tcPr/>
                <w:p>
                  <w:pPr>
                    <w:pStyle w:val="Compact"/>
                    <w:jc w:val="left"/>
                    <w:jc w:val="center"/>
                  </w:pPr>
                  <w:r>
                    <w:t xml:space="preserve">S2 Full Integration vs S3 National Grid</w:t>
                  </w:r>
                </w:p>
              </w:tc>
              <w:tc>
                <w:tcPr/>
                <w:p>
                  <w:pPr>
                    <w:pStyle w:val="Compact"/>
                    <w:jc w:val="left"/>
                    <w:jc w:val="center"/>
                  </w:pPr>
                  <w:r>
                    <w:t xml:space="preserve">Social Cost of Carbon</w:t>
                  </w:r>
                </w:p>
              </w:tc>
              <w:tc>
                <w:tcPr/>
                <w:p>
                  <w:pPr>
                    <w:pStyle w:val="Compact"/>
                    <w:jc w:val="left"/>
                    <w:jc w:val="center"/>
                  </w:pPr>
                  <w:r>
                    <w:t xml:space="preserve">190</w:t>
                  </w:r>
                </w:p>
              </w:tc>
              <w:tc>
                <w:tcPr/>
                <w:p>
                  <w:pPr>
                    <w:pStyle w:val="Compact"/>
                    <w:jc w:val="left"/>
                    <w:jc w:val="center"/>
                  </w:pPr>
                  <w:r>
                    <w:t xml:space="preserve">-66.87</w:t>
                  </w:r>
                </w:p>
              </w:tc>
              <w:tc>
                <w:tcPr/>
                <w:p>
                  <w:pPr>
                    <w:pStyle w:val="Compact"/>
                    <w:jc w:val="left"/>
                    <w:jc w:val="center"/>
                  </w:pPr>
                  <w:r>
                    <w:t xml:space="preserve">USD/tCO2</w:t>
                  </w:r>
                </w:p>
              </w:tc>
              <w:tc>
                <w:tcPr/>
                <w:p>
                  <w:pPr>
                    <w:pStyle w:val="Compact"/>
                    <w:jc w:val="left"/>
                    <w:jc w:val="center"/>
                  </w:pPr>
                  <w:r>
                    <w:t xml:space="preserve">-135%</w:t>
                  </w:r>
                </w:p>
              </w:tc>
              <w:tc>
                <w:tcPr/>
                <w:p>
                  <w:pPr>
                    <w:pStyle w:val="Compact"/>
                    <w:jc w:val="left"/>
                    <w:jc w:val="center"/>
                  </w:pPr>
                  <w:r>
                    <w:t xml:space="preserve">✗</w:t>
                  </w:r>
                </w:p>
              </w:tc>
            </w:tr>
            <w:tr>
              <w:tc>
                <w:tcPr/>
                <w:p>
                  <w:pPr>
                    <w:pStyle w:val="Compact"/>
                    <w:jc w:val="left"/>
                    <w:jc w:val="center"/>
                  </w:pPr>
                  <w:r>
                    <w:t xml:space="preserve">S3 National Grid vs S4 Islanded Green</w:t>
                  </w:r>
                </w:p>
              </w:tc>
              <w:tc>
                <w:tcPr/>
                <w:p>
                  <w:pPr>
                    <w:pStyle w:val="Compact"/>
                    <w:jc w:val="left"/>
                    <w:jc w:val="center"/>
                  </w:pPr>
                  <w:r>
                    <w:t xml:space="preserve">Discount Rate</w:t>
                  </w:r>
                </w:p>
              </w:tc>
              <w:tc>
                <w:tcPr/>
                <w:p>
                  <w:pPr>
                    <w:pStyle w:val="Compact"/>
                    <w:jc w:val="left"/>
                    <w:jc w:val="center"/>
                  </w:pPr>
                  <w:r>
                    <w:t xml:space="preserve">0.06</w:t>
                  </w:r>
                </w:p>
              </w:tc>
              <w:tc>
                <w:tcPr/>
                <w:p>
                  <w:pPr>
                    <w:pStyle w:val="Compact"/>
                    <w:jc w:val="left"/>
                    <w:jc w:val="center"/>
                  </w:pPr>
                  <w:r>
                    <w:t xml:space="preserve">0.14</w:t>
                  </w:r>
                </w:p>
              </w:tc>
              <w:tc>
                <w:tcPr/>
                <w:p>
                  <w:pPr>
                    <w:pStyle w:val="Compact"/>
                    <w:jc w:val="left"/>
                    <w:jc w:val="center"/>
                  </w:pPr>
                  <w:r>
                    <w:t xml:space="preserve">%</w:t>
                  </w:r>
                </w:p>
              </w:tc>
              <w:tc>
                <w:tcPr/>
                <w:p>
                  <w:pPr>
                    <w:pStyle w:val="Compact"/>
                    <w:jc w:val="left"/>
                    <w:jc w:val="center"/>
                  </w:pPr>
                  <w:r>
                    <w:t xml:space="preserve">+138%</w:t>
                  </w:r>
                </w:p>
              </w:tc>
              <w:tc>
                <w:tcPr/>
                <w:p>
                  <w:pPr>
                    <w:pStyle w:val="Compact"/>
                    <w:jc w:val="left"/>
                    <w:jc w:val="center"/>
                  </w:pPr>
                  <w:r>
                    <w:t xml:space="preserve">✗</w:t>
                  </w:r>
                </w:p>
              </w:tc>
            </w:tr>
            <w:tr>
              <w:tc>
                <w:tcPr/>
                <w:p>
                  <w:pPr>
                    <w:pStyle w:val="Compact"/>
                    <w:jc w:val="left"/>
                    <w:jc w:val="center"/>
                  </w:pPr>
                  <w:r>
                    <w:t xml:space="preserve">S5 Near-Shore vs S6 Max RE</w:t>
                  </w:r>
                </w:p>
              </w:tc>
              <w:tc>
                <w:tcPr/>
                <w:p>
                  <w:pPr>
                    <w:pStyle w:val="Compact"/>
                    <w:jc w:val="left"/>
                    <w:jc w:val="center"/>
                  </w:pPr>
                  <w:r>
                    <w:t xml:space="preserve">Floating Solar MW</w:t>
                  </w:r>
                </w:p>
              </w:tc>
              <w:tc>
                <w:tcPr/>
                <w:p>
                  <w:pPr>
                    <w:pStyle w:val="Compact"/>
                    <w:jc w:val="left"/>
                    <w:jc w:val="center"/>
                  </w:pPr>
                  <w:r>
                    <w:t xml:space="preserve">195</w:t>
                  </w:r>
                </w:p>
              </w:tc>
              <w:tc>
                <w:tcPr/>
                <w:p>
                  <w:pPr>
                    <w:pStyle w:val="Compact"/>
                    <w:jc w:val="left"/>
                    <w:jc w:val="center"/>
                  </w:pPr>
                  <w:r>
                    <w:t xml:space="preserve">-143</w:t>
                  </w:r>
                </w:p>
              </w:tc>
              <w:tc>
                <w:tcPr/>
                <w:p>
                  <w:pPr>
                    <w:pStyle w:val="Compact"/>
                    <w:jc w:val="left"/>
                    <w:jc w:val="center"/>
                  </w:pPr>
                  <w:r>
                    <w:t xml:space="preserve">MW</w:t>
                  </w:r>
                </w:p>
              </w:tc>
              <w:tc>
                <w:tcPr/>
                <w:p>
                  <w:pPr>
                    <w:pStyle w:val="Compact"/>
                    <w:jc w:val="left"/>
                    <w:jc w:val="center"/>
                  </w:pPr>
                  <w:r>
                    <w:t xml:space="preserve">-173%</w:t>
                  </w:r>
                </w:p>
              </w:tc>
              <w:tc>
                <w:tcPr/>
                <w:p>
                  <w:pPr>
                    <w:pStyle w:val="Compact"/>
                    <w:jc w:val="left"/>
                    <w:jc w:val="center"/>
                  </w:pPr>
                  <w:r>
                    <w:t xml:space="preserve">✗</w:t>
                  </w:r>
                </w:p>
              </w:tc>
            </w:tr>
            <w:tr>
              <w:tc>
                <w:tcPr/>
                <w:p>
                  <w:pPr>
                    <w:pStyle w:val="Compact"/>
                    <w:jc w:val="left"/>
                    <w:jc w:val="center"/>
                  </w:pPr>
                  <w:r>
                    <w:t xml:space="preserve">S1 BAU vs S2 Full Integration</w:t>
                  </w:r>
                </w:p>
              </w:tc>
              <w:tc>
                <w:tcPr/>
                <w:p>
                  <w:pPr>
                    <w:pStyle w:val="Compact"/>
                    <w:jc w:val="left"/>
                    <w:jc w:val="center"/>
                  </w:pPr>
                  <w:r>
                    <w:t xml:space="preserve">Diesel Escalation</w:t>
                  </w:r>
                </w:p>
              </w:tc>
              <w:tc>
                <w:tcPr/>
                <w:p>
                  <w:pPr>
                    <w:pStyle w:val="Compact"/>
                    <w:jc w:val="left"/>
                    <w:jc w:val="center"/>
                  </w:pPr>
                  <w:r>
                    <w:t xml:space="preserve">0.02</w:t>
                  </w:r>
                </w:p>
              </w:tc>
              <w:tc>
                <w:tcPr/>
                <w:p>
                  <w:pPr>
                    <w:pStyle w:val="Compact"/>
                    <w:jc w:val="left"/>
                    <w:jc w:val="center"/>
                  </w:pPr>
                  <w:r>
                    <w:t xml:space="preserve">-0.02</w:t>
                  </w:r>
                </w:p>
              </w:tc>
              <w:tc>
                <w:tcPr/>
                <w:p>
                  <w:pPr>
                    <w:pStyle w:val="Compact"/>
                    <w:jc w:val="left"/>
                    <w:jc w:val="center"/>
                  </w:pPr>
                  <w:r>
                    <w:t xml:space="preserve">%/yr</w:t>
                  </w:r>
                </w:p>
              </w:tc>
              <w:tc>
                <w:tcPr/>
                <w:p>
                  <w:pPr>
                    <w:pStyle w:val="Compact"/>
                    <w:jc w:val="left"/>
                    <w:jc w:val="center"/>
                  </w:pPr>
                  <w:r>
                    <w:t xml:space="preserve">-180%</w:t>
                  </w:r>
                </w:p>
              </w:tc>
              <w:tc>
                <w:tcPr/>
                <w:p>
                  <w:pPr>
                    <w:pStyle w:val="Compact"/>
                    <w:jc w:val="left"/>
                    <w:jc w:val="center"/>
                  </w:pPr>
                  <w:r>
                    <w:t xml:space="preserve">✗</w:t>
                  </w:r>
                </w:p>
              </w:tc>
            </w:tr>
            <w:tr>
              <w:tc>
                <w:tcPr/>
                <w:p>
                  <w:pPr>
                    <w:pStyle w:val="Compact"/>
                    <w:jc w:val="left"/>
                    <w:jc w:val="center"/>
                  </w:pPr>
                  <w:r>
                    <w:t xml:space="preserve">S6 Max RE vs S3 National Grid</w:t>
                  </w:r>
                </w:p>
              </w:tc>
              <w:tc>
                <w:tcPr/>
                <w:p>
                  <w:pPr>
                    <w:pStyle w:val="Compact"/>
                    <w:jc w:val="left"/>
                    <w:jc w:val="center"/>
                  </w:pPr>
                  <w:r>
                    <w:t xml:space="preserve">Social Cost of Carbon</w:t>
                  </w:r>
                </w:p>
              </w:tc>
              <w:tc>
                <w:tcPr/>
                <w:p>
                  <w:pPr>
                    <w:pStyle w:val="Compact"/>
                    <w:jc w:val="left"/>
                    <w:jc w:val="center"/>
                  </w:pPr>
                  <w:r>
                    <w:t xml:space="preserve">190</w:t>
                  </w:r>
                </w:p>
              </w:tc>
              <w:tc>
                <w:tcPr/>
                <w:p>
                  <w:pPr>
                    <w:pStyle w:val="Compact"/>
                    <w:jc w:val="left"/>
                    <w:jc w:val="center"/>
                  </w:pPr>
                  <w:r>
                    <w:t xml:space="preserve">-249</w:t>
                  </w:r>
                </w:p>
              </w:tc>
              <w:tc>
                <w:tcPr/>
                <w:p>
                  <w:pPr>
                    <w:pStyle w:val="Compact"/>
                    <w:jc w:val="left"/>
                    <w:jc w:val="center"/>
                  </w:pPr>
                  <w:r>
                    <w:t xml:space="preserve">USD/tCO2</w:t>
                  </w:r>
                </w:p>
              </w:tc>
              <w:tc>
                <w:tcPr/>
                <w:p>
                  <w:pPr>
                    <w:pStyle w:val="Compact"/>
                    <w:jc w:val="left"/>
                    <w:jc w:val="center"/>
                  </w:pPr>
                  <w:r>
                    <w:t xml:space="preserve">-231%</w:t>
                  </w:r>
                </w:p>
              </w:tc>
              <w:tc>
                <w:tcPr/>
                <w:p>
                  <w:pPr>
                    <w:pStyle w:val="Compact"/>
                    <w:jc w:val="left"/>
                    <w:jc w:val="center"/>
                  </w:pPr>
                  <w:r>
                    <w:t xml:space="preserve">✗</w:t>
                  </w:r>
                </w:p>
              </w:tc>
            </w:tr>
          </w:tbl>
          <w:bookmarkEnd w:id="183"/>
          <w:p/>
        </w:tc>
      </w:tr>
    </w:tbl>
    <w:p>
      <w:pPr>
        <w:pStyle w:val="BodyText"/>
      </w:pPr>
      <w:r>
        <w:t xml:space="preserve">The core findings — renewables dominate diesel, domestic RE beats the cable on the margin — require very large parameter shifts to reverse.</w:t>
      </w:r>
    </w:p>
    <w:bookmarkEnd w:id="184"/>
    <w:bookmarkStart w:id="189" w:name="multi-horizon-robustness"/>
    <w:p>
      <w:pPr>
        <w:pStyle w:val="Heading2"/>
      </w:pPr>
      <w:r>
        <w:t xml:space="preserve">7.4 Multi-Horizon Robustness</w:t>
      </w:r>
    </w:p>
    <w:p>
      <w:pPr>
        <w:pStyle w:val="FirstParagraph"/>
      </w:pPr>
      <w:r>
        <w:t xml:space="preserve">The figure below compares NPV savings at 20, 30, and 50 years to confirm that results are not an artefact of the chosen time horizon.</w:t>
      </w:r>
    </w:p>
    <w:tbl>
      <w:tblPr>
        <w:tblStyle w:val="Table"/>
        <w:tblW w:type="pct" w:w="5000"/>
        <w:tblLayout w:type="fixed"/>
        <w:tblLook w:firstRow="0" w:lastRow="0" w:firstColumn="0" w:lastColumn="0" w:noHBand="0" w:noVBand="0" w:val="0000"/>
      </w:tblPr>
      <w:tblGrid>
        <w:gridCol w:w="7920"/>
      </w:tblGrid>
      <w:tr>
        <w:tc>
          <w:tcPr/>
          <w:bookmarkStart w:id="188" w:name="fig-multi-horizon"/>
          <w:p>
            <w:pPr>
              <w:pStyle w:val="Compact"/>
              <w:jc w:val="center"/>
            </w:pPr>
            <w:r>
              <w:drawing>
                <wp:inline>
                  <wp:extent cx="5334000" cy="3810000"/>
                  <wp:effectExtent b="0" l="0" r="0" t="0"/>
                  <wp:docPr descr="" title="" id="186" name="Picture"/>
                  <a:graphic>
                    <a:graphicData uri="http://schemas.openxmlformats.org/drawingml/2006/picture">
                      <pic:pic>
                        <pic:nvPicPr>
                          <pic:cNvPr descr="05-sensitivity_files/figure-docx/fig-multi-horizon-output-1.png" id="187" name="Picture"/>
                          <pic:cNvPicPr>
                            <a:picLocks noChangeArrowheads="1" noChangeAspect="1"/>
                          </pic:cNvPicPr>
                        </pic:nvPicPr>
                        <pic:blipFill>
                          <a:blip r:embed="rId185"/>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7.3: NPV savings across three time horizons (20, 30, 50 years). All alternatives dominate BAU regardless of horizon.</w:t>
            </w:r>
          </w:p>
          <w:bookmarkEnd w:id="188"/>
        </w:tc>
      </w:tr>
    </w:tbl>
    <w:p>
      <w:pPr>
        <w:pStyle w:val="BodyText"/>
      </w:pPr>
      <w:r>
        <w:t xml:space="preserve">Rankings hold across all horizons. Even the conservative 20-year window shows large positive NPV savings.</w:t>
      </w:r>
    </w:p>
    <w:bookmarkEnd w:id="189"/>
    <w:bookmarkStart w:id="195" w:name="declining-discount-rate-sensitivity"/>
    <w:p>
      <w:pPr>
        <w:pStyle w:val="Heading2"/>
      </w:pPr>
      <w:r>
        <w:t xml:space="preserve">7.5 Declining Discount Rate Sensitivity</w:t>
      </w:r>
    </w:p>
    <w:p>
      <w:pPr>
        <w:pStyle w:val="FirstParagraph"/>
      </w:pPr>
      <w:r>
        <w:t xml:space="preserve">Standard CBA uses a constant discount rate, but</w:t>
      </w:r>
      <w:r>
        <w:t xml:space="preserve"> </w:t>
      </w:r>
      <w:r>
        <w:t xml:space="preserve">Weitzman (2001)</w:t>
      </w:r>
      <w:r>
        <w:t xml:space="preserve"> </w:t>
      </w:r>
      <w:r>
        <w:t xml:space="preserve">and</w:t>
      </w:r>
      <w:r>
        <w:t xml:space="preserve"> </w:t>
      </w:r>
      <w:r>
        <w:t xml:space="preserve">Drupp et al. (2018)</w:t>
      </w:r>
      <w:r>
        <w:t xml:space="preserve"> </w:t>
      </w:r>
      <w:r>
        <w:t xml:space="preserve">argue the effective rate should decline over time as uncertainty about distant growth rates compounds. Under DDR, long-horizon benefits receive more weight.</w:t>
      </w:r>
    </w:p>
    <w:tbl>
      <w:tblPr>
        <w:tblStyle w:val="Table"/>
        <w:tblW w:type="pct" w:w="5000"/>
        <w:tblLayout w:type="fixed"/>
        <w:tblLook w:firstRow="0" w:lastRow="0" w:firstColumn="0" w:lastColumn="0" w:noHBand="0" w:noVBand="0" w:val="0000"/>
      </w:tblPr>
      <w:tblGrid>
        <w:gridCol w:w="7920"/>
      </w:tblGrid>
      <w:tr>
        <w:tc>
          <w:tcPr/>
          <w:bookmarkStart w:id="193" w:name="fig-ddr"/>
          <w:p>
            <w:pPr>
              <w:pStyle w:val="Compact"/>
              <w:jc w:val="center"/>
            </w:pPr>
            <w:r>
              <w:drawing>
                <wp:inline>
                  <wp:extent cx="5334000" cy="3810000"/>
                  <wp:effectExtent b="0" l="0" r="0" t="0"/>
                  <wp:docPr descr="" title="" id="191" name="Picture"/>
                  <a:graphic>
                    <a:graphicData uri="http://schemas.openxmlformats.org/drawingml/2006/picture">
                      <pic:pic>
                        <pic:nvPicPr>
                          <pic:cNvPr descr="05-sensitivity_files/figure-docx/fig-ddr-output-1.png" id="192" name="Picture"/>
                          <pic:cNvPicPr>
                            <a:picLocks noChangeArrowheads="1" noChangeAspect="1"/>
                          </pic:cNvPicPr>
                        </pic:nvPicPr>
                        <pic:blipFill>
                          <a:blip r:embed="rId190"/>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7.4: Impact of declining discount rates (DDR) on present value of total costs. DDR increases the PV of all scenarios but increases BAU (fuel-heavy) most.</w:t>
            </w:r>
          </w:p>
          <w:bookmarkEnd w:id="193"/>
        </w:tc>
      </w:tr>
    </w:tbl>
    <w:p>
      <w:pPr>
        <w:pStyle w:val="BodyText"/>
      </w:pPr>
      <w:r>
        <w:t xml:space="preserve">DDR increases PV of costs for all scenarios, but diesel (fuel-heavy, distributed over time) rises more than renewables (capital-heavy, front-loaded). The NPV advantage of transition</w:t>
      </w:r>
      <w:r>
        <w:t xml:space="preserve"> </w:t>
      </w:r>
      <w:r>
        <w:rPr>
          <w:i/>
          <w:iCs/>
        </w:rPr>
        <w:t xml:space="preserve">grows</w:t>
      </w:r>
      <w:r>
        <w:t xml:space="preserve"> </w:t>
      </w:r>
      <w:r>
        <w:t xml:space="preserve">under DDR — the constant-rate analysis is conservative. For a nation existentially threatened by climate change, frameworks giving appropriate weight to long-term outcomes only strengthen the case for transition</w:t>
      </w:r>
      <w:r>
        <w:rPr>
          <w:rStyle w:val="FootnoteReference"/>
        </w:rPr>
        <w:footnoteReference w:id="194"/>
      </w:r>
      <w:r>
        <w:t xml:space="preserve">.</w:t>
      </w:r>
    </w:p>
    <w:p>
      <w:pPr>
        <w:pStyle w:val="BodyText"/>
      </w:pPr>
      <w:r>
        <w:t xml:space="preserve">No tested combination of parameters, horizon, or discounting method reverses the conclusion that transition from diesel is warranted. The choice among alternative pathways shows more variation, but domestic RE consistently outperforms the India cable on cost-effectiveness grounds.</w:t>
      </w:r>
    </w:p>
    <w:bookmarkEnd w:id="195"/>
    <w:bookmarkEnd w:id="196"/>
    <w:bookmarkStart w:id="214" w:name="sec-mca"/>
    <w:p>
      <w:pPr>
        <w:pStyle w:val="Heading1"/>
      </w:pPr>
      <w:r>
        <w:t xml:space="preserve">8. Multi-Criteria Analysis</w:t>
      </w:r>
    </w:p>
    <w:p>
      <w:pPr>
        <w:pStyle w:val="FirstParagraph"/>
      </w:pPr>
      <w:r>
        <w:t xml:space="preserve">Economic efficiency is one lens among several. Implementation feasibility, climate resilience, and distributional equity also matter for a decision of this scale. This chapter scores each scenario against eight criteria.</w:t>
      </w:r>
    </w:p>
    <w:bookmarkStart w:id="197" w:name="framework-eight-criteria"/>
    <w:p>
      <w:pPr>
        <w:pStyle w:val="Heading2"/>
      </w:pPr>
      <w:r>
        <w:t xml:space="preserve">8.1 Framework: Eight Criteria</w:t>
      </w:r>
    </w:p>
    <w:p>
      <w:pPr>
        <w:pStyle w:val="FirstParagraph"/>
      </w:pPr>
      <w:r>
        <w:t xml:space="preserve">Following</w:t>
      </w:r>
      <w:r>
        <w:t xml:space="preserve"> </w:t>
      </w:r>
      <w:r>
        <w:t xml:space="preserve">Asian Development Bank (2017)</w:t>
      </w:r>
      <w:r>
        <w:t xml:space="preserve"> </w:t>
      </w:r>
      <w:r>
        <w:t xml:space="preserve">§7.3 and</w:t>
      </w:r>
      <w:r>
        <w:t xml:space="preserve"> </w:t>
      </w:r>
      <w:r>
        <w:t xml:space="preserve">Dodgson et al. (2009)</w:t>
      </w:r>
      <w:r>
        <w:t xml:space="preserve">, eight criteria cover the economic, environmental, social, and institutional dimensions of the transition decision. Five are computed directly from CBA outputs; three (feasibility, equity, climate resilience) are expert-scored on a 0–1 scale. Economic efficiency receives the largest weight, but the combined non-economic criteria ensure that a scenario cannot rank highly on economics alone.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Criterion</w:t>
            </w:r>
          </w:p>
        </w:tc>
        <w:tc>
          <w:tcPr/>
          <w:p>
            <w:pPr>
              <w:pStyle w:val="Compact"/>
            </w:pPr>
            <w:r>
              <w:t xml:space="preserve">Weight</w:t>
            </w:r>
          </w:p>
        </w:tc>
        <w:tc>
          <w:tcPr/>
          <w:p>
            <w:pPr>
              <w:pStyle w:val="Compact"/>
            </w:pPr>
            <w:r>
              <w:t xml:space="preserve">Metric</w:t>
            </w:r>
          </w:p>
        </w:tc>
        <w:tc>
          <w:tcPr/>
          <w:p>
            <w:pPr>
              <w:pStyle w:val="Compact"/>
            </w:pPr>
            <w:r>
              <w:t xml:space="preserve">Source</w:t>
            </w:r>
          </w:p>
        </w:tc>
      </w:tr>
      <w:tr>
        <w:tc>
          <w:tcPr/>
          <w:p>
            <w:pPr>
              <w:pStyle w:val="Compact"/>
            </w:pPr>
            <w:r>
              <w:t xml:space="preserve">Economic Efficiency</w:t>
            </w:r>
          </w:p>
        </w:tc>
        <w:tc>
          <w:tcPr/>
          <w:p>
            <w:pPr>
              <w:pStyle w:val="Compact"/>
            </w:pPr>
            <w:r>
              <w:t xml:space="preserve">18%</w:t>
            </w:r>
          </w:p>
        </w:tc>
        <w:tc>
          <w:tcPr/>
          <w:p>
            <w:pPr>
              <w:pStyle w:val="Compact"/>
            </w:pPr>
            <w:r>
              <w:t xml:space="preserve">NPV savings vs. BAU</w:t>
            </w:r>
          </w:p>
        </w:tc>
        <w:tc>
          <w:tcPr/>
          <w:p>
            <w:pPr>
              <w:pStyle w:val="Compact"/>
            </w:pPr>
            <w:r>
              <w:t xml:space="preserve">CBA model output</w:t>
            </w:r>
          </w:p>
        </w:tc>
      </w:tr>
      <w:tr>
        <w:tc>
          <w:tcPr/>
          <w:p>
            <w:pPr>
              <w:pStyle w:val="Compact"/>
            </w:pPr>
            <w:r>
              <w:t xml:space="preserve">Environmental Impact</w:t>
            </w:r>
          </w:p>
        </w:tc>
        <w:tc>
          <w:tcPr/>
          <w:p>
            <w:pPr>
              <w:pStyle w:val="Compact"/>
            </w:pPr>
            <w:r>
              <w:t xml:space="preserve">14%</w:t>
            </w:r>
          </w:p>
        </w:tc>
        <w:tc>
          <w:tcPr/>
          <w:p>
            <w:pPr>
              <w:pStyle w:val="Compact"/>
            </w:pPr>
            <w:r>
              <w:t xml:space="preserve">Cumulative CO₂ reduction</w:t>
            </w:r>
          </w:p>
        </w:tc>
        <w:tc>
          <w:tcPr/>
          <w:p>
            <w:pPr>
              <w:pStyle w:val="Compact"/>
            </w:pPr>
            <w:r>
              <w:t xml:space="preserve">CBA model output</w:t>
            </w:r>
          </w:p>
        </w:tc>
      </w:tr>
      <w:tr>
        <w:tc>
          <w:tcPr/>
          <w:p>
            <w:pPr>
              <w:pStyle w:val="Compact"/>
            </w:pPr>
            <w:r>
              <w:t xml:space="preserve">Energy Security</w:t>
            </w:r>
          </w:p>
        </w:tc>
        <w:tc>
          <w:tcPr/>
          <w:p>
            <w:pPr>
              <w:pStyle w:val="Compact"/>
            </w:pPr>
            <w:r>
              <w:t xml:space="preserve">14%</w:t>
            </w:r>
          </w:p>
        </w:tc>
        <w:tc>
          <w:tcPr/>
          <w:p>
            <w:pPr>
              <w:pStyle w:val="Compact"/>
            </w:pPr>
            <w:r>
              <w:t xml:space="preserve">Final RE share</w:t>
            </w:r>
          </w:p>
        </w:tc>
        <w:tc>
          <w:tcPr/>
          <w:p>
            <w:pPr>
              <w:pStyle w:val="Compact"/>
            </w:pPr>
            <w:r>
              <w:t xml:space="preserve">CBA model output</w:t>
            </w:r>
          </w:p>
        </w:tc>
      </w:tr>
      <w:tr>
        <w:tc>
          <w:tcPr/>
          <w:p>
            <w:pPr>
              <w:pStyle w:val="Compact"/>
            </w:pPr>
            <w:r>
              <w:t xml:space="preserve">Health Benefits</w:t>
            </w:r>
          </w:p>
        </w:tc>
        <w:tc>
          <w:tcPr/>
          <w:p>
            <w:pPr>
              <w:pStyle w:val="Compact"/>
            </w:pPr>
            <w:r>
              <w:t xml:space="preserve">9%</w:t>
            </w:r>
          </w:p>
        </w:tc>
        <w:tc>
          <w:tcPr/>
          <w:p>
            <w:pPr>
              <w:pStyle w:val="Compact"/>
            </w:pPr>
            <w:r>
              <w:t xml:space="preserve">Health co-benefits ($M)</w:t>
            </w:r>
          </w:p>
        </w:tc>
        <w:tc>
          <w:tcPr/>
          <w:p>
            <w:pPr>
              <w:pStyle w:val="Compact"/>
            </w:pPr>
            <w:r>
              <w:t xml:space="preserve">CBA model output</w:t>
            </w:r>
          </w:p>
        </w:tc>
      </w:tr>
      <w:tr>
        <w:tc>
          <w:tcPr/>
          <w:p>
            <w:pPr>
              <w:pStyle w:val="Compact"/>
            </w:pPr>
            <w:r>
              <w:t xml:space="preserve">Fiscal Burden</w:t>
            </w:r>
          </w:p>
        </w:tc>
        <w:tc>
          <w:tcPr/>
          <w:p>
            <w:pPr>
              <w:pStyle w:val="Compact"/>
            </w:pPr>
            <w:r>
              <w:t xml:space="preserve">9%</w:t>
            </w:r>
          </w:p>
        </w:tc>
        <w:tc>
          <w:tcPr/>
          <w:p>
            <w:pPr>
              <w:pStyle w:val="Compact"/>
            </w:pPr>
            <w:r>
              <w:t xml:space="preserve">Total CAPEX (lower = better)</w:t>
            </w:r>
          </w:p>
        </w:tc>
        <w:tc>
          <w:tcPr/>
          <w:p>
            <w:pPr>
              <w:pStyle w:val="Compact"/>
            </w:pPr>
            <w:r>
              <w:t xml:space="preserve">CBA model output</w:t>
            </w:r>
          </w:p>
        </w:tc>
      </w:tr>
      <w:tr>
        <w:tc>
          <w:tcPr/>
          <w:p>
            <w:pPr>
              <w:pStyle w:val="Compact"/>
            </w:pPr>
            <w:r>
              <w:t xml:space="preserve">Implementation Feasibility</w:t>
            </w:r>
          </w:p>
        </w:tc>
        <w:tc>
          <w:tcPr/>
          <w:p>
            <w:pPr>
              <w:pStyle w:val="Compact"/>
            </w:pPr>
            <w:r>
              <w:t xml:space="preserve">10%</w:t>
            </w:r>
          </w:p>
        </w:tc>
        <w:tc>
          <w:tcPr/>
          <w:p>
            <w:pPr>
              <w:pStyle w:val="Compact"/>
            </w:pPr>
            <w:r>
              <w:t xml:space="preserve">Expert assessment (0–1)</w:t>
            </w:r>
          </w:p>
        </w:tc>
        <w:tc>
          <w:tcPr/>
          <w:p>
            <w:pPr>
              <w:pStyle w:val="Compact"/>
            </w:pPr>
            <w:r>
              <w:t xml:space="preserve">Expert scoring</w:t>
            </w:r>
          </w:p>
        </w:tc>
      </w:tr>
      <w:tr>
        <w:tc>
          <w:tcPr/>
          <w:p>
            <w:pPr>
              <w:pStyle w:val="Compact"/>
            </w:pPr>
            <w:r>
              <w:t xml:space="preserve">Social Equity</w:t>
            </w:r>
          </w:p>
        </w:tc>
        <w:tc>
          <w:tcPr/>
          <w:p>
            <w:pPr>
              <w:pStyle w:val="Compact"/>
            </w:pPr>
            <w:r>
              <w:t xml:space="preserve">9%</w:t>
            </w:r>
          </w:p>
        </w:tc>
        <w:tc>
          <w:tcPr/>
          <w:p>
            <w:pPr>
              <w:pStyle w:val="Compact"/>
            </w:pPr>
            <w:r>
              <w:t xml:space="preserve">Expert assessment (0–1)</w:t>
            </w:r>
          </w:p>
        </w:tc>
        <w:tc>
          <w:tcPr/>
          <w:p>
            <w:pPr>
              <w:pStyle w:val="Compact"/>
            </w:pPr>
            <w:r>
              <w:t xml:space="preserve">Expert scoring</w:t>
            </w:r>
          </w:p>
        </w:tc>
      </w:tr>
      <w:tr>
        <w:tc>
          <w:tcPr/>
          <w:p>
            <w:pPr>
              <w:pStyle w:val="Compact"/>
            </w:pPr>
            <w:r>
              <w:t xml:space="preserve">Climate Resilience</w:t>
            </w:r>
          </w:p>
        </w:tc>
        <w:tc>
          <w:tcPr/>
          <w:p>
            <w:pPr>
              <w:pStyle w:val="Compact"/>
            </w:pPr>
            <w:r>
              <w:t xml:space="preserve">9%</w:t>
            </w:r>
          </w:p>
        </w:tc>
        <w:tc>
          <w:tcPr/>
          <w:p>
            <w:pPr>
              <w:pStyle w:val="Compact"/>
            </w:pPr>
            <w:r>
              <w:t xml:space="preserve">Expert assessment (0–1)</w:t>
            </w:r>
          </w:p>
        </w:tc>
        <w:tc>
          <w:tcPr/>
          <w:p>
            <w:pPr>
              <w:pStyle w:val="Compact"/>
            </w:pPr>
            <w:r>
              <w:t xml:space="preserve">Expert scoring</w:t>
            </w:r>
          </w:p>
        </w:tc>
      </w:tr>
    </w:tbl>
    <w:p>
      <w:pPr>
        <w:pStyle w:val="BodyText"/>
      </w:pPr>
      <w:r>
        <w:t xml:space="preserve">The weight sensitivity analysis below tests whether rankings hold under alternative weighting schemes.</w:t>
      </w:r>
    </w:p>
    <w:bookmarkEnd w:id="197"/>
    <w:bookmarkStart w:id="206" w:name="results-weighted-scores"/>
    <w:p>
      <w:pPr>
        <w:pStyle w:val="Heading2"/>
      </w:pPr>
      <w:r>
        <w:t xml:space="preserve">8.2 Results: Weighted Scores</w:t>
      </w:r>
    </w:p>
    <w:p>
      <w:pPr>
        <w:pStyle w:val="FirstParagraph"/>
      </w:pPr>
      <w:r>
        <w:t xml:space="preserve">Total weighted MCA scores (higher = better), with each criterion normalised 0–1 before applying weights:</w:t>
      </w:r>
    </w:p>
    <w:tbl>
      <w:tblPr>
        <w:tblStyle w:val="Table"/>
        <w:tblW w:type="pct" w:w="5000"/>
        <w:tblLayout w:type="fixed"/>
        <w:tblLook w:firstRow="0" w:lastRow="0" w:firstColumn="0" w:lastColumn="0" w:noHBand="0" w:noVBand="0" w:val="0000"/>
      </w:tblPr>
      <w:tblGrid>
        <w:gridCol w:w="7920"/>
      </w:tblGrid>
      <w:tr>
        <w:tc>
          <w:tcPr/>
          <w:bookmarkStart w:id="201" w:name="fig-mca-ranking"/>
          <w:p>
            <w:pPr>
              <w:pStyle w:val="Compact"/>
              <w:jc w:val="center"/>
            </w:pPr>
            <w:r>
              <w:drawing>
                <wp:inline>
                  <wp:extent cx="5334000" cy="3810000"/>
                  <wp:effectExtent b="0" l="0" r="0" t="0"/>
                  <wp:docPr descr="" title="" id="199" name="Picture"/>
                  <a:graphic>
                    <a:graphicData uri="http://schemas.openxmlformats.org/drawingml/2006/picture">
                      <pic:pic>
                        <pic:nvPicPr>
                          <pic:cNvPr descr="06-mca_files/figure-docx/fig-mca-ranking-output-1.png" id="200" name="Picture"/>
                          <pic:cNvPicPr>
                            <a:picLocks noChangeArrowheads="1" noChangeAspect="1"/>
                          </pic:cNvPicPr>
                        </pic:nvPicPr>
                        <pic:blipFill>
                          <a:blip r:embed="rId198"/>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8.1: MCA weighted scores by scenario. Higher is better. S6 (Maximum RE) ranks first under base weights.</w:t>
            </w:r>
          </w:p>
          <w:bookmarkEnd w:id="201"/>
        </w:tc>
      </w:tr>
    </w:tbl>
    <w:p>
      <w:pPr>
        <w:pStyle w:val="BodyText"/>
      </w:pPr>
      <w:r>
        <w:t xml:space="preserve">The MCA reinforces the CBA findings while adding nuance. High-RE scenarios (S6, S3, S5) cluster at the top: they combine fuel savings with deep emissions reductions, energy independence, and health co-benefits. Fossil-retaining pathways (LNG, cable) score well on economic efficiency but are penalised on environment, security, and resilience.</w:t>
      </w:r>
    </w:p>
    <w:p>
      <w:pPr>
        <w:pStyle w:val="BodyText"/>
      </w:pPr>
      <w:r>
        <w:t xml:space="preserve">The heatmap disaggregates scores by criterion (darker green = better):</w:t>
      </w:r>
    </w:p>
    <w:tbl>
      <w:tblPr>
        <w:tblStyle w:val="Table"/>
        <w:tblW w:type="pct" w:w="5000"/>
        <w:tblLayout w:type="fixed"/>
        <w:tblLook w:firstRow="0" w:lastRow="0" w:firstColumn="0" w:lastColumn="0" w:noHBand="0" w:noVBand="0" w:val="0000"/>
      </w:tblPr>
      <w:tblGrid>
        <w:gridCol w:w="7920"/>
      </w:tblGrid>
      <w:tr>
        <w:tc>
          <w:tcPr/>
          <w:bookmarkStart w:id="205" w:name="fig-mca-heatmap"/>
          <w:p>
            <w:pPr>
              <w:pStyle w:val="Compact"/>
              <w:jc w:val="center"/>
            </w:pPr>
            <w:r>
              <w:drawing>
                <wp:inline>
                  <wp:extent cx="5334000" cy="3810000"/>
                  <wp:effectExtent b="0" l="0" r="0" t="0"/>
                  <wp:docPr descr="" title="" id="203" name="Picture"/>
                  <a:graphic>
                    <a:graphicData uri="http://schemas.openxmlformats.org/drawingml/2006/picture">
                      <pic:pic>
                        <pic:nvPicPr>
                          <pic:cNvPr descr="06-mca_files/figure-docx/fig-mca-heatmap-output-1.png" id="204" name="Picture"/>
                          <pic:cNvPicPr>
                            <a:picLocks noChangeArrowheads="1" noChangeAspect="1"/>
                          </pic:cNvPicPr>
                        </pic:nvPicPr>
                        <pic:blipFill>
                          <a:blip r:embed="rId202"/>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8.2: Normalised scores by criterion and scenario. Darker green indicates better performance.</w:t>
            </w:r>
          </w:p>
          <w:bookmarkEnd w:id="205"/>
        </w:tc>
      </w:tr>
    </w:tbl>
    <w:p>
      <w:pPr>
        <w:pStyle w:val="BodyText"/>
      </w:pPr>
      <w:r>
        <w:t xml:space="preserve">Renewable-intensive pathways score well on environmental impact, energy security, and health but may lag on fiscal burden and feasibility. The India cable (S2) pairs high economic efficiency with weaker security and resilience — single-point-of-failure risk and geopolitical exposure. LNG (S7) scores well on economics and feasibility but lower on environment. S4 (Islanded Green) ranks well on feasibility and equity but lower on environmental impact because Malé retains more diesel without near-shore or floating solar.</w:t>
      </w:r>
    </w:p>
    <w:bookmarkEnd w:id="206"/>
    <w:bookmarkStart w:id="213" w:name="weight-sensitivity-does-the-ranking-hold"/>
    <w:p>
      <w:pPr>
        <w:pStyle w:val="Heading2"/>
      </w:pPr>
      <w:r>
        <w:t xml:space="preserve">8.3 Weight Sensitivity: Does the Ranking Hold?</w:t>
      </w:r>
    </w:p>
    <w:p>
      <w:pPr>
        <w:pStyle w:val="FirstParagraph"/>
      </w:pPr>
      <w:r>
        <w:t xml:space="preserve">Different stakeholders assign different weights. The test below runs five alternative profiles (environment-first, fiscal-first, social-equity, balanced, etc.):</w:t>
      </w:r>
    </w:p>
    <w:tbl>
      <w:tblPr>
        <w:tblStyle w:val="Table"/>
        <w:tblW w:type="pct" w:w="5000"/>
        <w:tblLayout w:type="fixed"/>
        <w:tblLook w:firstRow="0" w:lastRow="0" w:firstColumn="0" w:lastColumn="0" w:noHBand="0" w:noVBand="0" w:val="0000"/>
      </w:tblPr>
      <w:tblGrid>
        <w:gridCol w:w="7920"/>
      </w:tblGrid>
      <w:tr>
        <w:tc>
          <w:tcPr/>
          <w:bookmarkStart w:id="210" w:name="fig-weight-sensitivity"/>
          <w:p>
            <w:pPr>
              <w:pStyle w:val="Compact"/>
              <w:jc w:val="center"/>
            </w:pPr>
            <w:r>
              <w:drawing>
                <wp:inline>
                  <wp:extent cx="5334000" cy="3810000"/>
                  <wp:effectExtent b="0" l="0" r="0" t="0"/>
                  <wp:docPr descr="" title="" id="208" name="Picture"/>
                  <a:graphic>
                    <a:graphicData uri="http://schemas.openxmlformats.org/drawingml/2006/picture">
                      <pic:pic>
                        <pic:nvPicPr>
                          <pic:cNvPr descr="06-mca_files/figure-docx/fig-weight-sensitivity-output-1.png" id="209" name="Picture"/>
                          <pic:cNvPicPr>
                            <a:picLocks noChangeArrowheads="1" noChangeAspect="1"/>
                          </pic:cNvPicPr>
                        </pic:nvPicPr>
                        <pic:blipFill>
                          <a:blip r:embed="rId207"/>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8.3: MCA rankings under five different weight profiles. A stable ranking across profiles indicates robustness.</w:t>
            </w:r>
          </w:p>
          <w:bookmarkEnd w:id="210"/>
        </w:tc>
      </w:tr>
    </w:tbl>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1" name="Picture"/>
                  <a:graphic>
                    <a:graphicData uri="http://schemas.openxmlformats.org/drawingml/2006/picture">
                      <pic:pic>
                        <pic:nvPicPr>
                          <pic:cNvPr descr="C:\Users\LucasSempe\AppData\Local\Programs\Quarto\share\formats\docx\tip.png" id="212" name="Picture"/>
                          <pic:cNvPicPr>
                            <a:picLocks noChangeArrowheads="1" noChangeAspect="1"/>
                          </pic:cNvPicPr>
                        </pic:nvPicPr>
                        <pic:blipFill>
                          <a:blip r:embed="rId17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Top-performing scenarios hold their positions across all five weight profiles. The ranking is not sensitive to how criteria are weighted, which means the conclusions rest on performance, not on the weighting scheme.</w:t>
            </w:r>
          </w:p>
        </w:tc>
      </w:tr>
    </w:tbl>
    <w:p>
      <w:pPr>
        <w:pStyle w:val="BodyText"/>
      </w:pPr>
      <w:r>
        <w:t xml:space="preserve">This stability across weight profiles indicates that the top scenarios genuinely dominate on multiple fronts rather than benefiting from a single favourable assumption.</w:t>
      </w:r>
    </w:p>
    <w:p>
      <w:pPr>
        <w:pStyle w:val="BodyText"/>
      </w:pPr>
      <w:r>
        <w:rPr>
          <w:b/>
          <w:bCs/>
        </w:rPr>
        <w:t xml:space="preserve">Limitations:</w:t>
      </w:r>
      <w:r>
        <w:t xml:space="preserve"> </w:t>
      </w:r>
      <w:r>
        <w:t xml:space="preserve">Three expert-scored criteria involve judgement, normalisation can compress meaningful differences, and the linear additive model assumes full compensability between criteria.</w:t>
      </w:r>
    </w:p>
    <w:bookmarkEnd w:id="213"/>
    <w:bookmarkEnd w:id="214"/>
    <w:bookmarkStart w:id="243" w:name="sec-distributional"/>
    <w:p>
      <w:pPr>
        <w:pStyle w:val="Heading1"/>
      </w:pPr>
      <w:r>
        <w:t xml:space="preserve">9. Distributional Analysis</w:t>
      </w:r>
    </w:p>
    <w:p>
      <w:pPr>
        <w:pStyle w:val="FirstParagraph"/>
      </w:pPr>
      <w:r>
        <w:t xml:space="preserve">Who gains, and who risks being left behind? Aggregate NPV and BCR confirm that society gains overall, but they are silent on distribution. This chapter uses 4,817 household records from</w:t>
      </w:r>
      <w:r>
        <w:t xml:space="preserve"> </w:t>
      </w:r>
      <w:r>
        <w:rPr>
          <w:b/>
          <w:bCs/>
        </w:rPr>
        <w:t xml:space="preserve">HIES 2019</w:t>
      </w:r>
      <w:r>
        <w:t xml:space="preserve"> </w:t>
      </w:r>
      <w:r>
        <w:t xml:space="preserve">to trace impacts by income quintile, gender, and geography.</w:t>
      </w:r>
    </w:p>
    <w:bookmarkStart w:id="215" w:name="data-source"/>
    <w:p>
      <w:pPr>
        <w:pStyle w:val="Heading2"/>
      </w:pPr>
      <w:r>
        <w:t xml:space="preserve">9.1 Data Source</w:t>
      </w:r>
    </w:p>
    <w:p>
      <w:pPr>
        <w:pStyle w:val="FirstParagraph"/>
      </w:pPr>
      <w:r>
        <w:t xml:space="preserve">The analysis uses 4,817 households from HIES 2019 (NBS Maldives); Maldives Poverty Assessment 2022 (World Bank)</w:t>
      </w:r>
      <w:r>
        <w:t xml:space="preserve"> </w:t>
      </w:r>
      <w:r>
        <w:t xml:space="preserve">(National Bureau of Statistics, Republic of Maldives, 2019)</w:t>
      </w:r>
      <w:r>
        <w:t xml:space="preserve">, with data on income, electricity spending, household composition, location, and head-of-household gender. These variables establish the baseline distributional profile against which transition impacts are assessed.</w:t>
      </w:r>
    </w:p>
    <w:bookmarkEnd w:id="215"/>
    <w:bookmarkStart w:id="222" w:name="electricity-burden-by-income-quintile"/>
    <w:p>
      <w:pPr>
        <w:pStyle w:val="Heading2"/>
      </w:pPr>
      <w:r>
        <w:t xml:space="preserve">9.2 Electricity Burden by Income Quintile</w:t>
      </w:r>
    </w:p>
    <w:p>
      <w:pPr>
        <w:pStyle w:val="FirstParagraph"/>
      </w:pPr>
      <w:r>
        <w:t xml:space="preserve">Electricity burden — expenditure as a share of income — is regressive worldwide: lower-income households spend a larger share on energy despite lower absolute consumption.</w:t>
      </w:r>
    </w:p>
    <w:tbl>
      <w:tblPr>
        <w:tblStyle w:val="Table"/>
        <w:tblW w:type="pct" w:w="5000"/>
        <w:tblLayout w:type="fixed"/>
        <w:tblLook w:firstRow="0" w:lastRow="0" w:firstColumn="0" w:lastColumn="0" w:noHBand="0" w:noVBand="0" w:val="0000"/>
      </w:tblPr>
      <w:tblGrid>
        <w:gridCol w:w="7920"/>
      </w:tblGrid>
      <w:tr>
        <w:tc>
          <w:tcPr/>
          <w:bookmarkStart w:id="219" w:name="fig-quintile-burden"/>
          <w:p>
            <w:pPr>
              <w:pStyle w:val="Compact"/>
              <w:jc w:val="center"/>
            </w:pPr>
            <w:r>
              <w:drawing>
                <wp:inline>
                  <wp:extent cx="5334000" cy="3810000"/>
                  <wp:effectExtent b="0" l="0" r="0" t="0"/>
                  <wp:docPr descr="" title="" id="217" name="Picture"/>
                  <a:graphic>
                    <a:graphicData uri="http://schemas.openxmlformats.org/drawingml/2006/picture">
                      <pic:pic>
                        <pic:nvPicPr>
                          <pic:cNvPr descr="07-distributional_files/figure-docx/fig-quintile-burden-output-1.png" id="218" name="Picture"/>
                          <pic:cNvPicPr>
                            <a:picLocks noChangeArrowheads="1" noChangeAspect="1"/>
                          </pic:cNvPicPr>
                        </pic:nvPicPr>
                        <pic:blipFill>
                          <a:blip r:embed="rId216"/>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9.1: Electricity expenditure as a share of total household income, by income quintile. Lower-income households bear a disproportionately higher energy burden.</w:t>
            </w:r>
          </w:p>
          <w:bookmarkEnd w:id="219"/>
        </w:tc>
      </w:tr>
    </w:tbl>
    <w:p>
      <w:pPr>
        <w:pStyle w:val="BodyText"/>
      </w:pPr>
      <w:hyperlink w:anchor="fig-quintile-burden">
        <w:r>
          <w:rPr>
            <w:rStyle w:val="Hyperlink"/>
          </w:rPr>
          <w:t xml:space="preserve">Figure 9.1</w:t>
        </w:r>
      </w:hyperlink>
      <w:r>
        <w:t xml:space="preserve"> </w:t>
      </w:r>
      <w:r>
        <w:t xml:space="preserve">shows the expected regressive pattern: Q1 households devote the largest share of income to electricity despite lower absolute consumption.</w:t>
      </w:r>
    </w:p>
    <w:p>
      <w:pPr>
        <w:pStyle w:val="BodyText"/>
      </w:pPr>
      <w:r>
        <w:t xml:space="preserve">If transition delivers lower costs, low-income households gain proportionally most; if it requires temporary tariff increases, the burden falls hardest on them. Tariff design must account for this.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20" name="Picture"/>
                  <a:graphic>
                    <a:graphicData uri="http://schemas.openxmlformats.org/drawingml/2006/picture">
                      <pic:pic>
                        <pic:nvPicPr>
                          <pic:cNvPr descr="C:\Users\LucasSempe\AppData\Local\Programs\Quarto\share\formats\docx\important.png" id="221"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The poorest 20% of households devote a far larger share of income to electricity than the richest 20%. Any transition policy that raises tariffs, even temporarily during the investment phase, will hit low-income households hardest unless accompanied by lifeline tariff blocks and targeted cash transfers.</w:t>
            </w:r>
          </w:p>
        </w:tc>
      </w:tr>
    </w:tbl>
    <w:bookmarkEnd w:id="222"/>
    <w:bookmarkStart w:id="228" w:name="gender-analysis"/>
    <w:p>
      <w:pPr>
        <w:pStyle w:val="Heading2"/>
      </w:pPr>
      <w:r>
        <w:t xml:space="preserve">9.3 Gender Analysis</w:t>
      </w:r>
    </w:p>
    <w:p>
      <w:pPr>
        <w:pStyle w:val="FirstParagraph"/>
      </w:pPr>
      <w:r>
        <w:t xml:space="preserve">Female-headed households in SIDS often have lower incomes and primary responsibility for energy decisions. HIES 2019 allows disaggregation by headship gender.</w:t>
      </w:r>
    </w:p>
    <w:tbl>
      <w:tblPr>
        <w:tblStyle w:val="Table"/>
        <w:tblW w:type="pct" w:w="5000"/>
        <w:tblLayout w:type="fixed"/>
        <w:tblLook w:firstRow="0" w:lastRow="0" w:firstColumn="0" w:lastColumn="0" w:noHBand="0" w:noVBand="0" w:val="0000"/>
      </w:tblPr>
      <w:tblGrid>
        <w:gridCol w:w="7920"/>
      </w:tblGrid>
      <w:tr>
        <w:tc>
          <w:tcPr/>
          <w:bookmarkStart w:id="226" w:name="fig-gender"/>
          <w:p>
            <w:pPr>
              <w:pStyle w:val="Compact"/>
              <w:jc w:val="center"/>
            </w:pPr>
            <w:r>
              <w:drawing>
                <wp:inline>
                  <wp:extent cx="5334000" cy="3810000"/>
                  <wp:effectExtent b="0" l="0" r="0" t="0"/>
                  <wp:docPr descr="" title="" id="224" name="Picture"/>
                  <a:graphic>
                    <a:graphicData uri="http://schemas.openxmlformats.org/drawingml/2006/picture">
                      <pic:pic>
                        <pic:nvPicPr>
                          <pic:cNvPr descr="07-distributional_files/figure-docx/fig-gender-output-1.png" id="225" name="Picture"/>
                          <pic:cNvPicPr>
                            <a:picLocks noChangeArrowheads="1" noChangeAspect="1"/>
                          </pic:cNvPicPr>
                        </pic:nvPicPr>
                        <pic:blipFill>
                          <a:blip r:embed="rId223"/>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9.2: Energy burden comparison between male-headed and female-headed households.</w:t>
            </w:r>
          </w:p>
          <w:bookmarkEnd w:id="226"/>
        </w:tc>
      </w:tr>
    </w:tbl>
    <w:p>
      <w:pPr>
        <w:pStyle w:val="BodyText"/>
      </w:pPr>
      <w:hyperlink w:anchor="fig-gender">
        <w:r>
          <w:rPr>
            <w:rStyle w:val="Hyperlink"/>
          </w:rPr>
          <w:t xml:space="preserve">Figure 9.2</w:t>
        </w:r>
      </w:hyperlink>
      <w:r>
        <w:t xml:space="preserve"> </w:t>
      </w:r>
      <w:r>
        <w:t xml:space="preserve">compares burden and energy poverty rates. Differences may reflect income, household size, and dwelling characteristics. The 10% threshold follows Boardman (1991) and Hills (2012)</w:t>
      </w:r>
      <w:r>
        <w:rPr>
          <w:rStyle w:val="FootnoteReference"/>
        </w:rPr>
        <w:footnoteReference w:id="227"/>
      </w:r>
      <w:r>
        <w:t xml:space="preserve">.</w:t>
      </w:r>
    </w:p>
    <w:bookmarkEnd w:id="228"/>
    <w:bookmarkStart w:id="233" w:name="geographic-distribution"/>
    <w:p>
      <w:pPr>
        <w:pStyle w:val="Heading2"/>
      </w:pPr>
      <w:r>
        <w:t xml:space="preserve">9.4 Geographic Distribution</w:t>
      </w:r>
    </w:p>
    <w:p>
      <w:pPr>
        <w:pStyle w:val="FirstParagraph"/>
      </w:pPr>
      <w:r>
        <w:t xml:space="preserve">Greater Malé benefits from economies of scale and a diversified economic base; outer atoll communities rely on small isolated generators with higher per-unit costs and more limited incomes.</w:t>
      </w:r>
    </w:p>
    <w:tbl>
      <w:tblPr>
        <w:tblStyle w:val="Table"/>
        <w:tblW w:type="pct" w:w="5000"/>
        <w:tblLayout w:type="fixed"/>
        <w:tblLook w:firstRow="0" w:lastRow="0" w:firstColumn="0" w:lastColumn="0" w:noHBand="0" w:noVBand="0" w:val="0000"/>
      </w:tblPr>
      <w:tblGrid>
        <w:gridCol w:w="7920"/>
      </w:tblGrid>
      <w:tr>
        <w:tc>
          <w:tcPr/>
          <w:bookmarkStart w:id="232" w:name="fig-geography-dist"/>
          <w:p>
            <w:pPr>
              <w:pStyle w:val="Compact"/>
              <w:jc w:val="center"/>
            </w:pPr>
            <w:r>
              <w:drawing>
                <wp:inline>
                  <wp:extent cx="5334000" cy="3810000"/>
                  <wp:effectExtent b="0" l="0" r="0" t="0"/>
                  <wp:docPr descr="" title="" id="230" name="Picture"/>
                  <a:graphic>
                    <a:graphicData uri="http://schemas.openxmlformats.org/drawingml/2006/picture">
                      <pic:pic>
                        <pic:nvPicPr>
                          <pic:cNvPr descr="07-distributional_files/figure-docx/fig-geography-dist-output-1.png" id="231" name="Picture"/>
                          <pic:cNvPicPr>
                            <a:picLocks noChangeArrowheads="1" noChangeAspect="1"/>
                          </pic:cNvPicPr>
                        </pic:nvPicPr>
                        <pic:blipFill>
                          <a:blip r:embed="rId229"/>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9.3: Electricity burden and expenditure patterns across Malé, urban outer, and rural outer island households.</w:t>
            </w:r>
          </w:p>
          <w:bookmarkEnd w:id="232"/>
        </w:tc>
      </w:tr>
    </w:tbl>
    <w:p>
      <w:pPr>
        <w:pStyle w:val="BodyText"/>
      </w:pPr>
      <w:hyperlink w:anchor="fig-geography-dist">
        <w:r>
          <w:rPr>
            <w:rStyle w:val="Hyperlink"/>
          </w:rPr>
          <w:t xml:space="preserve">Figure 9.3</w:t>
        </w:r>
      </w:hyperlink>
      <w:r>
        <w:t xml:space="preserve"> </w:t>
      </w:r>
      <w:r>
        <w:t xml:space="preserve">illustrates the geographic burden. Outer atoll households face both higher costs and lower incomes. Centralised scenarios (S2) primarily benefit Malé; distributed renewables (S4) directly target the highest-cost islands. The pathway choice affects not just aggregate efficiency but spatial equity.</w:t>
      </w:r>
    </w:p>
    <w:bookmarkEnd w:id="233"/>
    <w:bookmarkStart w:id="238" w:name="scenario-specific-tariff-impacts"/>
    <w:p>
      <w:pPr>
        <w:pStyle w:val="Heading2"/>
      </w:pPr>
      <w:r>
        <w:t xml:space="preserve">9.5 Scenario-Specific Tariff Impacts</w:t>
      </w:r>
    </w:p>
    <w:p>
      <w:pPr>
        <w:pStyle w:val="FirstParagraph"/>
      </w:pPr>
      <w:r>
        <w:t xml:space="preserve">Distributional consequences depend on tariff trajectories. Capital-intensive pathways may require temporary increases; rapid diesel displacement may deliver reductions even during investment.</w:t>
      </w:r>
    </w:p>
    <w:tbl>
      <w:tblPr>
        <w:tblStyle w:val="Table"/>
        <w:tblW w:type="pct" w:w="5000"/>
        <w:tblLayout w:type="fixed"/>
        <w:tblLook w:firstRow="0" w:lastRow="0" w:firstColumn="0" w:lastColumn="0" w:noHBand="0" w:noVBand="0" w:val="0000"/>
      </w:tblPr>
      <w:tblGrid>
        <w:gridCol w:w="7920"/>
      </w:tblGrid>
      <w:tr>
        <w:tc>
          <w:tcPr/>
          <w:bookmarkStart w:id="237" w:name="fig-tariff-impact"/>
          <w:p>
            <w:pPr>
              <w:pStyle w:val="Compact"/>
              <w:jc w:val="center"/>
            </w:pPr>
            <w:r>
              <w:drawing>
                <wp:inline>
                  <wp:extent cx="5334000" cy="3810000"/>
                  <wp:effectExtent b="0" l="0" r="0" t="0"/>
                  <wp:docPr descr="" title="" id="235" name="Picture"/>
                  <a:graphic>
                    <a:graphicData uri="http://schemas.openxmlformats.org/drawingml/2006/picture">
                      <pic:pic>
                        <pic:nvPicPr>
                          <pic:cNvPr descr="07-distributional_files/figure-docx/fig-tariff-impact-output-1.png" id="236" name="Picture"/>
                          <pic:cNvPicPr>
                            <a:picLocks noChangeArrowheads="1" noChangeAspect="1"/>
                          </pic:cNvPicPr>
                        </pic:nvPicPr>
                        <pic:blipFill>
                          <a:blip r:embed="rId234"/>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9.4: Projected impact of each scenario on household electricity tariffs and monthly bills.</w:t>
            </w:r>
          </w:p>
          <w:bookmarkEnd w:id="237"/>
        </w:tc>
      </w:tr>
    </w:tbl>
    <w:p>
      <w:pPr>
        <w:pStyle w:val="BodyText"/>
      </w:pPr>
      <w:hyperlink w:anchor="fig-tariff-impact">
        <w:r>
          <w:rPr>
            <w:rStyle w:val="Hyperlink"/>
          </w:rPr>
          <w:t xml:space="preserve">Figure 9.4</w:t>
        </w:r>
      </w:hyperlink>
      <w:r>
        <w:t xml:space="preserve"> </w:t>
      </w:r>
      <w:r>
        <w:t xml:space="preserve">shows projected percentage changes. Negative = tariff reduction (households pay less than under diesel). High-RE scenarios deliver reductions because fuel savings exceed amortised capital.</w:t>
      </w:r>
    </w:p>
    <w:bookmarkEnd w:id="238"/>
    <w:bookmarkStart w:id="239" w:name="energy-poverty-assessment"/>
    <w:p>
      <w:pPr>
        <w:pStyle w:val="Heading2"/>
      </w:pPr>
      <w:r>
        <w:t xml:space="preserve">9.6 Energy Poverty Assessment</w:t>
      </w:r>
    </w:p>
    <w:p>
      <w:pPr>
        <w:pStyle w:val="FirstParagraph"/>
      </w:pPr>
      <w:r>
        <w:t xml:space="preserve">Energy poverty (10% threshold per Boardman 1991): rate is 0.0%. Poverty clusters among low-income quintiles, female-headed households, and outer atolls.</w:t>
      </w:r>
    </w:p>
    <w:bookmarkEnd w:id="239"/>
    <w:bookmarkStart w:id="240" w:name="progressivity-the-suits-index"/>
    <w:p>
      <w:pPr>
        <w:pStyle w:val="Heading2"/>
      </w:pPr>
      <w:r>
        <w:t xml:space="preserve">9.7 Progressivity: The Suits Index</w:t>
      </w:r>
    </w:p>
    <w:p>
      <w:pPr>
        <w:pStyle w:val="FirstParagraph"/>
      </w:pPr>
      <w:r>
        <w:t xml:space="preserve">The</w:t>
      </w:r>
      <w:r>
        <w:t xml:space="preserve"> </w:t>
      </w:r>
      <w:r>
        <w:rPr>
          <w:b/>
          <w:bCs/>
        </w:rPr>
        <w:t xml:space="preserve">Suits Index</w:t>
      </w:r>
      <w:r>
        <w:t xml:space="preserve"> </w:t>
      </w:r>
      <w:r>
        <w:t xml:space="preserve">— analogous to Gini for tariff burdens — ranges from −1 (regressive) through 0 (proportional) to +1 (progressive). Current index: 0.000 — confirming regressivity. Tariff reforms that move the index toward zero improve distributional equity.</w:t>
      </w:r>
    </w:p>
    <w:bookmarkEnd w:id="240"/>
    <w:bookmarkStart w:id="242" w:name="Xa28e44883ec3312af244cb8aa8837a921d4b54f"/>
    <w:p>
      <w:pPr>
        <w:pStyle w:val="Heading2"/>
      </w:pPr>
      <w:r>
        <w:t xml:space="preserve">9.8 Policy Implications for Equitable Transition</w:t>
      </w:r>
    </w:p>
    <w:p>
      <w:pPr>
        <w:pStyle w:val="FirstParagraph"/>
      </w:pPr>
      <w:r>
        <w:t xml:space="preserve">The status quo is regressive, and a poorly designed transition would deepen rather than correct this.</w:t>
      </w:r>
    </w:p>
    <w:bookmarkStart w:id="241" w:name="equitable-transition-design"/>
    <w:p>
      <w:pPr>
        <w:pStyle w:val="Heading4"/>
      </w:pPr>
      <w:r>
        <w:t xml:space="preserve">9.8.0.1 Equitable Transition Design</w:t>
      </w:r>
    </w:p>
    <w:bookmarkEnd w:id="241"/>
    <w:p>
      <w:pPr>
        <w:pStyle w:val="FirstParagraph"/>
      </w:pPr>
      <w:r>
        <w:rPr>
          <w:b/>
          <w:bCs/>
        </w:rPr>
        <w:t xml:space="preserve">Lifeline tariff blocks:</w:t>
      </w:r>
      <w:r>
        <w:t xml:space="preserve"> </w:t>
      </w:r>
      <w:r>
        <w:t xml:space="preserve">First ~100 kWh priced at or below current rates; higher blocks recover capital. Low-income households, who consume less, are effectively shielded.</w:t>
      </w:r>
    </w:p>
    <w:p>
      <w:pPr>
        <w:pStyle w:val="BodyText"/>
      </w:pPr>
      <w:r>
        <w:rPr>
          <w:b/>
          <w:bCs/>
        </w:rPr>
        <w:t xml:space="preserve">Targeted transfers:</w:t>
      </w:r>
      <w:r>
        <w:t xml:space="preserve"> </w:t>
      </w:r>
      <w:r>
        <w:t xml:space="preserve">Cash payments to identified low-income households during investment phase preserve price signals while protecting welfare. HIES microdata enable efficient targeting.</w:t>
      </w:r>
    </w:p>
    <w:p>
      <w:pPr>
        <w:pStyle w:val="BodyText"/>
      </w:pPr>
      <w:r>
        <w:rPr>
          <w:b/>
          <w:bCs/>
        </w:rPr>
        <w:t xml:space="preserve">Cross-subsidisation:</w:t>
      </w:r>
      <w:r>
        <w:t xml:space="preserve"> </w:t>
      </w:r>
      <w:r>
        <w:t xml:space="preserve">Tourism/commercial tariffs set above cost; residential below. The high-revenue resort sector can finance equitable transition.</w:t>
      </w:r>
    </w:p>
    <w:p>
      <w:pPr>
        <w:pStyle w:val="BodyText"/>
      </w:pPr>
      <w:r>
        <w:rPr>
          <w:b/>
          <w:bCs/>
        </w:rPr>
        <w:t xml:space="preserve">Connection cost subsidies:</w:t>
      </w:r>
      <w:r>
        <w:t xml:space="preserve"> </w:t>
      </w:r>
      <w:r>
        <w:t xml:space="preserve">~$200/HH for ~100k households. Government/donor financing prevents a two-tier system where poorer households remain on expensive diesel.</w:t>
      </w:r>
    </w:p>
    <w:bookmarkEnd w:id="242"/>
    <w:bookmarkEnd w:id="243"/>
    <w:bookmarkStart w:id="262" w:name="sec-financing"/>
    <w:p>
      <w:pPr>
        <w:pStyle w:val="Heading1"/>
      </w:pPr>
      <w:r>
        <w:t xml:space="preserve">10. Financing</w:t>
      </w:r>
    </w:p>
    <w:p>
      <w:pPr>
        <w:pStyle w:val="FirstParagraph"/>
      </w:pPr>
      <w:r>
        <w:t xml:space="preserve">With GDP of approximately $6 billion and sovereign debt already elevated, the Maldives cannot finance multi-billion-dollar infrastructure from domestic revenues alone. Concessional ADB SIDS lending terms (1% interest, 40-year maturity, 10-year grace) carry a grant element of ~83%, which transforms capital-intensive pathways from aspirational to fiscally manageable.</w:t>
      </w:r>
    </w:p>
    <w:bookmarkStart w:id="248" w:name="total-investment-requirements"/>
    <w:p>
      <w:pPr>
        <w:pStyle w:val="Heading2"/>
      </w:pPr>
      <w:r>
        <w:t xml:space="preserve">10.1 Total Investment Requirements</w:t>
      </w:r>
    </w:p>
    <w:p>
      <w:pPr>
        <w:pStyle w:val="FirstParagraph"/>
      </w:pPr>
      <w:r>
        <w:t xml:space="preserve">Investment varies widely: some pathways require concentrated front-loaded capital; others permit modular phasing.</w:t>
      </w:r>
    </w:p>
    <w:tbl>
      <w:tblPr>
        <w:tblStyle w:val="Table"/>
        <w:tblW w:type="pct" w:w="5000"/>
        <w:tblLayout w:type="fixed"/>
        <w:tblLook w:firstRow="0" w:lastRow="0" w:firstColumn="0" w:lastColumn="0" w:noHBand="0" w:noVBand="0" w:val="0000"/>
      </w:tblPr>
      <w:tblGrid>
        <w:gridCol w:w="7920"/>
      </w:tblGrid>
      <w:tr>
        <w:tc>
          <w:tcPr/>
          <w:bookmarkStart w:id="247" w:name="fig-capex-comparison"/>
          <w:p>
            <w:pPr>
              <w:pStyle w:val="Compact"/>
              <w:jc w:val="center"/>
            </w:pPr>
            <w:r>
              <w:drawing>
                <wp:inline>
                  <wp:extent cx="5334000" cy="3810000"/>
                  <wp:effectExtent b="0" l="0" r="0" t="0"/>
                  <wp:docPr descr="" title="" id="245" name="Picture"/>
                  <a:graphic>
                    <a:graphicData uri="http://schemas.openxmlformats.org/drawingml/2006/picture">
                      <pic:pic>
                        <pic:nvPicPr>
                          <pic:cNvPr descr="08-financing_files/figure-docx/fig-capex-comparison-output-1.png" id="246" name="Picture"/>
                          <pic:cNvPicPr>
                            <a:picLocks noChangeArrowheads="1" noChangeAspect="1"/>
                          </pic:cNvPicPr>
                        </pic:nvPicPr>
                        <pic:blipFill>
                          <a:blip r:embed="rId244"/>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10.1: Total nominal CAPEX by scenario. Full Integration has the highest upfront investment requirement; Islanded Green can be deployed incrementally.</w:t>
            </w:r>
          </w:p>
          <w:bookmarkEnd w:id="247"/>
        </w:tc>
      </w:tr>
    </w:tbl>
    <w:p>
      <w:pPr>
        <w:pStyle w:val="BodyText"/>
      </w:pPr>
      <w:hyperlink w:anchor="fig-capex-comparison">
        <w:r>
          <w:rPr>
            <w:rStyle w:val="Hyperlink"/>
          </w:rPr>
          <w:t xml:space="preserve">Figure 10.1</w:t>
        </w:r>
      </w:hyperlink>
      <w:r>
        <w:t xml:space="preserve"> </w:t>
      </w:r>
      <w:r>
        <w:t xml:space="preserve">shows S2 (Full Integration) commanding the highest CAPEX (submarine cable, converters, grid), while S4 (Islanded Green) requires far less (distributed solar-battery, no interconnection). S3, S5, S6, S7 fall between. Modular pathways deliver value from the first unit and scale with fiscal conditions.</w:t>
      </w:r>
    </w:p>
    <w:bookmarkEnd w:id="248"/>
    <w:bookmarkStart w:id="250" w:name="Xdd38b05f269e23c1530bc47410d8eae7627d4f2"/>
    <w:p>
      <w:pPr>
        <w:pStyle w:val="Heading2"/>
      </w:pPr>
      <w:r>
        <w:t xml:space="preserve">10.2 Financing Structure: Blended Concessional Finance</w:t>
      </w:r>
    </w:p>
    <w:p>
      <w:pPr>
        <w:pStyle w:val="FirstParagraph"/>
      </w:pPr>
      <w:r>
        <w:t xml:space="preserve">ADB SIDS terms (1% interest, 40-year maturity, 10-year grace)</w:t>
      </w:r>
      <w:r>
        <w:rPr>
          <w:rStyle w:val="FootnoteReference"/>
        </w:rPr>
        <w:footnoteReference w:id="249"/>
      </w:r>
      <w:r>
        <w:t xml:space="preserve"> </w:t>
      </w:r>
      <w:r>
        <w:t xml:space="preserve">deliver a grant element of ~</w:t>
      </w:r>
      <w:r>
        <w:rPr>
          <w:b/>
          <w:bCs/>
        </w:rPr>
        <w:t xml:space="preserve">82.8%</w:t>
      </w:r>
      <w:r>
        <w:t xml:space="preserve">, far below commercial rates.</w:t>
      </w:r>
    </w:p>
    <w:p>
      <w:pPr>
        <w:pStyle w:val="BodyText"/>
      </w:pPr>
      <w:r>
        <w:t xml:space="preserve">For every dollar at ADB terms, the Maldives pays back far less than at commercial rates (11.6%), transforming capital-intensive pathways into viable investments.</w:t>
      </w:r>
    </w:p>
    <w:bookmarkEnd w:id="250"/>
    <w:bookmarkStart w:id="256" w:name="X97c93fbe303271dc2106badaaaff35487d8804f"/>
    <w:p>
      <w:pPr>
        <w:pStyle w:val="Heading2"/>
      </w:pPr>
      <w:r>
        <w:t xml:space="preserve">10.3 Fiscal Sustainability: Debt Service Burden</w:t>
      </w:r>
    </w:p>
    <w:p>
      <w:pPr>
        <w:pStyle w:val="FirstParagraph"/>
      </w:pPr>
      <w:r>
        <w:t xml:space="preserve">The IMF flags debt service above ~2% of GDP as a sustainability threshold</w:t>
      </w:r>
      <w:r>
        <w:rPr>
          <w:rStyle w:val="FootnoteReference"/>
        </w:rPr>
        <w:footnoteReference w:id="251"/>
      </w:r>
      <w:r>
        <w:t xml:space="preserve">.</w:t>
      </w:r>
    </w:p>
    <w:tbl>
      <w:tblPr>
        <w:tblStyle w:val="Table"/>
        <w:tblW w:type="pct" w:w="5000"/>
        <w:tblLayout w:type="fixed"/>
        <w:tblLook w:firstRow="0" w:lastRow="0" w:firstColumn="0" w:lastColumn="0" w:noHBand="0" w:noVBand="0" w:val="0000"/>
      </w:tblPr>
      <w:tblGrid>
        <w:gridCol w:w="7920"/>
      </w:tblGrid>
      <w:tr>
        <w:tc>
          <w:tcPr/>
          <w:bookmarkStart w:id="255" w:name="fig-debt-service"/>
          <w:p>
            <w:pPr>
              <w:pStyle w:val="Compact"/>
              <w:jc w:val="center"/>
            </w:pPr>
            <w:r>
              <w:drawing>
                <wp:inline>
                  <wp:extent cx="5334000" cy="3810000"/>
                  <wp:effectExtent b="0" l="0" r="0" t="0"/>
                  <wp:docPr descr="" title="" id="253" name="Picture"/>
                  <a:graphic>
                    <a:graphicData uri="http://schemas.openxmlformats.org/drawingml/2006/picture">
                      <pic:pic>
                        <pic:nvPicPr>
                          <pic:cNvPr descr="08-financing_files/figure-docx/fig-debt-service-output-1.png" id="254" name="Picture"/>
                          <pic:cNvPicPr>
                            <a:picLocks noChangeArrowheads="1" noChangeAspect="1"/>
                          </pic:cNvPicPr>
                        </pic:nvPicPr>
                        <pic:blipFill>
                          <a:blip r:embed="rId252"/>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10.2: Peak annual debt service as a percentage of GDP for each scenario.</w:t>
            </w:r>
          </w:p>
          <w:bookmarkEnd w:id="255"/>
        </w:tc>
      </w:tr>
    </w:tbl>
    <w:p>
      <w:pPr>
        <w:pStyle w:val="BodyText"/>
      </w:pPr>
      <w:hyperlink w:anchor="fig-debt-service">
        <w:r>
          <w:rPr>
            <w:rStyle w:val="Hyperlink"/>
          </w:rPr>
          <w:t xml:space="preserve">Figure 10.2</w:t>
        </w:r>
      </w:hyperlink>
      <w:r>
        <w:t xml:space="preserve"> </w:t>
      </w:r>
      <w:r>
        <w:t xml:space="preserve">shows peak debt service as % of GDP (red line = 2% threshold). Below the line = fiscally sustainable. The 10-year grace provides breathing room during construction.</w:t>
      </w:r>
    </w:p>
    <w:bookmarkEnd w:id="256"/>
    <w:bookmarkStart w:id="257" w:name="household-bill-impact"/>
    <w:p>
      <w:pPr>
        <w:pStyle w:val="Heading2"/>
      </w:pPr>
      <w:r>
        <w:t xml:space="preserve">10.4 Household Bill Impact</w:t>
      </w:r>
    </w:p>
    <w:p>
      <w:pPr>
        <w:pStyle w:val="FirstParagraph"/>
      </w:pPr>
      <w:r>
        <w:t xml:space="preserve">Projected annual household bills translate macro financing into micro affordability:</w:t>
      </w:r>
    </w:p>
    <w:p>
      <w:pPr>
        <w:pStyle w:val="BodyText"/>
      </w:pPr>
      <w:r>
        <w:t xml:space="preserve">Lower LCOE translates directly into lower bills. Average figures mask quintile variation (see</w:t>
      </w:r>
      <w:r>
        <w:t xml:space="preserve"> </w:t>
      </w:r>
      <w:hyperlink w:anchor="sec-distributional">
        <w:r>
          <w:rPr>
            <w:rStyle w:val="Hyperlink"/>
          </w:rPr>
          <w:t xml:space="preserve">Chapter 9</w:t>
        </w:r>
      </w:hyperlink>
      <w:r>
        <w:t xml:space="preserve">); lifeline blocks can substantially alter distributional incidence.</w:t>
      </w:r>
    </w:p>
    <w:bookmarkEnd w:id="257"/>
    <w:bookmarkStart w:id="261" w:name="subsidy-avoidance"/>
    <w:p>
      <w:pPr>
        <w:pStyle w:val="Heading2"/>
      </w:pPr>
      <w:r>
        <w:t xml:space="preserve">10.5 Subsidy Avoidance</w:t>
      </w:r>
    </w:p>
    <w:p>
      <w:pPr>
        <w:pStyle w:val="FirstParagraph"/>
      </w:pPr>
      <w:r>
        <w:t xml:space="preserve">Current subsidy: ~</w:t>
      </w:r>
      <w:r>
        <w:rPr>
          <w:b/>
          <w:bCs/>
        </w:rPr>
        <w:t xml:space="preserve">$0.15/kWh</w:t>
      </w:r>
      <w:r>
        <w:rPr>
          <w:rStyle w:val="FootnoteReference"/>
        </w:rPr>
        <w:footnoteReference w:id="258"/>
      </w:r>
      <w:r>
        <w:t xml:space="preserve">. At 2030 demand (1,459 GWh), this = ~</w:t>
      </w:r>
      <w:r>
        <w:rPr>
          <w:b/>
          <w:bCs/>
        </w:rPr>
        <w:t xml:space="preserve">$0M/yr</w:t>
      </w:r>
      <w:r>
        <w:t xml:space="preserve"> </w:t>
      </w:r>
      <w:r>
        <w:t xml:space="preserve">— a recurring drain that grows with demand and spikes with oil prices. Transition to lower-cost RE progressively eliminates this outlay, recovering fiscal space for health, education, or adaptation.</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9" name="Picture"/>
                  <a:graphic>
                    <a:graphicData uri="http://schemas.openxmlformats.org/drawingml/2006/picture">
                      <pic:pic>
                        <pic:nvPicPr>
                          <pic:cNvPr descr="C:\Users\LucasSempe\AppData\Local\Programs\Quarto\share\formats\docx\tip.png" id="260" name="Picture"/>
                          <pic:cNvPicPr>
                            <a:picLocks noChangeArrowheads="1" noChangeAspect="1"/>
                          </pic:cNvPicPr>
                        </pic:nvPicPr>
                        <pic:blipFill>
                          <a:blip r:embed="rId17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Energy transition delivers two fiscal gains at once: (1) reduced fuel imports improve the trade balance and preserve foreign exchange reserves; (2) reduced electricity subsidies free domestic budget space for health, education, or climate adaptation.</w:t>
            </w:r>
          </w:p>
        </w:tc>
      </w:tr>
    </w:tbl>
    <w:bookmarkEnd w:id="261"/>
    <w:bookmarkEnd w:id="262"/>
    <w:bookmarkStart w:id="279" w:name="sec-implementation"/>
    <w:p>
      <w:pPr>
        <w:pStyle w:val="Heading1"/>
      </w:pPr>
      <w:r>
        <w:t xml:space="preserve">11. Implementation Roadmap</w:t>
      </w:r>
    </w:p>
    <w:p>
      <w:pPr>
        <w:pStyle w:val="FirstParagraph"/>
      </w:pPr>
      <w:r>
        <w:t xml:space="preserve">No single scenario should be adopted wholesale. The recommended approach borrows from several: deploy irreversible, high-certainty investments immediately (outer-island solar-battery, S4) and near-shore solar for Greater Malé (S5), while deferring the large, lumpy commitments (LNG terminal, India cable) until uncertainty has narrowed.</w:t>
      </w:r>
    </w:p>
    <w:bookmarkStart w:id="267" w:name="phased-strategy"/>
    <w:p>
      <w:pPr>
        <w:pStyle w:val="Heading2"/>
      </w:pPr>
      <w:r>
        <w:t xml:space="preserve">11.1 Phased Strategy</w:t>
      </w:r>
    </w:p>
    <w:p>
      <w:pPr>
        <w:pStyle w:val="FirstParagraph"/>
      </w:pPr>
      <w:r>
        <w:t xml:space="preserve">The strategy synthesises elements from multiple pathways to capture early fuel savings while preserving flexibility on larger commitments. Phasing reflects the Maldives’ absorptive capacity, constrained by construction-sector throughput, port logistics, and institutional bandwidth.</w:t>
      </w:r>
    </w:p>
    <w:tbl>
      <w:tblPr>
        <w:tblStyle w:val="Table"/>
        <w:tblW w:type="pct" w:w="5000"/>
        <w:tblLayout w:type="fixed"/>
        <w:tblLook w:firstRow="0" w:lastRow="0" w:firstColumn="0" w:lastColumn="0" w:noHBand="0" w:noVBand="0" w:val="0000"/>
      </w:tblPr>
      <w:tblGrid>
        <w:gridCol w:w="7920"/>
      </w:tblGrid>
      <w:tr>
        <w:tc>
          <w:tcPr/>
          <w:bookmarkStart w:id="266" w:name="fig-roadmap"/>
          <w:p>
            <w:pPr>
              <w:pStyle w:val="Compact"/>
              <w:jc w:val="center"/>
            </w:pPr>
            <w:r>
              <w:drawing>
                <wp:inline>
                  <wp:extent cx="5334000" cy="3810000"/>
                  <wp:effectExtent b="0" l="0" r="0" t="0"/>
                  <wp:docPr descr="" title="" id="264" name="Picture"/>
                  <a:graphic>
                    <a:graphicData uri="http://schemas.openxmlformats.org/drawingml/2006/picture">
                      <pic:pic>
                        <pic:nvPicPr>
                          <pic:cNvPr descr="09-implementation_files/figure-docx/fig-roadmap-output-1.png" id="265" name="Picture"/>
                          <pic:cNvPicPr>
                            <a:picLocks noChangeArrowheads="1" noChangeAspect="1"/>
                          </pic:cNvPicPr>
                        </pic:nvPicPr>
                        <pic:blipFill>
                          <a:blip r:embed="rId263"/>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11.1: Recommended phased implementation timeline. Colours indicate technology type; height indicates investment magnitude.</w:t>
            </w:r>
          </w:p>
          <w:bookmarkEnd w:id="266"/>
        </w:tc>
      </w:tr>
    </w:tbl>
    <w:p>
      <w:pPr>
        <w:pStyle w:val="BodyText"/>
      </w:pPr>
      <w:hyperlink w:anchor="fig-roadmap">
        <w:r>
          <w:rPr>
            <w:rStyle w:val="Hyperlink"/>
          </w:rPr>
          <w:t xml:space="preserve">Figure 11.1</w:t>
        </w:r>
      </w:hyperlink>
      <w:r>
        <w:t xml:space="preserve"> </w:t>
      </w:r>
      <w:r>
        <w:t xml:space="preserve">shows investment phasing by technology. Front-loading solar/battery captures immediate fuel savings and builds institutional experience; larger, uncertain investments (cable) are deferred for better information.</w:t>
      </w:r>
    </w:p>
    <w:bookmarkEnd w:id="267"/>
    <w:bookmarkStart w:id="269" w:name="phase-1-quick-wins-20262028"/>
    <w:p>
      <w:pPr>
        <w:pStyle w:val="Heading2"/>
      </w:pPr>
      <w:r>
        <w:t xml:space="preserve">11.2 Phase 1: Quick Wins (2026–2028)</w:t>
      </w:r>
    </w:p>
    <w:p>
      <w:pPr>
        <w:pStyle w:val="FirstParagraph"/>
      </w:pPr>
      <w:r>
        <w:t xml:space="preserve">Solar-battery deployment on ~170 outer islands where LCOE is roughly half that of diesel. The target is 80 MW/yr, starting with islands where the cost advantage is largest.</w:t>
      </w:r>
    </w:p>
    <w:p>
      <w:pPr>
        <w:pStyle w:val="BodyText"/>
      </w:pPr>
      <w:r>
        <w:t xml:space="preserve">In parallel: initiate EIAs for near-shore solar sites (Thilafushi, Gulhifalhu; 18–24 months typical)</w:t>
      </w:r>
      <w:r>
        <w:rPr>
          <w:rStyle w:val="FootnoteReference"/>
        </w:rPr>
        <w:footnoteReference w:id="268"/>
      </w:r>
      <w:r>
        <w:t xml:space="preserve"> </w:t>
      </w:r>
      <w:r>
        <w:t xml:space="preserve">and commission LNG terminal feasibility studies. These planning activities create option value for later phases.</w:t>
      </w:r>
    </w:p>
    <w:bookmarkEnd w:id="269"/>
    <w:bookmarkStart w:id="270" w:name="phase-2-scale-up-20292032"/>
    <w:p>
      <w:pPr>
        <w:pStyle w:val="Heading2"/>
      </w:pPr>
      <w:r>
        <w:t xml:space="preserve">11.3 Phase 2: Scale-Up (2029–2032)</w:t>
      </w:r>
    </w:p>
    <w:p>
      <w:pPr>
        <w:pStyle w:val="FirstParagraph"/>
      </w:pPr>
      <w:r>
        <w:t xml:space="preserve">Focus shifts to Greater Malé. ~104 MW of near-shore solar farms on uninhabited islands near the capital serve the population centre (~50% of demand).</w:t>
      </w:r>
    </w:p>
    <w:p>
      <w:pPr>
        <w:pStyle w:val="BodyText"/>
      </w:pPr>
      <w:r>
        <w:t xml:space="preserve">If feasibility studies support it: 140 MW LNG at Gulhifalhu as a bridge fuel. This implies a 30-year fuel lock-in — proceed only if RE alone cannot meet baseload with acceptable reliability.</w:t>
      </w:r>
    </w:p>
    <w:p>
      <w:pPr>
        <w:pStyle w:val="BodyText"/>
      </w:pPr>
      <w:r>
        <w:t xml:space="preserve">Remaining outer-island solar-battery completes during this phase. Monitoring of India cable technology continues, preserving the option for Phase 3.</w:t>
      </w:r>
    </w:p>
    <w:bookmarkEnd w:id="270"/>
    <w:bookmarkStart w:id="273" w:name="phase-3-optimisation-20332040"/>
    <w:p>
      <w:pPr>
        <w:pStyle w:val="Heading2"/>
      </w:pPr>
      <w:r>
        <w:t xml:space="preserve">11.4 Phase 3: Optimisation (2033–2040)</w:t>
      </w:r>
    </w:p>
    <w:p>
      <w:pPr>
        <w:pStyle w:val="FirstParagraph"/>
      </w:pPr>
      <w:r>
        <w:t xml:space="preserve">If floating solar has matured sufficiently: up to 195 MW floating solar + 80 MW wind, dramatically expanding RE beyond land-constrained islands.</w:t>
      </w:r>
    </w:p>
    <w:p>
      <w:pPr>
        <w:pStyle w:val="BodyText"/>
      </w:pPr>
      <w:r>
        <w:t xml:space="preserve">Critical India cable go/no-go ~2035. By then: decade of RE operational experience, updated cable cost projections, clearer geopolitical signals. The real options analysis (</w:t>
      </w:r>
      <w:hyperlink w:anchor="sec-real-options">
        <w:r>
          <w:rPr>
            <w:rStyle w:val="Hyperlink"/>
          </w:rPr>
          <w:t xml:space="preserve">Section 15.4</w:t>
        </w:r>
      </w:hyperlink>
      <w:r>
        <w:t xml:space="preserve">) shows that waiting value exceeds deferral cost.</w:t>
      </w:r>
    </w:p>
    <w:p>
      <w:pPr>
        <w:pStyle w:val="BodyText"/>
      </w:pPr>
      <w:r>
        <w:t xml:space="preserve">Battery replacement for Phase 1 systems (15-year lifetime</w:t>
      </w:r>
      <w:r>
        <w:rPr>
          <w:rStyle w:val="FootnoteReference"/>
        </w:rPr>
        <w:footnoteReference w:id="271"/>
      </w:r>
      <w:r>
        <w:t xml:space="preserve">) commences 2041–43. Plan from 2033; anticipate 18%/doubling cost reductions (Wright’s Law)</w:t>
      </w:r>
      <w:r>
        <w:rPr>
          <w:rStyle w:val="FootnoteReference"/>
        </w:rPr>
        <w:footnoteReference w:id="272"/>
      </w:r>
      <w:r>
        <w:t xml:space="preserve">. Target full cost recovery by 2040 with targeted social protection (</w:t>
      </w:r>
      <w:hyperlink w:anchor="sec-distributional">
        <w:r>
          <w:rPr>
            <w:rStyle w:val="Hyperlink"/>
          </w:rPr>
          <w:t xml:space="preserve">Chapter 9</w:t>
        </w:r>
      </w:hyperlink>
      <w:r>
        <w:t xml:space="preserve">).</w:t>
      </w:r>
    </w:p>
    <w:bookmarkEnd w:id="273"/>
    <w:bookmarkStart w:id="275" w:name="phase-4-maturation-20412056"/>
    <w:p>
      <w:pPr>
        <w:pStyle w:val="Heading2"/>
      </w:pPr>
      <w:r>
        <w:t xml:space="preserve">11.5 Phase 4: Maturation (2041–2056)</w:t>
      </w:r>
    </w:p>
    <w:p>
      <w:pPr>
        <w:pStyle w:val="FirstParagraph"/>
      </w:pPr>
      <w:r>
        <w:t xml:space="preserve">Maintenance, replacement cycles, adaptive management. Solar degradation (~0.5%/yr</w:t>
      </w:r>
      <w:r>
        <w:rPr>
          <w:rStyle w:val="FootnoteReference"/>
        </w:rPr>
        <w:footnoteReference w:id="274"/>
      </w:r>
      <w:r>
        <w:t xml:space="preserve">) means 7–15% capacity loss by this period; replacement decisions depend on prevailing costs.</w:t>
      </w:r>
    </w:p>
    <w:p>
      <w:pPr>
        <w:pStyle w:val="BodyText"/>
      </w:pPr>
      <w:r>
        <w:t xml:space="preserve">Demand-side management (smart grid, ToU pricing, efficiency standards) moderates growth and aligns consumption with solar profiles. If demand exceeds projections, deploy additional capacity or second cable/LNG as warranted.</w:t>
      </w:r>
    </w:p>
    <w:bookmarkEnd w:id="275"/>
    <w:bookmarkStart w:id="277" w:name="key-decision-points"/>
    <w:p>
      <w:pPr>
        <w:pStyle w:val="Heading2"/>
      </w:pPr>
      <w:r>
        <w:t xml:space="preserve">11.6 Key Decision Points</w:t>
      </w:r>
    </w:p>
    <w:p>
      <w:pPr>
        <w:pStyle w:val="FirstParagraph"/>
      </w:pPr>
      <w:r>
        <w:t xml:space="preserve">The roadmap centres on discrete decision points, deferring irreversible commitments until evidence is sufficient.</w:t>
      </w:r>
    </w:p>
    <w:tbl>
      <w:tblPr>
        <w:tblStyle w:val="Table"/>
        <w:tblW w:type="pct" w:w="5000"/>
        <w:tblLayout w:type="fixed"/>
        <w:tblLook w:firstRow="0" w:lastRow="0" w:firstColumn="0" w:lastColumn="0" w:noHBand="0" w:noVBand="0" w:val="0000"/>
      </w:tblPr>
      <w:tblGrid>
        <w:gridCol w:w="7920"/>
      </w:tblGrid>
      <w:tr>
        <w:tc>
          <w:tcPr/>
          <w:bookmarkStart w:id="276" w:name="tbl-decision-points"/>
          <w:p>
            <w:pPr>
              <w:jc w:val="center"/>
            </w:pPr>
            <w:pPr>
              <w:jc w:val="start"/>
              <w:spacing w:before="200"/>
              <w:pStyle w:val="ImageCaption"/>
            </w:pPr>
            <w:r>
              <w:t xml:space="preserve">Table 11.1: Critical decision points and their dependencies.</w:t>
            </w:r>
          </w:p>
          <w:tbl>
            <w:tblPr>
              <w:tblStyle w:val="Table"/>
              <w:tblW w:type="pct" w:w="5000"/>
              <w:tblLayout w:type="fixed"/>
              <w:tblLook w:firstRow="1" w:lastRow="0" w:firstColumn="0" w:lastColumn="0" w:noHBand="0" w:noVBand="0" w:val="0020"/>
            </w:tblPr>
            <w:tblGrid>
              <w:gridCol w:w="487"/>
              <w:gridCol w:w="2010"/>
              <w:gridCol w:w="3472"/>
              <w:gridCol w:w="1949"/>
            </w:tblGrid>
            <w:tr>
              <w:trPr>
                <w:tblHeader w:val="on"/>
              </w:trPr>
              <w:tc>
                <w:tcPr/>
                <w:p>
                  <w:pPr>
                    <w:pStyle w:val="Compact"/>
                    <w:jc w:val="right"/>
                    <w:jc w:val="center"/>
                  </w:pPr>
                  <w:r>
                    <w:t xml:space="preserve">Year</w:t>
                  </w:r>
                </w:p>
              </w:tc>
              <w:tc>
                <w:tcPr/>
                <w:p>
                  <w:pPr>
                    <w:pStyle w:val="Compact"/>
                    <w:jc w:val="left"/>
                    <w:jc w:val="center"/>
                  </w:pPr>
                  <w:r>
                    <w:t xml:space="preserve">Decision</w:t>
                  </w:r>
                </w:p>
              </w:tc>
              <w:tc>
                <w:tcPr/>
                <w:p>
                  <w:pPr>
                    <w:pStyle w:val="Compact"/>
                    <w:jc w:val="left"/>
                    <w:jc w:val="center"/>
                  </w:pPr>
                  <w:r>
                    <w:t xml:space="preserve">Key Dependency</w:t>
                  </w:r>
                </w:p>
              </w:tc>
              <w:tc>
                <w:tcPr/>
                <w:p>
                  <w:pPr>
                    <w:pStyle w:val="Compact"/>
                    <w:jc w:val="left"/>
                    <w:jc w:val="center"/>
                  </w:pPr>
                  <w:r>
                    <w:t xml:space="preserve">Reversibility</w:t>
                  </w:r>
                </w:p>
              </w:tc>
            </w:tr>
            <w:tr>
              <w:tc>
                <w:tcPr/>
                <w:p>
                  <w:pPr>
                    <w:pStyle w:val="Compact"/>
                    <w:jc w:val="right"/>
                    <w:jc w:val="center"/>
                  </w:pPr>
                  <w:r>
                    <w:t xml:space="preserve">2026</w:t>
                  </w:r>
                </w:p>
              </w:tc>
              <w:tc>
                <w:tcPr/>
                <w:p>
                  <w:pPr>
                    <w:pStyle w:val="Compact"/>
                    <w:jc w:val="left"/>
                    <w:jc w:val="center"/>
                  </w:pPr>
                  <w:r>
                    <w:t xml:space="preserve">Solar deployment ramp rate</w:t>
                  </w:r>
                </w:p>
              </w:tc>
              <w:tc>
                <w:tcPr/>
                <w:p>
                  <w:pPr>
                    <w:pStyle w:val="Compact"/>
                    <w:jc w:val="left"/>
                    <w:jc w:val="center"/>
                  </w:pPr>
                  <w:r>
                    <w:t xml:space="preserve">ADB/MDB financing commitment</w:t>
                  </w:r>
                </w:p>
              </w:tc>
              <w:tc>
                <w:tcPr/>
                <w:p>
                  <w:pPr>
                    <w:pStyle w:val="Compact"/>
                    <w:jc w:val="left"/>
                    <w:jc w:val="center"/>
                  </w:pPr>
                  <w:r>
                    <w:t xml:space="preserve">Low cost to adjust</w:t>
                  </w:r>
                </w:p>
              </w:tc>
            </w:tr>
            <w:tr>
              <w:tc>
                <w:tcPr/>
                <w:p>
                  <w:pPr>
                    <w:pStyle w:val="Compact"/>
                    <w:jc w:val="right"/>
                    <w:jc w:val="center"/>
                  </w:pPr>
                  <w:r>
                    <w:t xml:space="preserve">2027</w:t>
                  </w:r>
                </w:p>
              </w:tc>
              <w:tc>
                <w:tcPr/>
                <w:p>
                  <w:pPr>
                    <w:pStyle w:val="Compact"/>
                    <w:jc w:val="left"/>
                    <w:jc w:val="center"/>
                  </w:pPr>
                  <w:r>
                    <w:t xml:space="preserve">Near-shore solar site selection</w:t>
                  </w:r>
                </w:p>
              </w:tc>
              <w:tc>
                <w:tcPr/>
                <w:p>
                  <w:pPr>
                    <w:pStyle w:val="Compact"/>
                    <w:jc w:val="left"/>
                    <w:jc w:val="center"/>
                  </w:pPr>
                  <w:r>
                    <w:t xml:space="preserve">EIA completion; land tenure</w:t>
                  </w:r>
                </w:p>
              </w:tc>
              <w:tc>
                <w:tcPr/>
                <w:p>
                  <w:pPr>
                    <w:pStyle w:val="Compact"/>
                    <w:jc w:val="left"/>
                    <w:jc w:val="center"/>
                  </w:pPr>
                  <w:r>
                    <w:t xml:space="preserve">Moderate — site-specific</w:t>
                  </w:r>
                </w:p>
              </w:tc>
            </w:tr>
            <w:tr>
              <w:tc>
                <w:tcPr/>
                <w:p>
                  <w:pPr>
                    <w:pStyle w:val="Compact"/>
                    <w:jc w:val="right"/>
                    <w:jc w:val="center"/>
                  </w:pPr>
                  <w:r>
                    <w:t xml:space="preserve">2028</w:t>
                  </w:r>
                </w:p>
              </w:tc>
              <w:tc>
                <w:tcPr/>
                <w:p>
                  <w:pPr>
                    <w:pStyle w:val="Compact"/>
                    <w:jc w:val="left"/>
                    <w:jc w:val="center"/>
                  </w:pPr>
                  <w:r>
                    <w:t xml:space="preserve">LNG terminal commitment</w:t>
                  </w:r>
                </w:p>
              </w:tc>
              <w:tc>
                <w:tcPr/>
                <w:p>
                  <w:pPr>
                    <w:pStyle w:val="Compact"/>
                    <w:jc w:val="left"/>
                    <w:jc w:val="center"/>
                  </w:pPr>
                  <w:r>
                    <w:t xml:space="preserve">Gulhifalhu infrastructure readiness</w:t>
                  </w:r>
                </w:p>
              </w:tc>
              <w:tc>
                <w:tcPr/>
                <w:p>
                  <w:pPr>
                    <w:pStyle w:val="Compact"/>
                    <w:jc w:val="left"/>
                    <w:jc w:val="center"/>
                  </w:pPr>
                  <w:r>
                    <w:t xml:space="preserve">High — 30yr fuel lock-in</w:t>
                  </w:r>
                </w:p>
              </w:tc>
            </w:tr>
            <w:tr>
              <w:tc>
                <w:tcPr/>
                <w:p>
                  <w:pPr>
                    <w:pStyle w:val="Compact"/>
                    <w:jc w:val="right"/>
                    <w:jc w:val="center"/>
                  </w:pPr>
                  <w:r>
                    <w:t xml:space="preserve">2030</w:t>
                  </w:r>
                </w:p>
              </w:tc>
              <w:tc>
                <w:tcPr/>
                <w:p>
                  <w:pPr>
                    <w:pStyle w:val="Compact"/>
                    <w:jc w:val="left"/>
                    <w:jc w:val="center"/>
                  </w:pPr>
                  <w:r>
                    <w:t xml:space="preserve">India cable feasibility study</w:t>
                  </w:r>
                </w:p>
              </w:tc>
              <w:tc>
                <w:tcPr/>
                <w:p>
                  <w:pPr>
                    <w:pStyle w:val="Compact"/>
                    <w:jc w:val="left"/>
                    <w:jc w:val="center"/>
                  </w:pPr>
                  <w:r>
                    <w:t xml:space="preserve">Bilateral agreement status</w:t>
                  </w:r>
                </w:p>
              </w:tc>
              <w:tc>
                <w:tcPr/>
                <w:p>
                  <w:pPr>
                    <w:pStyle w:val="Compact"/>
                    <w:jc w:val="left"/>
                    <w:jc w:val="center"/>
                  </w:pPr>
                  <w:r>
                    <w:t xml:space="preserve">Low — study only</w:t>
                  </w:r>
                </w:p>
              </w:tc>
            </w:tr>
            <w:tr>
              <w:tc>
                <w:tcPr/>
                <w:p>
                  <w:pPr>
                    <w:pStyle w:val="Compact"/>
                    <w:jc w:val="right"/>
                    <w:jc w:val="center"/>
                  </w:pPr>
                  <w:r>
                    <w:t xml:space="preserve">2032</w:t>
                  </w:r>
                </w:p>
              </w:tc>
              <w:tc>
                <w:tcPr/>
                <w:p>
                  <w:pPr>
                    <w:pStyle w:val="Compact"/>
                    <w:jc w:val="left"/>
                    <w:jc w:val="center"/>
                  </w:pPr>
                  <w:r>
                    <w:t xml:space="preserve">Floating solar pilot</w:t>
                  </w:r>
                </w:p>
              </w:tc>
              <w:tc>
                <w:tcPr/>
                <w:p>
                  <w:pPr>
                    <w:pStyle w:val="Compact"/>
                    <w:jc w:val="left"/>
                    <w:jc w:val="center"/>
                  </w:pPr>
                  <w:r>
                    <w:t xml:space="preserve">Technology maturity; marine permits</w:t>
                  </w:r>
                </w:p>
              </w:tc>
              <w:tc>
                <w:tcPr/>
                <w:p>
                  <w:pPr>
                    <w:pStyle w:val="Compact"/>
                    <w:jc w:val="left"/>
                    <w:jc w:val="center"/>
                  </w:pPr>
                  <w:r>
                    <w:t xml:space="preserve">Moderate</w:t>
                  </w:r>
                </w:p>
              </w:tc>
            </w:tr>
            <w:tr>
              <w:tc>
                <w:tcPr/>
                <w:p>
                  <w:pPr>
                    <w:pStyle w:val="Compact"/>
                    <w:jc w:val="right"/>
                    <w:jc w:val="center"/>
                  </w:pPr>
                  <w:r>
                    <w:t xml:space="preserve">2031</w:t>
                  </w:r>
                </w:p>
              </w:tc>
              <w:tc>
                <w:tcPr/>
                <w:p>
                  <w:pPr>
                    <w:pStyle w:val="Compact"/>
                    <w:jc w:val="left"/>
                    <w:jc w:val="center"/>
                  </w:pPr>
                  <w:r>
                    <w:t xml:space="preserve">Wind energy deployment</w:t>
                  </w:r>
                </w:p>
              </w:tc>
              <w:tc>
                <w:tcPr/>
                <w:p>
                  <w:pPr>
                    <w:pStyle w:val="Compact"/>
                    <w:jc w:val="left"/>
                    <w:jc w:val="center"/>
                  </w:pPr>
                  <w:r>
                    <w:t xml:space="preserve">ADB Roadmap site studies; turbine procurement</w:t>
                  </w:r>
                </w:p>
              </w:tc>
              <w:tc>
                <w:tcPr/>
                <w:p>
                  <w:pPr>
                    <w:pStyle w:val="Compact"/>
                    <w:jc w:val="left"/>
                    <w:jc w:val="center"/>
                  </w:pPr>
                  <w:r>
                    <w:t xml:space="preserve">Moderate — phased over 3 years</w:t>
                  </w:r>
                </w:p>
              </w:tc>
            </w:tr>
            <w:tr>
              <w:tc>
                <w:tcPr/>
                <w:p>
                  <w:pPr>
                    <w:pStyle w:val="Compact"/>
                    <w:jc w:val="right"/>
                    <w:jc w:val="center"/>
                  </w:pPr>
                  <w:r>
                    <w:t xml:space="preserve">2035</w:t>
                  </w:r>
                </w:p>
              </w:tc>
              <w:tc>
                <w:tcPr/>
                <w:p>
                  <w:pPr>
                    <w:pStyle w:val="Compact"/>
                    <w:jc w:val="left"/>
                    <w:jc w:val="center"/>
                  </w:pPr>
                  <w:r>
                    <w:t xml:space="preserve">India cable go/no-go</w:t>
                  </w:r>
                </w:p>
              </w:tc>
              <w:tc>
                <w:tcPr/>
                <w:p>
                  <w:pPr>
                    <w:pStyle w:val="Compact"/>
                    <w:jc w:val="left"/>
                    <w:jc w:val="center"/>
                  </w:pPr>
                  <w:r>
                    <w:t xml:space="preserve">Cable cost trends; domestic RE performance; geopolitics</w:t>
                  </w:r>
                </w:p>
              </w:tc>
              <w:tc>
                <w:tcPr/>
                <w:p>
                  <w:pPr>
                    <w:pStyle w:val="Compact"/>
                    <w:jc w:val="left"/>
                    <w:jc w:val="center"/>
                  </w:pPr>
                  <w:r>
                    <w:t xml:space="preserve">Very high — $4.5B+ commitment</w:t>
                  </w:r>
                </w:p>
              </w:tc>
            </w:tr>
          </w:tbl>
          <w:bookmarkEnd w:id="276"/>
          <w:p/>
        </w:tc>
      </w:tr>
    </w:tbl>
    <w:p>
      <w:pPr>
        <w:pStyle w:val="BodyText"/>
      </w:pPr>
      <w:hyperlink w:anchor="tbl-decision-points">
        <w:r>
          <w:rPr>
            <w:rStyle w:val="Hyperlink"/>
          </w:rPr>
          <w:t xml:space="preserve">Table 11.1</w:t>
        </w:r>
      </w:hyperlink>
      <w:r>
        <w:t xml:space="preserve"> </w:t>
      </w:r>
      <w:r>
        <w:t xml:space="preserve">shows progressive escalation of commitment. Early decisions (2026 solar ramp) are highly adjustable; later decisions (2028 LNG, 2035 cable) are effectively irreversible. The reversibility column is a heuristic: low = proceed and adapt; very high = defer until evidence is strong.</w:t>
      </w:r>
    </w:p>
    <w:bookmarkEnd w:id="277"/>
    <w:bookmarkStart w:id="278" w:name="risk-mitigation"/>
    <w:p>
      <w:pPr>
        <w:pStyle w:val="Heading2"/>
      </w:pPr>
      <w:r>
        <w:t xml:space="preserve">11.7 Risk Mitigation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Risk</w:t>
            </w:r>
          </w:p>
        </w:tc>
        <w:tc>
          <w:tcPr/>
          <w:p>
            <w:pPr>
              <w:pStyle w:val="Compact"/>
            </w:pPr>
            <w:r>
              <w:t xml:space="preserve">Likelihood</w:t>
            </w:r>
          </w:p>
        </w:tc>
        <w:tc>
          <w:tcPr/>
          <w:p>
            <w:pPr>
              <w:pStyle w:val="Compact"/>
            </w:pPr>
            <w:r>
              <w:t xml:space="preserve">Impact</w:t>
            </w:r>
          </w:p>
        </w:tc>
        <w:tc>
          <w:tcPr/>
          <w:p>
            <w:pPr>
              <w:pStyle w:val="Compact"/>
            </w:pPr>
            <w:r>
              <w:t xml:space="preserve">Mitigation</w:t>
            </w:r>
          </w:p>
        </w:tc>
      </w:tr>
      <w:tr>
        <w:tc>
          <w:tcPr/>
          <w:p>
            <w:pPr>
              <w:pStyle w:val="Compact"/>
            </w:pPr>
            <w:r>
              <w:t xml:space="preserve">Solar/wind/battery cost increase</w:t>
            </w:r>
          </w:p>
        </w:tc>
        <w:tc>
          <w:tcPr/>
          <w:p>
            <w:pPr>
              <w:pStyle w:val="Compact"/>
            </w:pPr>
            <w:r>
              <w:t xml:space="preserve">Low</w:t>
            </w:r>
          </w:p>
        </w:tc>
        <w:tc>
          <w:tcPr/>
          <w:p>
            <w:pPr>
              <w:pStyle w:val="Compact"/>
            </w:pPr>
            <w:r>
              <w:t xml:space="preserve">Moderate</w:t>
            </w:r>
          </w:p>
        </w:tc>
        <w:tc>
          <w:tcPr/>
          <w:p>
            <w:pPr>
              <w:pStyle w:val="Compact"/>
            </w:pPr>
            <w:r>
              <w:t xml:space="preserve">Locked-in via PPA; learning curves favour decline</w:t>
            </w:r>
          </w:p>
        </w:tc>
      </w:tr>
      <w:tr>
        <w:tc>
          <w:tcPr/>
          <w:p>
            <w:pPr>
              <w:pStyle w:val="Compact"/>
            </w:pPr>
            <w:r>
              <w:t xml:space="preserve">Diesel price spike</w:t>
            </w:r>
          </w:p>
        </w:tc>
        <w:tc>
          <w:tcPr/>
          <w:p>
            <w:pPr>
              <w:pStyle w:val="Compact"/>
            </w:pPr>
            <w:r>
              <w:t xml:space="preserve">Medium</w:t>
            </w:r>
          </w:p>
        </w:tc>
        <w:tc>
          <w:tcPr/>
          <w:p>
            <w:pPr>
              <w:pStyle w:val="Compact"/>
            </w:pPr>
            <w:r>
              <w:t xml:space="preserve">High</w:t>
            </w:r>
          </w:p>
        </w:tc>
        <w:tc>
          <w:tcPr/>
          <w:p>
            <w:pPr>
              <w:pStyle w:val="Compact"/>
            </w:pPr>
            <w:r>
              <w:t xml:space="preserve">Accelerates transition ROI; increases BAU costs</w:t>
            </w:r>
          </w:p>
        </w:tc>
      </w:tr>
      <w:tr>
        <w:tc>
          <w:tcPr/>
          <w:p>
            <w:pPr>
              <w:pStyle w:val="Compact"/>
            </w:pPr>
            <w:r>
              <w:t xml:space="preserve">India cable outage</w:t>
            </w:r>
          </w:p>
        </w:tc>
        <w:tc>
          <w:tcPr/>
          <w:p>
            <w:pPr>
              <w:pStyle w:val="Compact"/>
            </w:pPr>
            <w:r>
              <w:t xml:space="preserve">Medium (λ=0.15/yr)</w:t>
            </w:r>
            <w:r>
              <w:rPr>
                <w:vertAlign w:val="superscript"/>
              </w:rPr>
              <w:t xml:space="preserve">a</w:t>
            </w:r>
          </w:p>
        </w:tc>
        <w:tc>
          <w:tcPr/>
          <w:p>
            <w:pPr>
              <w:pStyle w:val="Compact"/>
            </w:pPr>
            <w:r>
              <w:t xml:space="preserve">Very high</w:t>
            </w:r>
          </w:p>
        </w:tc>
        <w:tc>
          <w:tcPr/>
          <w:p>
            <w:pPr>
              <w:pStyle w:val="Compact"/>
            </w:pPr>
            <w:r>
              <w:t xml:space="preserve">Maintain 20% diesel backup; diversified supply</w:t>
            </w:r>
          </w:p>
        </w:tc>
      </w:tr>
      <w:tr>
        <w:tc>
          <w:tcPr/>
          <w:p>
            <w:pPr>
              <w:pStyle w:val="Compact"/>
            </w:pPr>
            <w:r>
              <w:t xml:space="preserve">Floating solar technology failure</w:t>
            </w:r>
          </w:p>
        </w:tc>
        <w:tc>
          <w:tcPr/>
          <w:p>
            <w:pPr>
              <w:pStyle w:val="Compact"/>
            </w:pPr>
            <w:r>
              <w:t xml:space="preserve">Medium</w:t>
            </w:r>
          </w:p>
        </w:tc>
        <w:tc>
          <w:tcPr/>
          <w:p>
            <w:pPr>
              <w:pStyle w:val="Compact"/>
            </w:pPr>
            <w:r>
              <w:t xml:space="preserve">Moderate</w:t>
            </w:r>
          </w:p>
        </w:tc>
        <w:tc>
          <w:tcPr/>
          <w:p>
            <w:pPr>
              <w:pStyle w:val="Compact"/>
            </w:pPr>
            <w:r>
              <w:t xml:space="preserve">Defer commitment; pilot first; fallback to conventional</w:t>
            </w:r>
          </w:p>
        </w:tc>
      </w:tr>
      <w:tr>
        <w:tc>
          <w:tcPr/>
          <w:p>
            <w:pPr>
              <w:pStyle w:val="Compact"/>
            </w:pPr>
            <w:r>
              <w:t xml:space="preserve">Climate damage to infrastructure</w:t>
            </w:r>
          </w:p>
        </w:tc>
        <w:tc>
          <w:tcPr/>
          <w:p>
            <w:pPr>
              <w:pStyle w:val="Compact"/>
            </w:pPr>
            <w:r>
              <w:t xml:space="preserve">Medium</w:t>
            </w:r>
          </w:p>
        </w:tc>
        <w:tc>
          <w:tcPr/>
          <w:p>
            <w:pPr>
              <w:pStyle w:val="Compact"/>
            </w:pPr>
            <w:r>
              <w:t xml:space="preserve">High</w:t>
            </w:r>
          </w:p>
        </w:tc>
        <w:tc>
          <w:tcPr/>
          <w:p>
            <w:pPr>
              <w:pStyle w:val="Compact"/>
            </w:pPr>
            <w:r>
              <w:t xml:space="preserve">7.5% adaptation premium in CAPEX</w:t>
            </w:r>
            <w:r>
              <w:rPr>
                <w:vertAlign w:val="superscript"/>
              </w:rPr>
              <w:t xml:space="preserve">b</w:t>
            </w:r>
            <w:r>
              <w:t xml:space="preserve">; resilient design</w:t>
            </w:r>
          </w:p>
        </w:tc>
      </w:tr>
      <w:tr>
        <w:tc>
          <w:tcPr/>
          <w:p>
            <w:pPr>
              <w:pStyle w:val="Compact"/>
            </w:pPr>
            <w:r>
              <w:t xml:space="preserve">Financing unavailability</w:t>
            </w:r>
          </w:p>
        </w:tc>
        <w:tc>
          <w:tcPr/>
          <w:p>
            <w:pPr>
              <w:pStyle w:val="Compact"/>
            </w:pPr>
            <w:r>
              <w:t xml:space="preserve">Low</w:t>
            </w:r>
          </w:p>
        </w:tc>
        <w:tc>
          <w:tcPr/>
          <w:p>
            <w:pPr>
              <w:pStyle w:val="Compact"/>
            </w:pPr>
            <w:r>
              <w:t xml:space="preserve">Very high</w:t>
            </w:r>
          </w:p>
        </w:tc>
        <w:tc>
          <w:tcPr/>
          <w:p>
            <w:pPr>
              <w:pStyle w:val="Compact"/>
            </w:pPr>
            <w:r>
              <w:t xml:space="preserve">Multiple MDB pipelines; grant element 82.8% with ADB SIDS terms</w:t>
            </w:r>
            <w:r>
              <w:rPr>
                <w:vertAlign w:val="superscript"/>
              </w:rPr>
              <w:t xml:space="preserve">c</w:t>
            </w:r>
          </w:p>
        </w:tc>
      </w:tr>
      <w:tr>
        <w:tc>
          <w:tcPr/>
          <w:p>
            <w:pPr>
              <w:pStyle w:val="Compact"/>
            </w:pPr>
            <w:r>
              <w:t xml:space="preserve">Subsidy reform political resistance</w:t>
            </w:r>
          </w:p>
        </w:tc>
        <w:tc>
          <w:tcPr/>
          <w:p>
            <w:pPr>
              <w:pStyle w:val="Compact"/>
            </w:pPr>
            <w:r>
              <w:t xml:space="preserve">High</w:t>
            </w:r>
          </w:p>
        </w:tc>
        <w:tc>
          <w:tcPr/>
          <w:p>
            <w:pPr>
              <w:pStyle w:val="Compact"/>
            </w:pPr>
            <w:r>
              <w:t xml:space="preserve">Moderate</w:t>
            </w:r>
          </w:p>
        </w:tc>
        <w:tc>
          <w:tcPr/>
          <w:p>
            <w:pPr>
              <w:pStyle w:val="Compact"/>
            </w:pPr>
            <w:r>
              <w:t xml:space="preserve">Gradual phase-out 2030–2040; targeted protection for low-income</w:t>
            </w:r>
          </w:p>
        </w:tc>
      </w:tr>
    </w:tbl>
    <w:p>
      <w:pPr>
        <w:pStyle w:val="BodyText"/>
      </w:pPr>
      <w:r>
        <w:rPr>
          <w:vertAlign w:val="superscript"/>
        </w:rPr>
        <w:t xml:space="preserve">a</w:t>
      </w:r>
      <w:r>
        <w:t xml:space="preserve"> </w:t>
      </w:r>
      <w:r>
        <w:t xml:space="preserve">Based on NorNed and Basslink operational records; see</w:t>
      </w:r>
      <w:r>
        <w:t xml:space="preserve"> </w:t>
      </w:r>
      <w:hyperlink w:anchor="sec-s2">
        <w:r>
          <w:rPr>
            <w:rStyle w:val="Hyperlink"/>
          </w:rPr>
          <w:t xml:space="preserve">Section 5.3</w:t>
        </w:r>
      </w:hyperlink>
      <w:r>
        <w:t xml:space="preserve">.</w:t>
      </w:r>
      <w:r>
        <w:t xml:space="preserve"> </w:t>
      </w:r>
      <w:r>
        <w:rPr>
          <w:vertAlign w:val="superscript"/>
        </w:rPr>
        <w:t xml:space="preserve">b</w:t>
      </w:r>
      <w:r>
        <w:t xml:space="preserve"> </w:t>
      </w:r>
      <w:r>
        <w:t xml:space="preserve">Global Center on Adaptation (2025)</w:t>
      </w:r>
      <w:r>
        <w:t xml:space="preserve">; 5–15% range.</w:t>
      </w:r>
      <w:r>
        <w:t xml:space="preserve"> </w:t>
      </w:r>
      <w:r>
        <w:rPr>
          <w:vertAlign w:val="superscript"/>
        </w:rPr>
        <w:t xml:space="preserve">c</w:t>
      </w:r>
      <w:r>
        <w:t xml:space="preserve"> </w:t>
      </w:r>
      <w:r>
        <w:t xml:space="preserve">Asian Development Bank (2026)</w:t>
      </w:r>
      <w:r>
        <w:t xml:space="preserve">.</w:t>
      </w:r>
    </w:p>
    <w:p>
      <w:pPr>
        <w:pStyle w:val="BodyText"/>
      </w:pPr>
      <w:r>
        <w:t xml:space="preserve">The risks with the largest potential consequences (financing shortfall, cable outage) are also the least likely. The most probable risk (political resistance to subsidy reform) has manageable impact. A diesel price spike would actually</w:t>
      </w:r>
      <w:r>
        <w:t xml:space="preserve"> </w:t>
      </w:r>
      <w:r>
        <w:rPr>
          <w:i/>
          <w:iCs/>
        </w:rPr>
        <w:t xml:space="preserve">strengthen</w:t>
      </w:r>
      <w:r>
        <w:t xml:space="preserve"> </w:t>
      </w:r>
      <w:r>
        <w:t xml:space="preserve">the transition case. Climate damage warrants particular attention given the Maldives’ extreme physical vulnerability; distributed RE pathways (S4–S6) are inherently more resilient to localised damage than centralised alternatives.</w:t>
      </w:r>
    </w:p>
    <w:bookmarkEnd w:id="278"/>
    <w:bookmarkEnd w:id="279"/>
    <w:bookmarkStart w:id="298" w:name="sec-conclusions"/>
    <w:p>
      <w:pPr>
        <w:pStyle w:val="Heading1"/>
      </w:pPr>
      <w:r>
        <w:t xml:space="preserve">12. Conclusions &amp; Recommendations</w:t>
      </w:r>
    </w:p>
    <w:p>
      <w:pPr>
        <w:pStyle w:val="FirstParagraph"/>
      </w:pPr>
      <w:r>
        <w:t xml:space="preserve">Every test points the same way. CBA, Monte Carlo, multi-criteria scoring, distributional analysis, and financing review all confirm that the Maldives gains by transitioning from diesel. What remains is sequencing, financing, and political will.</w:t>
      </w:r>
    </w:p>
    <w:p>
      <w:pPr>
        <w:pStyle w:val="BodyText"/>
      </w:pPr>
      <w:r>
        <w:t xml:space="preserve">The findings align with the Government of Maldives’</w:t>
      </w:r>
      <w:r>
        <w:t xml:space="preserve"> </w:t>
      </w:r>
      <w:r>
        <w:rPr>
          <w:b/>
          <w:bCs/>
        </w:rPr>
        <w:t xml:space="preserve">Road Map for the Energy Sector 2024–2033</w:t>
      </w:r>
      <w:r>
        <w:t xml:space="preserve"> </w:t>
      </w:r>
      <w:r>
        <w:t xml:space="preserve">(2024)</w:t>
      </w:r>
      <w:r>
        <w:t xml:space="preserve">, which targets 33 per cent renewable energy by 2028 and identifies $1.3 billion in investment across 15 flagship interventions. The CBA confirms the Roadmap’s strategic direction: all transition pathways generate NPV savings of $10.3–13.8 billion. The recommendations below build on that framework with the quantitative evidence needed to prioritise and sequence investments.</w:t>
      </w:r>
    </w:p>
    <w:bookmarkStart w:id="281" w:name="summary-of-findings"/>
    <w:p>
      <w:pPr>
        <w:pStyle w:val="Heading2"/>
      </w:pPr>
      <w:r>
        <w:t xml:space="preserve">12.1 Summary of Findings</w:t>
      </w:r>
    </w:p>
    <w:p>
      <w:pPr>
        <w:pStyle w:val="FirstParagraph"/>
      </w:pPr>
      <w:r>
        <w:rPr>
          <w:b/>
          <w:bCs/>
        </w:rPr>
        <w:t xml:space="preserve">All six alternatives outperform diesel BAU by wide margins.</w:t>
      </w:r>
      <w:r>
        <w:t xml:space="preserve"> </w:t>
      </w:r>
      <w:r>
        <w:t xml:space="preserve">NPV savings range from $10.3 to $13.8 billion, BCRs from 2.9–12.4, and IRRs from 0–0 percent. These results hold across discount rates, time horizons, and stress tests.</w:t>
      </w:r>
    </w:p>
    <w:p>
      <w:pPr>
        <w:pStyle w:val="BodyText"/>
      </w:pPr>
      <w:r>
        <w:rPr>
          <w:b/>
          <w:bCs/>
        </w:rPr>
        <w:t xml:space="preserve">S6 — Maximum RE</w:t>
      </w:r>
      <w:r>
        <w:t xml:space="preserve"> </w:t>
      </w:r>
      <w:r>
        <w:t xml:space="preserve">delivers the highest NPV ($13.8B, BCR 9.1, IRR 36.5%). However, the optimal strategy is a phased approach that captures near-certain benefits first while preserving flexibility on uncertain components (</w:t>
      </w:r>
      <w:hyperlink w:anchor="sec-implementation">
        <w:r>
          <w:rPr>
            <w:rStyle w:val="Hyperlink"/>
          </w:rPr>
          <w:t xml:space="preserve">Chapter 11</w:t>
        </w:r>
      </w:hyperlink>
      <w:r>
        <w:t xml:space="preserve">).</w:t>
      </w:r>
    </w:p>
    <w:p>
      <w:pPr>
        <w:pStyle w:val="BodyText"/>
      </w:pPr>
      <w:r>
        <w:rPr>
          <w:b/>
          <w:bCs/>
        </w:rPr>
        <w:t xml:space="preserve">Robustness.</w:t>
      </w:r>
      <w:r>
        <w:t xml:space="preserve"> </w:t>
      </w:r>
      <w:r>
        <w:t xml:space="preserve">Monte Carlo with 48 parameters confirms every alternative beats BAU in &gt;100% of iterations, across discount rates (3–12%), horizons (20–50 years), and five MCA weight profiles.</w:t>
      </w:r>
    </w:p>
    <w:p>
      <w:pPr>
        <w:pStyle w:val="BodyText"/>
      </w:pPr>
      <w:r>
        <w:rPr>
          <w:b/>
          <w:bCs/>
        </w:rPr>
        <w:t xml:space="preserve">The India cable does not pay for itself on the margin.</w:t>
      </w:r>
      <w:r>
        <w:t xml:space="preserve"> </w:t>
      </w:r>
      <w:r>
        <w:t xml:space="preserve">Incremental BCR versus S3 National Grid: 0.78. Outage rate is 0.15/year, with repairs lasting months.</w:t>
      </w:r>
      <w:r>
        <w:rPr>
          <w:rStyle w:val="FootnoteReference"/>
        </w:rPr>
        <w:footnoteReference w:id="280"/>
      </w:r>
    </w:p>
    <w:p>
      <w:pPr>
        <w:pStyle w:val="BodyText"/>
      </w:pPr>
      <w:r>
        <w:rPr>
          <w:b/>
          <w:bCs/>
        </w:rPr>
        <w:t xml:space="preserve">Equity requires active design.</w:t>
      </w:r>
      <w:r>
        <w:t xml:space="preserve"> </w:t>
      </w:r>
      <w:r>
        <w:t xml:space="preserve">HIES 2019 shows lower-income households bear disproportionate energy burden.</w:t>
      </w:r>
    </w:p>
    <w:bookmarkEnd w:id="281"/>
    <w:bookmarkStart w:id="292" w:name="policy-recommendations"/>
    <w:p>
      <w:pPr>
        <w:pStyle w:val="Heading2"/>
      </w:pPr>
      <w:r>
        <w:t xml:space="preserve">12.2 Policy Recommendations</w:t>
      </w:r>
    </w:p>
    <w:p>
      <w:pPr>
        <w:pStyle w:val="FirstParagraph"/>
      </w:pPr>
      <w:r>
        <w:t xml:space="preserve">Six recommendations, ordered by priority and urgency:</w:t>
      </w:r>
    </w:p>
    <w:bookmarkStart w:id="282" w:name="X5d315b92fb20049cb58441ee20aabf46807ea49"/>
    <w:p>
      <w:pPr>
        <w:pStyle w:val="Heading4"/>
      </w:pPr>
      <w:r>
        <w:t xml:space="preserve">12.2.0.1 Recommendation 1: Commit to an Accelerated Outer-Island Solar-Battery Programme</w:t>
      </w:r>
    </w:p>
    <w:bookmarkEnd w:id="282"/>
    <w:p>
      <w:pPr>
        <w:pStyle w:val="FirstParagraph"/>
      </w:pPr>
      <w:r>
        <w:t xml:space="preserve">Deploy 80 MW/year of solar-battery across ~170 outer islands. Outer-island solar-battery LCOE is roughly half diesel’s. Each year of delay forgoes ~$350M in fuel savings. ADB SIDS terms (1% interest, 40-year maturity, 10-year grace)</w:t>
      </w:r>
      <w:r>
        <w:rPr>
          <w:rStyle w:val="FootnoteReference"/>
        </w:rPr>
        <w:footnoteReference w:id="283"/>
      </w:r>
      <w:r>
        <w:t xml:space="preserve"> </w:t>
      </w:r>
      <w:r>
        <w:t xml:space="preserve">yield ~83% grant element, making the ~$1.2B five-year programme manageable.</w:t>
      </w:r>
    </w:p>
    <w:bookmarkStart w:id="284" w:name="Xf77904a283c2dbe8d6b841dc0dad231bedde8d3"/>
    <w:p>
      <w:pPr>
        <w:pStyle w:val="Heading4"/>
      </w:pPr>
      <w:r>
        <w:t xml:space="preserve">12.2.0.2 Recommendation 2: Develop Near-Shore Solar for Greater Malé</w:t>
      </w:r>
    </w:p>
    <w:bookmarkEnd w:id="284"/>
    <w:p>
      <w:pPr>
        <w:pStyle w:val="FirstParagraph"/>
      </w:pPr>
      <w:r>
        <w:t xml:space="preserve">Greater Malé (half of national demand) has only ~34 MWp of rooftop potential.</w:t>
      </w:r>
      <w:r>
        <w:rPr>
          <w:rStyle w:val="FootnoteReference"/>
        </w:rPr>
        <w:footnoteReference w:id="285"/>
      </w:r>
      <w:r>
        <w:t xml:space="preserve"> </w:t>
      </w:r>
      <w:r>
        <w:t xml:space="preserve">The 104 MW near-shore solar strategy breaks this constraint via ground-mounted farms on Thilafushi, Gulhifalhu, Funadhoo, and Dhoonidhoo, connected by short submarine cables.</w:t>
      </w:r>
    </w:p>
    <w:p>
      <w:pPr>
        <w:pStyle w:val="BodyText"/>
      </w:pPr>
      <w:r>
        <w:t xml:space="preserve">EIAs and site preparation (18–24 months) should begin immediately. Critical enablers: land tenure (several sites currently used for waste/industry) and marine cable permitting. Construction in 2030–2033 would raise Greater Malé’s RE share from ~4% to ~25% with no international infrastructure.</w:t>
      </w:r>
    </w:p>
    <w:bookmarkStart w:id="286" w:name="Xf055635fc3b05ca351e9df020a56aa6aa21151f"/>
    <w:p>
      <w:pPr>
        <w:pStyle w:val="Heading4"/>
      </w:pPr>
      <w:r>
        <w:t xml:space="preserve">12.2.0.3 Recommendation 3: Pursue the Gulhifalhu LNG Terminal as a Transitional Bridge</w:t>
      </w:r>
    </w:p>
    <w:bookmarkEnd w:id="286"/>
    <w:p>
      <w:pPr>
        <w:pStyle w:val="FirstParagraph"/>
      </w:pPr>
      <w:r>
        <w:t xml:space="preserve">LNG achieves the fastest payback (6 years) and highest IRR (44.2%) — an attractive bridge for Greater Malé. A 140 MW Gulhifalhu terminal cuts emissions ~44% versus diesel while providing dispatchable capacity.</w:t>
      </w:r>
    </w:p>
    <w:p>
      <w:pPr>
        <w:pStyle w:val="BodyText"/>
      </w:pPr>
      <w:r>
        <w:t xml:space="preserve">Risk: LNG creates 30-year lock-in via supply agreements. Procurement must include binding RE ramp commitments, early termination options, and flexible utilisation clauses to prevent LNG from displacing (rather than bridging) renewables.</w:t>
      </w:r>
    </w:p>
    <w:bookmarkStart w:id="287" w:name="X15fd25a8d5c3b0c54236e5c4a7b9573dc2c1af5"/>
    <w:p>
      <w:pPr>
        <w:pStyle w:val="Heading4"/>
      </w:pPr>
      <w:r>
        <w:t xml:space="preserve">12.2.0.4 Recommendation 4: Defer the India Cable Decision</w:t>
      </w:r>
    </w:p>
    <w:bookmarkEnd w:id="287"/>
    <w:p>
      <w:pPr>
        <w:pStyle w:val="FirstParagraph"/>
      </w:pPr>
      <w:r>
        <w:t xml:space="preserve">Real options analysis</w:t>
      </w:r>
      <w:r>
        <w:t xml:space="preserve"> </w:t>
      </w:r>
      <w:r>
        <w:t xml:space="preserve">(Dixit &amp; Pindyck, 1994)</w:t>
      </w:r>
      <w:r>
        <w:t xml:space="preserve"> </w:t>
      </w:r>
      <w:r>
        <w:t xml:space="preserve">shows the option to wait has value. Three factors favour deferral: (1) battery costs declining at 18%/doubling</w:t>
      </w:r>
      <w:r>
        <w:rPr>
          <w:rStyle w:val="FootnoteReference"/>
        </w:rPr>
        <w:footnoteReference w:id="288"/>
      </w:r>
      <w:r>
        <w:t xml:space="preserve"> </w:t>
      </w:r>
      <w:r>
        <w:t xml:space="preserve">are improving domestic alternatives; (2) the cable’s incremental BCR versus S3 is &lt;1; (3) the $4.5B commitment cannot be recovered if bilateral relations or technology costs shift.</w:t>
      </w:r>
    </w:p>
    <w:p>
      <w:pPr>
        <w:pStyle w:val="BodyText"/>
      </w:pPr>
      <w:r>
        <w:t xml:space="preserve">Recommended approach: commission detailed feasibility (route survey, geotechnical, converter siting, commercial terms) now, defer investment 3–5 years. Go/no-go by ~2035, when a decade of RE performance data and updated cable costs will inform the decision.</w:t>
      </w:r>
    </w:p>
    <w:bookmarkStart w:id="289" w:name="X21edf38ebf33c513e7b8ce6210acb3f61628284"/>
    <w:p>
      <w:pPr>
        <w:pStyle w:val="Heading4"/>
      </w:pPr>
      <w:r>
        <w:t xml:space="preserve">12.2.0.5 Recommendation 5: Embed Equity in Transition Design</w:t>
      </w:r>
    </w:p>
    <w:bookmarkEnd w:id="289"/>
    <w:p>
      <w:pPr>
        <w:pStyle w:val="FirstParagraph"/>
      </w:pPr>
      <w:r>
        <w:t xml:space="preserve">Lower-income households bear disproportionate energy burden (negative Suits Index).</w:t>
      </w:r>
    </w:p>
    <w:p>
      <w:pPr>
        <w:pStyle w:val="BodyText"/>
      </w:pPr>
      <w:r>
        <w:t xml:space="preserve">Four instruments from the outset: (1) lifeline tariffs — first ~100 kWh affordable, cost recovery in upper blocks; (2) targeted cash transfers to lowest-quintile households, using HIES data; (3) government-financed connections (~$200/household × 100k households); (4) gradual 2030–2040 subsidy reform calibrated to RE-driven tariff reductions.</w:t>
      </w:r>
    </w:p>
    <w:bookmarkStart w:id="290" w:name="X96dd669fbce03af11a1e91de36f6954616faf62"/>
    <w:p>
      <w:pPr>
        <w:pStyle w:val="Heading4"/>
      </w:pPr>
      <w:r>
        <w:t xml:space="preserve">12.2.0.6 Recommendation 6: Reform Electricity Subsidies Gradually</w:t>
      </w:r>
    </w:p>
    <w:bookmarkEnd w:id="290"/>
    <w:p>
      <w:pPr>
        <w:pStyle w:val="FirstParagraph"/>
      </w:pPr>
      <w:r>
        <w:t xml:space="preserve">The government spends &gt;$200M/year on electricity subsidies</w:t>
      </w:r>
      <w:r>
        <w:rPr>
          <w:rStyle w:val="FootnoteReference"/>
        </w:rPr>
        <w:footnoteReference w:id="291"/>
      </w:r>
      <w:r>
        <w:t xml:space="preserve"> </w:t>
      </w:r>
      <w:r>
        <w:t xml:space="preserve">— a burden that is fiscally unsustainable and regressive. Phased reform (2030–2040) toward cost-reflective tariffs with targeted protection delivers a double dividend: improved trade balance and reduced budget burden.</w:t>
      </w:r>
    </w:p>
    <w:p>
      <w:pPr>
        <w:pStyle w:val="BodyText"/>
      </w:pPr>
      <w:r>
        <w:t xml:space="preserve">Political economy is the key risk. The sequence must ensure subsidy-removal tariff increases are offset by RE-driven cost reductions, making reform neutral or beneficial for most households.</w:t>
      </w:r>
    </w:p>
    <w:bookmarkEnd w:id="292"/>
    <w:bookmarkStart w:id="296" w:name="limitations-and-caveats"/>
    <w:p>
      <w:pPr>
        <w:pStyle w:val="Heading2"/>
      </w:pPr>
      <w:r>
        <w:t xml:space="preserve">12.3 Limitations and Caveats</w:t>
      </w:r>
    </w:p>
    <w:p>
      <w:pPr>
        <w:pStyle w:val="FirstParagraph"/>
      </w:pPr>
      <w:r>
        <w:t xml:space="preserve">The conclusions are robust across parameter ranges and methods, but limitations affect the precision of numerical estimates:</w:t>
      </w:r>
    </w:p>
    <w:p>
      <w:pPr>
        <w:pStyle w:val="BodyText"/>
      </w:pPr>
      <w:r>
        <w:rPr>
          <w:b/>
          <w:bCs/>
        </w:rPr>
        <w:t xml:space="preserve">Partial equilibrium.</w:t>
      </w:r>
      <w:r>
        <w:t xml:space="preserve"> </w:t>
      </w:r>
      <w:r>
        <w:t xml:space="preserve">GDP multipliers, employment effects, and improvements to the trade balance from reduced fuel imports are all excluded from the quantitative model.</w:t>
      </w:r>
    </w:p>
    <w:p>
      <w:pPr>
        <w:pStyle w:val="BodyText"/>
      </w:pPr>
      <w:r>
        <w:rPr>
          <w:b/>
          <w:bCs/>
        </w:rPr>
        <w:t xml:space="preserve">Resort sector.</w:t>
      </w:r>
      <w:r>
        <w:t xml:space="preserve"> </w:t>
      </w:r>
      <w:r>
        <w:t xml:space="preserve">Resorts operate ~1,050 GWh/year of captive diesel generation</w:t>
      </w:r>
      <w:r>
        <w:rPr>
          <w:rStyle w:val="FootnoteReference"/>
        </w:rPr>
        <w:footnoteReference w:id="293"/>
      </w:r>
      <w:r>
        <w:t xml:space="preserve"> </w:t>
      </w:r>
      <w:r>
        <w:t xml:space="preserve">— rivalling the utility — but are not modelled here. A comprehensive strategy would address resorts via mandates or incentives.</w:t>
      </w:r>
    </w:p>
    <w:p>
      <w:pPr>
        <w:pStyle w:val="BodyText"/>
      </w:pPr>
      <w:r>
        <w:rPr>
          <w:b/>
          <w:bCs/>
        </w:rPr>
        <w:t xml:space="preserve">MCA subjectivity.</w:t>
      </w:r>
      <w:r>
        <w:t xml:space="preserve"> </w:t>
      </w:r>
      <w:r>
        <w:t xml:space="preserve">Implementation feasibility, social equity, and climate resilience scores rely on expert judgement.</w:t>
      </w:r>
    </w:p>
    <w:p>
      <w:pPr>
        <w:pStyle w:val="BodyText"/>
      </w:pPr>
      <w:r>
        <w:rPr>
          <w:b/>
          <w:bCs/>
        </w:rPr>
        <w:t xml:space="preserve">Technology uncertainty.</w:t>
      </w:r>
      <w:r>
        <w:t xml:space="preserve"> </w:t>
      </w:r>
      <w:r>
        <w:t xml:space="preserve">Monte Carlo captures parametric uncertainty, not structural breakthroughs (solid-state batteries, perovskite cells). Such breakthroughs would likely favour transition but could shift scenario rankings unpredictably.</w:t>
      </w:r>
    </w:p>
    <w:p>
      <w:pPr>
        <w:pStyle w:val="BodyText"/>
      </w:pPr>
      <w:r>
        <w:rPr>
          <w:b/>
          <w:bCs/>
        </w:rPr>
        <w:t xml:space="preserve">Climate risk.</w:t>
      </w:r>
      <w:r>
        <w:t xml:space="preserve"> </w:t>
      </w:r>
      <w:r>
        <w:t xml:space="preserve">RCP 4.5/8.5 scenarios show 2–5% solar output reduction by 2050.</w:t>
      </w:r>
      <w:r>
        <w:rPr>
          <w:rStyle w:val="FootnoteReference"/>
        </w:rPr>
        <w:footnoteReference w:id="294"/>
      </w:r>
      <w:r>
        <w:t xml:space="preserve"> </w:t>
      </w:r>
      <w:r>
        <w:t xml:space="preserve">Extreme events (cyclones, storm surge) are treated via a 7.5% CAPEX premium</w:t>
      </w:r>
      <w:r>
        <w:rPr>
          <w:rStyle w:val="FootnoteReference"/>
        </w:rPr>
        <w:footnoteReference w:id="295"/>
      </w:r>
      <w:r>
        <w:t xml:space="preserve"> </w:t>
      </w:r>
      <w:r>
        <w:t xml:space="preserve">rather than explicit damage functions.</w:t>
      </w:r>
    </w:p>
    <w:bookmarkEnd w:id="296"/>
    <w:bookmarkStart w:id="297" w:name="next-steps"/>
    <w:p>
      <w:pPr>
        <w:pStyle w:val="Heading2"/>
      </w:pPr>
      <w:r>
        <w:t xml:space="preserve">12.4 Next Steps</w:t>
      </w:r>
    </w:p>
    <w:p>
      <w:pPr>
        <w:pStyle w:val="FirstParagraph"/>
      </w:pPr>
      <w:r>
        <w:rPr>
          <w:b/>
          <w:bCs/>
        </w:rPr>
        <w:t xml:space="preserve">Feasibility studies</w:t>
      </w:r>
      <w:r>
        <w:t xml:space="preserve"> </w:t>
      </w:r>
      <w:r>
        <w:t xml:space="preserve">for near-shore solar, Gulhifalhu LNG, and India cable route: geotechnical surveys, engineering design, EIAs, and commercial frameworks.</w:t>
      </w:r>
    </w:p>
    <w:p>
      <w:pPr>
        <w:pStyle w:val="BodyText"/>
      </w:pPr>
      <w:r>
        <w:rPr>
          <w:b/>
          <w:bCs/>
        </w:rPr>
        <w:t xml:space="preserve">Pilots.</w:t>
      </w:r>
      <w:r>
        <w:t xml:space="preserve"> </w:t>
      </w:r>
      <w:r>
        <w:t xml:space="preserve">A 1–5 MW floating solar pilot in Malé lagoon tests mooring, biofouling, and maintenance for S6. A wind pilot on an uninhabited atoll validates the 80 MW component. Cost is negligible relative to de-risked investments.</w:t>
      </w:r>
    </w:p>
    <w:p>
      <w:pPr>
        <w:pStyle w:val="BodyText"/>
      </w:pPr>
      <w:r>
        <w:rPr>
          <w:b/>
          <w:bCs/>
        </w:rPr>
        <w:t xml:space="preserve">Independent regulator.</w:t>
      </w:r>
      <w:r>
        <w:t xml:space="preserve"> </w:t>
      </w:r>
      <w:r>
        <w:t xml:space="preserve">An energy regulator with tariff-setting authority depoliticises pricing, provides investor certainty, and manages tariff restructuring. Mandate: RE procurement standards, grid connection rules, PPA frameworks, consumer protection.</w:t>
      </w:r>
    </w:p>
    <w:p>
      <w:pPr>
        <w:pStyle w:val="BodyText"/>
      </w:pPr>
      <w:r>
        <w:rPr>
          <w:b/>
          <w:bCs/>
        </w:rPr>
        <w:t xml:space="preserve">Financing.</w:t>
      </w:r>
      <w:r>
        <w:t xml:space="preserve"> </w:t>
      </w:r>
      <w:r>
        <w:t xml:space="preserve">Engage ADB, World Bank, GCF, India EXIM in parallel with feasibility work. ADB SIDS terms make investments viable (</w:t>
      </w:r>
      <w:hyperlink w:anchor="sec-financing">
        <w:r>
          <w:rPr>
            <w:rStyle w:val="Hyperlink"/>
          </w:rPr>
          <w:t xml:space="preserve">Chapter 10</w:t>
        </w:r>
      </w:hyperlink>
      <w:r>
        <w:t xml:space="preserve">), but require bankable proposals meeting development bank standards.</w:t>
      </w:r>
    </w:p>
    <w:p>
      <w:pPr>
        <w:pStyle w:val="BodyText"/>
      </w:pPr>
      <w:r>
        <w:rPr>
          <w:b/>
          <w:bCs/>
        </w:rPr>
        <w:t xml:space="preserve">M&amp;E framework.</w:t>
      </w:r>
      <w:r>
        <w:t xml:space="preserve"> </w:t>
      </w:r>
      <w:r>
        <w:t xml:space="preserve">Track deployment, costs, performance, welfare, and environmental outcomes. A well-designed monitoring system provides accountability and feeds adaptive management. It would also contribute to the thin global evidence base on SIDS energy transitions.</w:t>
      </w:r>
    </w:p>
    <w:bookmarkEnd w:id="297"/>
    <w:bookmarkEnd w:id="298"/>
    <w:bookmarkStart w:id="342" w:name="appendix-a-technical-methodology"/>
    <w:p>
      <w:pPr>
        <w:pStyle w:val="Heading1"/>
      </w:pPr>
      <w:r>
        <w:t xml:space="preserve">13. Appendix A — Technical Methodology</w:t>
      </w:r>
    </w:p>
    <w:p>
      <w:pPr>
        <w:pStyle w:val="FirstParagraph"/>
      </w:pPr>
      <w:r>
        <w:t xml:space="preserve">This appendix documents the complete mathematical specification of the CBA model. Every equation is traced to its parameters in</w:t>
      </w:r>
      <w:r>
        <w:t xml:space="preserve"> </w:t>
      </w:r>
      <w:r>
        <w:rPr>
          <w:rStyle w:val="VerbatimChar"/>
        </w:rPr>
        <w:t xml:space="preserve">parameters.csv</w:t>
      </w:r>
      <w:r>
        <w:t xml:space="preserve">. For the policy summary, see</w:t>
      </w:r>
      <w:r>
        <w:t xml:space="preserve"> </w:t>
      </w:r>
      <w:hyperlink w:anchor="sec-methodology">
        <w:r>
          <w:rPr>
            <w:rStyle w:val="Hyperlink"/>
          </w:rPr>
          <w:t xml:space="preserve">Section 4.1</w:t>
        </w:r>
      </w:hyperlink>
      <w:r>
        <w:t xml:space="preserve">.</w:t>
      </w:r>
    </w:p>
    <w:p>
      <w:pPr>
        <w:pStyle w:val="BodyText"/>
      </w:pPr>
      <w:r>
        <w:t xml:space="preserve">Equations follow the model’s computation pipeline — demand, costs, emissions, NPV, sensitivity — and are labelled by prefix (EQ-D for demand, EQ-C for costs, EQ-E for emissions, EQ-N for NPV, EQ-L for least-cost).</w:t>
      </w:r>
    </w:p>
    <w:bookmarkStart w:id="299" w:name="sec-arch"/>
    <w:p>
      <w:pPr>
        <w:pStyle w:val="Heading2"/>
      </w:pPr>
      <w:r>
        <w:t xml:space="preserve">13.1 A.1 Model Architecture</w:t>
      </w:r>
    </w:p>
    <w:p>
      <w:pPr>
        <w:pStyle w:val="FirstParagraph"/>
      </w:pPr>
      <w:r>
        <w:t xml:space="preserve">A single parameter file (</w:t>
      </w:r>
      <w:r>
        <w:rPr>
          <w:rStyle w:val="VerbatimChar"/>
        </w:rPr>
        <w:t xml:space="preserve">parameters.csv</w:t>
      </w:r>
      <w:r>
        <w:t xml:space="preserve">) serves as the authoritative source for every numeric value. Changing any parameter propagates automatically through the entire computation chain, ensuring consistency across sensitivity analysis, Monte Carlo, and scenario calibration.</w:t>
      </w:r>
    </w:p>
    <w:p>
      <w:pPr>
        <w:pStyle w:val="BodyText"/>
      </w:pPr>
      <w:r>
        <w:rPr>
          <w:b/>
          <w:bCs/>
        </w:rPr>
        <w:t xml:space="preserve">Architecture:</w:t>
      </w:r>
    </w:p>
    <w:p>
      <w:pPr>
        <w:pStyle w:val="SourceCode"/>
      </w:pPr>
      <w:r>
        <w:rPr>
          <w:rStyle w:val="VerbatimChar"/>
        </w:rPr>
        <w:t xml:space="preserve">parameters.csv  →  config.py  →  get_config()  →  model code</w:t>
      </w:r>
      <w:r>
        <w:br/>
      </w:r>
      <w:r>
        <w:rPr>
          <w:rStyle w:val="VerbatimChar"/>
        </w:rPr>
        <w:t xml:space="preserve">     ↓                                                ↓</w:t>
      </w:r>
      <w:r>
        <w:br/>
      </w:r>
      <w:r>
        <w:rPr>
          <w:rStyle w:val="VerbatimChar"/>
        </w:rPr>
        <w:t xml:space="preserve"> SINGLE SOURCE                                  scenarios/*.py</w:t>
      </w:r>
      <w:r>
        <w:br/>
      </w:r>
      <w:r>
        <w:rPr>
          <w:rStyle w:val="VerbatimChar"/>
        </w:rPr>
        <w:t xml:space="preserve"> OF TRUTH for                                   costs.py</w:t>
      </w:r>
      <w:r>
        <w:br/>
      </w:r>
      <w:r>
        <w:rPr>
          <w:rStyle w:val="VerbatimChar"/>
        </w:rPr>
        <w:t xml:space="preserve"> all numbers                                    demand.py</w:t>
      </w:r>
      <w:r>
        <w:br/>
      </w:r>
      <w:r>
        <w:rPr>
          <w:rStyle w:val="VerbatimChar"/>
        </w:rPr>
        <w:t xml:space="preserve">                                                cba/npv_calculator.py</w:t>
      </w:r>
      <w:r>
        <w:br/>
      </w:r>
      <w:r>
        <w:rPr>
          <w:rStyle w:val="VerbatimChar"/>
        </w:rPr>
        <w:t xml:space="preserve">                                                     ↓</w:t>
      </w:r>
      <w:r>
        <w:br/>
      </w:r>
      <w:r>
        <w:rPr>
          <w:rStyle w:val="VerbatimChar"/>
        </w:rPr>
        <w:t xml:space="preserve">                                                outputs/*.json</w:t>
      </w:r>
      <w:r>
        <w:br/>
      </w:r>
      <w:r>
        <w:rPr>
          <w:rStyle w:val="VerbatimChar"/>
        </w:rPr>
        <w:t xml:space="preserve">                                                     ↓</w:t>
      </w:r>
      <w:r>
        <w:br/>
      </w:r>
      <w:r>
        <w:rPr>
          <w:rStyle w:val="VerbatimChar"/>
        </w:rPr>
        <w:t xml:space="preserve">                                                This report</w:t>
      </w:r>
    </w:p>
    <w:p>
      <w:pPr>
        <w:pStyle w:val="FirstParagraph"/>
      </w:pPr>
      <w:r>
        <w:rPr>
          <w:b/>
          <w:bCs/>
        </w:rPr>
        <w:t xml:space="preserve">Key design principles:</w:t>
      </w:r>
    </w:p>
    <w:p>
      <w:pPr>
        <w:pStyle w:val="Compact"/>
        <w:numPr>
          <w:ilvl w:val="0"/>
          <w:numId w:val="1003"/>
        </w:numPr>
      </w:pPr>
      <w:r>
        <w:t xml:space="preserve">Every parameter lives in</w:t>
      </w:r>
      <w:r>
        <w:t xml:space="preserve"> </w:t>
      </w:r>
      <w:r>
        <w:rPr>
          <w:rStyle w:val="VerbatimChar"/>
        </w:rPr>
        <w:t xml:space="preserve">parameters.csv</w:t>
      </w:r>
      <w:r>
        <w:t xml:space="preserve"> </w:t>
      </w:r>
      <w:r>
        <w:t xml:space="preserve">with 7 columns: Category, Parameter, Value, Low, High, Unit, Source</w:t>
      </w:r>
    </w:p>
    <w:p>
      <w:pPr>
        <w:pStyle w:val="Compact"/>
        <w:numPr>
          <w:ilvl w:val="0"/>
          <w:numId w:val="1003"/>
        </w:numPr>
      </w:pPr>
      <w:r>
        <w:rPr>
          <w:rStyle w:val="VerbatimChar"/>
        </w:rPr>
        <w:t xml:space="preserve">config.py</w:t>
      </w:r>
      <w:r>
        <w:t xml:space="preserve"> </w:t>
      </w:r>
      <w:r>
        <w:t xml:space="preserve">loads the CSV into typed Python dataclasses via</w:t>
      </w:r>
      <w:r>
        <w:t xml:space="preserve"> </w:t>
      </w:r>
      <w:r>
        <w:rPr>
          <w:rStyle w:val="VerbatimChar"/>
        </w:rPr>
        <w:t xml:space="preserve">get_config()</w:t>
      </w:r>
    </w:p>
    <w:p>
      <w:pPr>
        <w:pStyle w:val="Compact"/>
        <w:numPr>
          <w:ilvl w:val="0"/>
          <w:numId w:val="1003"/>
        </w:numPr>
      </w:pPr>
      <w:r>
        <w:t xml:space="preserve">No numeric parameter appears as a literal in any</w:t>
      </w:r>
      <w:r>
        <w:t xml:space="preserve"> </w:t>
      </w:r>
      <w:r>
        <w:rPr>
          <w:rStyle w:val="VerbatimChar"/>
        </w:rPr>
        <w:t xml:space="preserve">.py</w:t>
      </w:r>
      <w:r>
        <w:t xml:space="preserve"> </w:t>
      </w:r>
      <w:r>
        <w:t xml:space="preserve">script — only mathematical constants (π, 8760 hours/year, unit conversions)</w:t>
      </w:r>
    </w:p>
    <w:p>
      <w:pPr>
        <w:pStyle w:val="Compact"/>
        <w:numPr>
          <w:ilvl w:val="0"/>
          <w:numId w:val="1003"/>
        </w:numPr>
      </w:pPr>
      <w:r>
        <w:t xml:space="preserve">Sensitivity analysis and Monte Carlo work by modifying the config object, ensuring parameter consistency</w:t>
      </w:r>
    </w:p>
    <w:p>
      <w:pPr>
        <w:pStyle w:val="FirstParagraph"/>
      </w:pPr>
      <w:r>
        <w:t xml:space="preserve">Every numeric input can be traced to a specific CSV row with its source, bounds, and unit.</w:t>
      </w:r>
    </w:p>
    <w:p>
      <w:pPr>
        <w:pStyle w:val="BodyText"/>
      </w:pPr>
      <w:r>
        <w:rPr>
          <w:b/>
          <w:bCs/>
        </w:rPr>
        <w:t xml:space="preserve">Horizons:</w:t>
      </w:r>
      <w:r>
        <w:t xml:space="preserve"> </w:t>
      </w:r>
      <w:r>
        <w:t xml:space="preserve">20 years (2026–2046), 30 years (2026–2056, default), 50 years (2026–2076)</w:t>
      </w:r>
    </w:p>
    <w:p>
      <w:pPr>
        <w:pStyle w:val="BodyText"/>
      </w:pPr>
      <w:r>
        <w:rPr>
          <w:b/>
          <w:bCs/>
        </w:rPr>
        <w:t xml:space="preserve">Scenarios:</w:t>
      </w:r>
      <w:r>
        <w:t xml:space="preserve"> </w:t>
      </w:r>
      <w:r>
        <w:t xml:space="preserve">S1–S7 as described in</w:t>
      </w:r>
      <w:r>
        <w:t xml:space="preserve"> </w:t>
      </w:r>
      <w:hyperlink w:anchor="sec-scenarios">
        <w:r>
          <w:rPr>
            <w:rStyle w:val="Hyperlink"/>
          </w:rPr>
          <w:t xml:space="preserve">Chapter 5</w:t>
        </w:r>
      </w:hyperlink>
    </w:p>
    <w:p>
      <w:pPr>
        <w:pStyle w:val="BodyText"/>
      </w:pPr>
      <w:r>
        <w:rPr>
          <w:b/>
          <w:bCs/>
        </w:rPr>
        <w:t xml:space="preserve">Discount rate:</w:t>
      </w:r>
      <w:r>
        <w:t xml:space="preserve"> </w:t>
      </w:r>
      <w:r>
        <w:t xml:space="preserve">6% real (ADB SIDS standard), with declining discount rate sensitivity (3.5% → 3.0% → 2.5%)</w:t>
      </w:r>
    </w:p>
    <w:p>
      <w:r>
        <w:pict>
          <v:rect style="width:0;height:1.5pt" o:hralign="center" o:hrstd="t" o:hr="t"/>
        </w:pict>
      </w:r>
    </w:p>
    <w:bookmarkEnd w:id="299"/>
    <w:bookmarkStart w:id="304" w:name="a.2-demand-module"/>
    <w:p>
      <w:pPr>
        <w:pStyle w:val="Heading2"/>
      </w:pPr>
      <w:r>
        <w:t xml:space="preserve">13.2 A.2 Demand Module</w:t>
      </w:r>
    </w:p>
    <w:p>
      <w:pPr>
        <w:pStyle w:val="FirstParagraph"/>
      </w:pPr>
      <w:r>
        <w:t xml:space="preserve">Demand has grown at ~5%/yr (population, urbanisation, tourism). The equations project forward with scenario-specific growth and price-induced effects.</w:t>
      </w:r>
    </w:p>
    <w:bookmarkStart w:id="300" w:name="eq-d1-compound-demand-growth"/>
    <w:p>
      <w:pPr>
        <w:pStyle w:val="Heading3"/>
      </w:pPr>
      <w:r>
        <w:t xml:space="preserve">13.2.1 EQ-D1: Compound Demand Growth</w:t>
      </w:r>
    </w:p>
    <w:p>
      <w:pPr>
        <w:pStyle w:val="FirstParagraph"/>
      </w:pPr>
      <m:oMathPara>
        <m:oMathParaPr>
          <m:jc m:val="center"/>
        </m:oMathParaPr>
        <m:oMath>
          <m:r>
            <m:t>D</m:t>
          </m:r>
          <m:d>
            <m:dPr>
              <m:begChr m:val="("/>
              <m:sepChr m:val=""/>
              <m:endChr m:val=")"/>
              <m:grow/>
            </m:dPr>
            <m:e>
              <m:r>
                <m:t>t</m:t>
              </m:r>
            </m:e>
          </m:d>
          <m:r>
            <m:rPr>
              <m:sty m:val="p"/>
            </m:rPr>
            <m:t>=</m:t>
          </m:r>
          <m:sSub>
            <m:e>
              <m:r>
                <m:t>D</m:t>
              </m:r>
            </m:e>
            <m:sub>
              <m:r>
                <m:t>0</m:t>
              </m:r>
            </m:sub>
          </m:sSub>
          <m:r>
            <m:rPr>
              <m:sty m:val="p"/>
            </m:rPr>
            <m:t>×</m:t>
          </m:r>
          <m:sSup>
            <m:e>
              <m:d>
                <m:dPr>
                  <m:begChr m:val="("/>
                  <m:sepChr m:val=""/>
                  <m:endChr m:val=")"/>
                  <m:grow/>
                </m:dPr>
                <m:e>
                  <m:r>
                    <m:t>1</m:t>
                  </m:r>
                  <m:r>
                    <m:rPr>
                      <m:sty m:val="p"/>
                    </m:rPr>
                    <m:t>+</m:t>
                  </m:r>
                  <m:r>
                    <m:t>g</m:t>
                  </m:r>
                </m:e>
              </m:d>
            </m:e>
            <m:sup>
              <m:r>
                <m:t>t</m:t>
              </m:r>
              <m:r>
                <m:rPr>
                  <m:sty m:val="p"/>
                </m:rPr>
                <m:t>−</m:t>
              </m:r>
              <m:sSub>
                <m:e>
                  <m:r>
                    <m:t>t</m:t>
                  </m:r>
                </m:e>
                <m:sub>
                  <m:r>
                    <m:t>0</m:t>
                  </m:r>
                </m:sub>
              </m:sSub>
            </m:sup>
          </m:sSup>
        </m:oMath>
      </m:oMathPara>
    </w:p>
    <w:p>
      <w:pPr>
        <w:pStyle w:val="FirstParagraph"/>
      </w:pPr>
      <w:r>
        <w:t xml:space="preserve">where</w:t>
      </w:r>
      <w:r>
        <w:t xml:space="preserve"> </w:t>
      </w:r>
      <m:oMath>
        <m:sSub>
          <m:e>
            <m:r>
              <m:t>D</m:t>
            </m:r>
          </m:e>
          <m:sub>
            <m:r>
              <m:t>0</m:t>
            </m:r>
          </m:sub>
        </m:sSub>
      </m:oMath>
      <w:r>
        <w:t xml:space="preserve"> </w:t>
      </w:r>
      <w:r>
        <w:t xml:space="preserve">= base demand in 2026 (1,200 GWh),</w:t>
      </w:r>
      <w:r>
        <w:t xml:space="preserve"> </w:t>
      </w:r>
      <m:oMath>
        <m:r>
          <m:t>g</m:t>
        </m:r>
      </m:oMath>
      <w:r>
        <w:t xml:space="preserve"> </w:t>
      </w:r>
      <w:r>
        <w:t xml:space="preserve">= scenario-specific growth rate, and</w:t>
      </w:r>
      <w:r>
        <w:t xml:space="preserve"> </w:t>
      </w:r>
      <m:oMath>
        <m:sSub>
          <m:e>
            <m:r>
              <m:t>t</m:t>
            </m:r>
          </m:e>
          <m:sub>
            <m:r>
              <m:t>0</m:t>
            </m:r>
          </m:sub>
        </m:sSub>
      </m:oMath>
      <w:r>
        <w:t xml:space="preserve"> </w:t>
      </w:r>
      <w:r>
        <w:t xml:space="preserve">= 2026.</w:t>
      </w:r>
    </w:p>
    <w:bookmarkEnd w:id="300"/>
    <w:bookmarkStart w:id="301" w:name="eq-d2-peak-demand-from-energy"/>
    <w:p>
      <w:pPr>
        <w:pStyle w:val="Heading3"/>
      </w:pPr>
      <w:r>
        <w:t xml:space="preserve">13.2.2 EQ-D2: Peak Demand from Energy</w:t>
      </w:r>
    </w:p>
    <w:p>
      <w:pPr>
        <w:pStyle w:val="FirstParagraph"/>
      </w:pPr>
      <m:oMathPara>
        <m:oMathParaPr>
          <m:jc m:val="center"/>
        </m:oMathParaPr>
        <m:oMath>
          <m:r>
            <m:t>P</m:t>
          </m:r>
          <m:d>
            <m:dPr>
              <m:begChr m:val="("/>
              <m:sepChr m:val=""/>
              <m:endChr m:val=")"/>
              <m:grow/>
            </m:dPr>
            <m:e>
              <m:r>
                <m:t>t</m:t>
              </m:r>
            </m:e>
          </m:d>
          <m:r>
            <m:rPr>
              <m:sty m:val="p"/>
            </m:rPr>
            <m:t>=</m:t>
          </m:r>
          <m:f>
            <m:fPr>
              <m:type m:val="bar"/>
            </m:fPr>
            <m:num>
              <m:r>
                <m:t>D</m:t>
              </m:r>
              <m:d>
                <m:dPr>
                  <m:begChr m:val="("/>
                  <m:sepChr m:val=""/>
                  <m:endChr m:val=")"/>
                  <m:grow/>
                </m:dPr>
                <m:e>
                  <m:r>
                    <m:t>t</m:t>
                  </m:r>
                </m:e>
              </m:d>
              <m:r>
                <m:rPr>
                  <m:sty m:val="p"/>
                </m:rPr>
                <m:t>×</m:t>
              </m:r>
              <m:r>
                <m:t>1000</m:t>
              </m:r>
            </m:num>
            <m:den>
              <m:r>
                <m:t>8760</m:t>
              </m:r>
              <m:r>
                <m:rPr>
                  <m:sty m:val="p"/>
                </m:rPr>
                <m:t>×</m:t>
              </m:r>
              <m:r>
                <m:t>L</m:t>
              </m:r>
              <m:r>
                <m:t>F</m:t>
              </m:r>
            </m:den>
          </m:f>
        </m:oMath>
      </m:oMathPara>
    </w:p>
    <w:p>
      <w:pPr>
        <w:pStyle w:val="FirstParagraph"/>
      </w:pPr>
      <w:r>
        <w:t xml:space="preserve">where</w:t>
      </w:r>
      <w:r>
        <w:t xml:space="preserve"> </w:t>
      </w:r>
      <m:oMath>
        <m:r>
          <m:t>L</m:t>
        </m:r>
        <m:r>
          <m:t>F</m:t>
        </m:r>
      </m:oMath>
      <w:r>
        <w:t xml:space="preserve"> </w:t>
      </w:r>
      <w:r>
        <w:t xml:space="preserve">= load factor (0.68, empirical from 2018 Island Electricity Data Book).</w:t>
      </w:r>
    </w:p>
    <w:bookmarkEnd w:id="301"/>
    <w:bookmarkStart w:id="302" w:name="eq-d3-induced-demand-price-elasticity"/>
    <w:p>
      <w:pPr>
        <w:pStyle w:val="Heading3"/>
      </w:pPr>
      <w:r>
        <w:t xml:space="preserve">13.2.3 EQ-D3: Induced Demand (Price Elasticity)</w:t>
      </w:r>
    </w:p>
    <w:p>
      <w:pPr>
        <w:pStyle w:val="FirstParagraph"/>
      </w:pPr>
      <w:r>
        <w:t xml:space="preserve">Applied in the Full Integration scenario (S2) only, where imported electricity reduces the effective price:</w:t>
      </w:r>
    </w:p>
    <w:p>
      <w:pPr>
        <w:pStyle w:val="BodyText"/>
      </w:pPr>
      <m:oMathPara>
        <m:oMathParaPr>
          <m:jc m:val="center"/>
        </m:oMathParaPr>
        <m:oMath>
          <m:r>
            <m:t>D</m:t>
          </m:r>
          <m:r>
            <m:rPr>
              <m:sty m:val="p"/>
            </m:rPr>
            <m:t>′</m:t>
          </m:r>
          <m:d>
            <m:dPr>
              <m:begChr m:val="("/>
              <m:sepChr m:val=""/>
              <m:endChr m:val=")"/>
              <m:grow/>
            </m:dPr>
            <m:e>
              <m:r>
                <m:t>t</m:t>
              </m:r>
            </m:e>
          </m:d>
          <m:r>
            <m:rPr>
              <m:sty m:val="p"/>
            </m:rPr>
            <m:t>=</m:t>
          </m:r>
          <m:r>
            <m:t>D</m:t>
          </m:r>
          <m:d>
            <m:dPr>
              <m:begChr m:val="("/>
              <m:sepChr m:val=""/>
              <m:endChr m:val=")"/>
              <m:grow/>
            </m:dPr>
            <m:e>
              <m:r>
                <m:t>t</m:t>
              </m:r>
            </m:e>
          </m:d>
          <m:r>
            <m:rPr>
              <m:sty m:val="p"/>
            </m:rPr>
            <m:t>×</m:t>
          </m:r>
          <m:d>
            <m:dPr>
              <m:begChr m:val="("/>
              <m:sepChr m:val=""/>
              <m:endChr m:val=")"/>
              <m:grow/>
            </m:dPr>
            <m:e>
              <m:r>
                <m:t>1</m:t>
              </m:r>
              <m:r>
                <m:rPr>
                  <m:sty m:val="p"/>
                </m:rPr>
                <m:t>+</m:t>
              </m:r>
              <m:r>
                <m:t>ε</m:t>
              </m:r>
              <m:r>
                <m:rPr>
                  <m:sty m:val="p"/>
                </m:rPr>
                <m:t>×</m:t>
              </m:r>
              <m:d>
                <m:dPr>
                  <m:begChr m:val="("/>
                  <m:sepChr m:val=""/>
                  <m:endChr m:val=")"/>
                  <m:grow/>
                </m:dPr>
                <m:e>
                  <m:r>
                    <m:rPr>
                      <m:sty m:val="p"/>
                    </m:rPr>
                    <m:t>−</m:t>
                  </m:r>
                  <m:r>
                    <m:t>Δ</m:t>
                  </m:r>
                  <m:r>
                    <m:t>p</m:t>
                  </m:r>
                </m:e>
              </m:d>
            </m:e>
          </m:d>
        </m:oMath>
      </m:oMathPara>
    </w:p>
    <w:p>
      <w:pPr>
        <w:pStyle w:val="FirstParagraph"/>
      </w:pPr>
      <w:r>
        <w:t xml:space="preserve">where</w:t>
      </w:r>
      <w:r>
        <w:t xml:space="preserve"> </w:t>
      </w:r>
      <m:oMath>
        <m:r>
          <m:t>ε</m:t>
        </m:r>
      </m:oMath>
      <w:r>
        <w:t xml:space="preserve"> </w:t>
      </w:r>
      <w:r>
        <w:t xml:space="preserve">= price elasticity of demand (−0.3, Wolfram et al. 2012; Burke et al. 2015), and</w:t>
      </w:r>
      <w:r>
        <w:t xml:space="preserve"> </w:t>
      </w:r>
      <m:oMath>
        <m:r>
          <m:t>Δ</m:t>
        </m:r>
        <m:r>
          <m:t>p</m:t>
        </m:r>
      </m:oMath>
      <w:r>
        <w:t xml:space="preserve"> </w:t>
      </w:r>
      <w:r>
        <w:t xml:space="preserve">= fractional price reduction from cable import.</w:t>
      </w:r>
    </w:p>
    <w:bookmarkEnd w:id="302"/>
    <w:bookmarkStart w:id="303" w:name="eq-d4-sectoral-demand-split"/>
    <w:p>
      <w:pPr>
        <w:pStyle w:val="Heading3"/>
      </w:pPr>
      <w:r>
        <w:t xml:space="preserve">13.2.4 EQ-D4: Sectoral Demand Split</w:t>
      </w:r>
    </w:p>
    <w:p>
      <w:pPr>
        <w:pStyle w:val="FirstParagraph"/>
      </w:pPr>
      <m:oMathPara>
        <m:oMathParaPr>
          <m:jc m:val="center"/>
        </m:oMathParaPr>
        <m:oMath>
          <m:sSub>
            <m:e>
              <m:r>
                <m:t>D</m:t>
              </m:r>
            </m:e>
            <m:sub>
              <m:r>
                <m:t>r</m:t>
              </m:r>
            </m:sub>
          </m:sSub>
          <m:d>
            <m:dPr>
              <m:begChr m:val="("/>
              <m:sepChr m:val=""/>
              <m:endChr m:val=")"/>
              <m:grow/>
            </m:dPr>
            <m:e>
              <m:r>
                <m:t>t</m:t>
              </m:r>
            </m:e>
          </m:d>
          <m:r>
            <m:rPr>
              <m:sty m:val="p"/>
            </m:rPr>
            <m:t>=</m:t>
          </m:r>
          <m:r>
            <m:t>D</m:t>
          </m:r>
          <m:d>
            <m:dPr>
              <m:begChr m:val="("/>
              <m:sepChr m:val=""/>
              <m:endChr m:val=")"/>
              <m:grow/>
            </m:dPr>
            <m:e>
              <m:r>
                <m:t>t</m:t>
              </m:r>
            </m:e>
          </m:d>
          <m:r>
            <m:rPr>
              <m:sty m:val="p"/>
            </m:rPr>
            <m:t>×</m:t>
          </m:r>
          <m:sSub>
            <m:e>
              <m:r>
                <m:t>s</m:t>
              </m:r>
            </m:e>
            <m:sub>
              <m:r>
                <m:t>r</m:t>
              </m:r>
            </m:sub>
          </m:sSub>
          <m:r>
            <m:rPr>
              <m:sty m:val="p"/>
            </m:rPr>
            <m:t>,</m:t>
          </m:r>
          <m:r>
            <m:t> </m:t>
          </m:r>
          <m:sSub>
            <m:e>
              <m:r>
                <m:t>D</m:t>
              </m:r>
            </m:e>
            <m:sub>
              <m:r>
                <m:t>c</m:t>
              </m:r>
            </m:sub>
          </m:sSub>
          <m:d>
            <m:dPr>
              <m:begChr m:val="("/>
              <m:sepChr m:val=""/>
              <m:endChr m:val=")"/>
              <m:grow/>
            </m:dPr>
            <m:e>
              <m:r>
                <m:t>t</m:t>
              </m:r>
            </m:e>
          </m:d>
          <m:r>
            <m:rPr>
              <m:sty m:val="p"/>
            </m:rPr>
            <m:t>=</m:t>
          </m:r>
          <m:r>
            <m:t>D</m:t>
          </m:r>
          <m:d>
            <m:dPr>
              <m:begChr m:val="("/>
              <m:sepChr m:val=""/>
              <m:endChr m:val=")"/>
              <m:grow/>
            </m:dPr>
            <m:e>
              <m:r>
                <m:t>t</m:t>
              </m:r>
            </m:e>
          </m:d>
          <m:r>
            <m:rPr>
              <m:sty m:val="p"/>
            </m:rPr>
            <m:t>×</m:t>
          </m:r>
          <m:sSub>
            <m:e>
              <m:r>
                <m:t>s</m:t>
              </m:r>
            </m:e>
            <m:sub>
              <m:r>
                <m:t>c</m:t>
              </m:r>
            </m:sub>
          </m:sSub>
          <m:r>
            <m:rPr>
              <m:sty m:val="p"/>
            </m:rPr>
            <m:t>,</m:t>
          </m:r>
          <m:r>
            <m:t> </m:t>
          </m:r>
          <m:sSub>
            <m:e>
              <m:r>
                <m:t>D</m:t>
              </m:r>
            </m:e>
            <m:sub>
              <m:r>
                <m:t>p</m:t>
              </m:r>
            </m:sub>
          </m:sSub>
          <m:d>
            <m:dPr>
              <m:begChr m:val="("/>
              <m:sepChr m:val=""/>
              <m:endChr m:val=")"/>
              <m:grow/>
            </m:dPr>
            <m:e>
              <m:r>
                <m:t>t</m:t>
              </m:r>
            </m:e>
          </m:d>
          <m:r>
            <m:rPr>
              <m:sty m:val="p"/>
            </m:rPr>
            <m:t>=</m:t>
          </m:r>
          <m:r>
            <m:t>D</m:t>
          </m:r>
          <m:d>
            <m:dPr>
              <m:begChr m:val="("/>
              <m:sepChr m:val=""/>
              <m:endChr m:val=")"/>
              <m:grow/>
            </m:dPr>
            <m:e>
              <m:r>
                <m:t>t</m:t>
              </m:r>
            </m:e>
          </m:d>
          <m:r>
            <m:rPr>
              <m:sty m:val="p"/>
            </m:rPr>
            <m:t>×</m:t>
          </m:r>
          <m:sSub>
            <m:e>
              <m:r>
                <m:t>s</m:t>
              </m:r>
            </m:e>
            <m:sub>
              <m:r>
                <m:t>p</m:t>
              </m:r>
            </m:sub>
          </m:sSub>
        </m:oMath>
      </m:oMathPara>
    </w:p>
    <w:p>
      <w:pPr>
        <w:pStyle w:val="FirstParagraph"/>
      </w:pPr>
      <w:r>
        <w:t xml:space="preserve">where</w:t>
      </w:r>
      <w:r>
        <w:t xml:space="preserve"> </w:t>
      </w:r>
      <m:oMath>
        <m:sSub>
          <m:e>
            <m:r>
              <m:t>s</m:t>
            </m:r>
          </m:e>
          <m:sub>
            <m:r>
              <m:t>r</m:t>
            </m:r>
          </m:sub>
        </m:sSub>
        <m:r>
          <m:rPr>
            <m:sty m:val="p"/>
          </m:rPr>
          <m:t>=</m:t>
        </m:r>
        <m:r>
          <m:t>0.52</m:t>
        </m:r>
      </m:oMath>
      <w:r>
        <w:t xml:space="preserve">,</w:t>
      </w:r>
      <w:r>
        <w:t xml:space="preserve"> </w:t>
      </w:r>
      <m:oMath>
        <m:sSub>
          <m:e>
            <m:r>
              <m:t>s</m:t>
            </m:r>
          </m:e>
          <m:sub>
            <m:r>
              <m:t>c</m:t>
            </m:r>
          </m:sub>
        </m:sSub>
        <m:r>
          <m:rPr>
            <m:sty m:val="p"/>
          </m:rPr>
          <m:t>=</m:t>
        </m:r>
        <m:r>
          <m:t>0.24</m:t>
        </m:r>
      </m:oMath>
      <w:r>
        <w:t xml:space="preserve">,</w:t>
      </w:r>
      <w:r>
        <w:t xml:space="preserve"> </w:t>
      </w:r>
      <m:oMath>
        <m:sSub>
          <m:e>
            <m:r>
              <m:t>s</m:t>
            </m:r>
          </m:e>
          <m:sub>
            <m:r>
              <m:t>p</m:t>
            </m:r>
          </m:sub>
        </m:sSub>
        <m:r>
          <m:rPr>
            <m:sty m:val="p"/>
          </m:rPr>
          <m:t>=</m:t>
        </m:r>
        <m:r>
          <m:t>0.24</m:t>
        </m:r>
      </m:oMath>
      <w:r>
        <w:t xml:space="preserve"> </w:t>
      </w:r>
      <w:r>
        <w:t xml:space="preserve">(SAARC 2005 Energy Balance for the Maldives).</w:t>
      </w:r>
    </w:p>
    <w:p>
      <w:r>
        <w:pict>
          <v:rect style="width:0;height:1.5pt" o:hralign="center" o:hrstd="t" o:hr="t"/>
        </w:pict>
      </w:r>
    </w:p>
    <w:bookmarkEnd w:id="303"/>
    <w:bookmarkEnd w:id="304"/>
    <w:bookmarkStart w:id="313" w:name="a.3-cost-module"/>
    <w:p>
      <w:pPr>
        <w:pStyle w:val="Heading2"/>
      </w:pPr>
      <w:r>
        <w:t xml:space="preserve">13.3 A.3 Cost Module</w:t>
      </w:r>
    </w:p>
    <w:bookmarkStart w:id="305" w:name="eq-c1-solar-pv-capex"/>
    <w:p>
      <w:pPr>
        <w:pStyle w:val="Heading3"/>
      </w:pPr>
      <w:r>
        <w:t xml:space="preserve">13.3.1 EQ-C1: Solar PV CAPEX</w:t>
      </w:r>
    </w:p>
    <w:p>
      <w:pPr>
        <w:pStyle w:val="FirstParagraph"/>
      </w:pPr>
      <m:oMathPara>
        <m:oMathParaPr>
          <m:jc m:val="center"/>
        </m:oMathParaPr>
        <m:oMath>
          <m:sSub>
            <m:e>
              <m:r>
                <m:rPr>
                  <m:nor/>
                  <m:sty m:val="p"/>
                </m:rPr>
                <m:t>CAPEX</m:t>
              </m:r>
            </m:e>
            <m:sub>
              <m:r>
                <m:rPr>
                  <m:nor/>
                  <m:sty m:val="p"/>
                </m:rPr>
                <m:t>solar</m:t>
              </m:r>
            </m:sub>
          </m:sSub>
          <m:d>
            <m:dPr>
              <m:begChr m:val="("/>
              <m:sepChr m:val=""/>
              <m:endChr m:val=")"/>
              <m:grow/>
            </m:dPr>
            <m:e>
              <m:r>
                <m:t>t</m:t>
              </m:r>
            </m:e>
          </m:d>
          <m:r>
            <m:rPr>
              <m:sty m:val="p"/>
            </m:rPr>
            <m:t>=</m:t>
          </m:r>
          <m:sSub>
            <m:e>
              <m:r>
                <m:t>C</m:t>
              </m:r>
            </m:e>
            <m:sub>
              <m:r>
                <m:rPr>
                  <m:nor/>
                  <m:sty m:val="p"/>
                </m:rPr>
                <m:t>solar</m:t>
              </m:r>
            </m:sub>
          </m:sSub>
          <m:r>
            <m:rPr>
              <m:sty m:val="p"/>
            </m:rPr>
            <m:t>×</m:t>
          </m:r>
          <m:sSup>
            <m:e>
              <m:d>
                <m:dPr>
                  <m:begChr m:val="("/>
                  <m:sepChr m:val=""/>
                  <m:endChr m:val=")"/>
                  <m:grow/>
                </m:dPr>
                <m:e>
                  <m:r>
                    <m:t>1</m:t>
                  </m:r>
                  <m:r>
                    <m:rPr>
                      <m:sty m:val="p"/>
                    </m:rPr>
                    <m:t>−</m:t>
                  </m:r>
                  <m:sSub>
                    <m:e>
                      <m:r>
                        <m:t>δ</m:t>
                      </m:r>
                    </m:e>
                    <m:sub>
                      <m:r>
                        <m:t>s</m:t>
                      </m:r>
                    </m:sub>
                  </m:sSub>
                </m:e>
              </m:d>
            </m:e>
            <m:sup>
              <m:r>
                <m:t>t</m:t>
              </m:r>
              <m:r>
                <m:rPr>
                  <m:sty m:val="p"/>
                </m:rPr>
                <m:t>−</m:t>
              </m:r>
              <m:sSub>
                <m:e>
                  <m:r>
                    <m:t>t</m:t>
                  </m:r>
                </m:e>
                <m:sub>
                  <m:r>
                    <m:t>0</m:t>
                  </m:r>
                </m:sub>
              </m:sSub>
            </m:sup>
          </m:sSup>
          <m:r>
            <m:rPr>
              <m:sty m:val="p"/>
            </m:rPr>
            <m:t>×</m:t>
          </m:r>
          <m:sSub>
            <m:e>
              <m:r>
                <m:t>Q</m:t>
              </m:r>
            </m:e>
            <m:sub>
              <m:r>
                <m:rPr>
                  <m:nor/>
                  <m:sty m:val="p"/>
                </m:rPr>
                <m:t>kW</m:t>
              </m:r>
            </m:sub>
          </m:sSub>
          <m:r>
            <m:rPr>
              <m:sty m:val="p"/>
            </m:rPr>
            <m:t>×</m:t>
          </m:r>
          <m:d>
            <m:dPr>
              <m:begChr m:val="("/>
              <m:sepChr m:val=""/>
              <m:endChr m:val=")"/>
              <m:grow/>
            </m:dPr>
            <m:e>
              <m:r>
                <m:t>1</m:t>
              </m:r>
              <m:r>
                <m:rPr>
                  <m:sty m:val="p"/>
                </m:rPr>
                <m:t>+</m:t>
              </m:r>
              <m:r>
                <m:t>α</m:t>
              </m:r>
            </m:e>
          </m:d>
        </m:oMath>
      </m:oMathPara>
    </w:p>
    <w:p>
      <w:pPr>
        <w:pStyle w:val="FirstParagraph"/>
      </w:pPr>
      <w:r>
        <w:t xml:space="preserve">where</w:t>
      </w:r>
      <w:r>
        <w:t xml:space="preserve"> </w:t>
      </w:r>
      <m:oMath>
        <m:sSub>
          <m:e>
            <m:r>
              <m:t>C</m:t>
            </m:r>
          </m:e>
          <m:sub>
            <m:r>
              <m:rPr>
                <m:nor/>
                <m:sty m:val="p"/>
              </m:rPr>
              <m:t>solar</m:t>
            </m:r>
          </m:sub>
        </m:sSub>
      </m:oMath>
      <w:r>
        <w:t xml:space="preserve"> </w:t>
      </w:r>
      <w:r>
        <w:t xml:space="preserve">= initial CAPEX ($/kW),</w:t>
      </w:r>
      <w:r>
        <w:t xml:space="preserve"> </w:t>
      </w:r>
      <m:oMath>
        <m:sSub>
          <m:e>
            <m:r>
              <m:t>δ</m:t>
            </m:r>
          </m:e>
          <m:sub>
            <m:r>
              <m:t>s</m:t>
            </m:r>
          </m:sub>
        </m:sSub>
      </m:oMath>
      <w:r>
        <w:t xml:space="preserve"> </w:t>
      </w:r>
      <w:r>
        <w:t xml:space="preserve">= annual cost decline rate, and</w:t>
      </w:r>
      <w:r>
        <w:t xml:space="preserve"> </w:t>
      </w:r>
      <m:oMath>
        <m:r>
          <m:t>α</m:t>
        </m:r>
      </m:oMath>
      <w:r>
        <w:t xml:space="preserve"> </w:t>
      </w:r>
      <w:r>
        <w:t xml:space="preserve">= climate adaptation premium (7.5%).</w:t>
      </w:r>
    </w:p>
    <w:bookmarkEnd w:id="305"/>
    <w:bookmarkStart w:id="306" w:name="Xcf10dc66280de4bf2de66936e56c084b3660bf0"/>
    <w:p>
      <w:pPr>
        <w:pStyle w:val="Heading3"/>
      </w:pPr>
      <w:r>
        <w:t xml:space="preserve">13.3.2 EQ-C2: Solar PV Generation (Temperature Derating + Degradation)</w:t>
      </w:r>
    </w:p>
    <w:p>
      <w:pPr>
        <w:pStyle w:val="FirstParagraph"/>
      </w:pPr>
      <m:oMathPara>
        <m:oMathParaPr>
          <m:jc m:val="center"/>
        </m:oMathParaPr>
        <m:oMath>
          <m:sSub>
            <m:e>
              <m:r>
                <m:t>G</m:t>
              </m:r>
            </m:e>
            <m:sub>
              <m:r>
                <m:rPr>
                  <m:nor/>
                  <m:sty m:val="p"/>
                </m:rPr>
                <m:t>solar</m:t>
              </m:r>
            </m:sub>
          </m:sSub>
          <m:d>
            <m:dPr>
              <m:begChr m:val="("/>
              <m:sepChr m:val=""/>
              <m:endChr m:val=")"/>
              <m:grow/>
            </m:dPr>
            <m:e>
              <m:r>
                <m:t>t</m:t>
              </m:r>
            </m:e>
          </m:d>
          <m:r>
            <m:rPr>
              <m:sty m:val="p"/>
            </m:rPr>
            <m:t>=</m:t>
          </m:r>
          <m:sSub>
            <m:e>
              <m:r>
                <m:t>Q</m:t>
              </m:r>
            </m:e>
            <m:sub>
              <m:r>
                <m:rPr>
                  <m:nor/>
                  <m:sty m:val="p"/>
                </m:rPr>
                <m:t>MW</m:t>
              </m:r>
            </m:sub>
          </m:sSub>
          <m:r>
            <m:rPr>
              <m:sty m:val="p"/>
            </m:rPr>
            <m:t>×</m:t>
          </m:r>
          <m:r>
            <m:t>8760</m:t>
          </m:r>
          <m:r>
            <m:rPr>
              <m:sty m:val="p"/>
            </m:rPr>
            <m:t>×</m:t>
          </m:r>
          <m:r>
            <m:t>C</m:t>
          </m:r>
          <m:r>
            <m:t>F</m:t>
          </m:r>
          <m:r>
            <m:rPr>
              <m:sty m:val="p"/>
            </m:rPr>
            <m:t>×</m:t>
          </m:r>
          <m:sSub>
            <m:e>
              <m:r>
                <m:t>f</m:t>
              </m:r>
            </m:e>
            <m:sub>
              <m:r>
                <m:t>T</m:t>
              </m:r>
            </m:sub>
          </m:sSub>
          <m:r>
            <m:rPr>
              <m:sty m:val="p"/>
            </m:rPr>
            <m:t>×</m:t>
          </m:r>
          <m:sSub>
            <m:e>
              <m:r>
                <m:t>f</m:t>
              </m:r>
            </m:e>
            <m:sub>
              <m:r>
                <m:t>D</m:t>
              </m:r>
            </m:sub>
          </m:sSub>
          <m:d>
            <m:dPr>
              <m:begChr m:val="("/>
              <m:sepChr m:val=""/>
              <m:endChr m:val=")"/>
              <m:grow/>
            </m:dPr>
            <m:e>
              <m:r>
                <m:t>t</m:t>
              </m:r>
            </m:e>
          </m:d>
        </m:oMath>
      </m:oMathPara>
    </w:p>
    <w:p>
      <w:pPr>
        <w:pStyle w:val="FirstParagraph"/>
      </w:pPr>
      <w:r>
        <w:t xml:space="preserve">Temperature derating:</w:t>
      </w:r>
    </w:p>
    <w:p>
      <w:pPr>
        <w:pStyle w:val="BodyText"/>
      </w:pPr>
      <m:oMathPara>
        <m:oMathParaPr>
          <m:jc m:val="center"/>
        </m:oMathParaPr>
        <m:oMath>
          <m:sSub>
            <m:e>
              <m:r>
                <m:t>T</m:t>
              </m:r>
            </m:e>
            <m:sub>
              <m:r>
                <m:rPr>
                  <m:nor/>
                  <m:sty m:val="p"/>
                </m:rPr>
                <m:t>cell</m:t>
              </m:r>
            </m:sub>
          </m:sSub>
          <m:r>
            <m:rPr>
              <m:sty m:val="p"/>
            </m:rPr>
            <m:t>=</m:t>
          </m:r>
          <m:sSub>
            <m:e>
              <m:r>
                <m:t>T</m:t>
              </m:r>
            </m:e>
            <m:sub>
              <m:r>
                <m:rPr>
                  <m:nor/>
                  <m:sty m:val="p"/>
                </m:rPr>
                <m:t>amb</m:t>
              </m:r>
            </m:sub>
          </m:sSub>
          <m:r>
            <m:rPr>
              <m:sty m:val="p"/>
            </m:rPr>
            <m:t>+</m:t>
          </m:r>
          <m:sSub>
            <m:e>
              <m:r>
                <m:t>k</m:t>
              </m:r>
            </m:e>
            <m:sub>
              <m:r>
                <m:rPr>
                  <m:nor/>
                  <m:sty m:val="p"/>
                </m:rPr>
                <m:t>NOCT</m:t>
              </m:r>
            </m:sub>
          </m:sSub>
          <m:r>
            <m:rPr>
              <m:sty m:val="p"/>
            </m:rPr>
            <m:t>×</m:t>
          </m:r>
          <m:f>
            <m:fPr>
              <m:type m:val="bar"/>
            </m:fPr>
            <m:num>
              <m:r>
                <m:t>G</m:t>
              </m:r>
              <m:r>
                <m:t>H</m:t>
              </m:r>
              <m:r>
                <m:t>I</m:t>
              </m:r>
            </m:num>
            <m:den>
              <m:r>
                <m:t>24</m:t>
              </m:r>
            </m:den>
          </m:f>
        </m:oMath>
      </m:oMathPara>
    </w:p>
    <w:p>
      <w:pPr>
        <w:pStyle w:val="FirstParagraph"/>
      </w:pPr>
      <m:oMathPara>
        <m:oMathParaPr>
          <m:jc m:val="center"/>
        </m:oMathParaPr>
        <m:oMath>
          <m:sSub>
            <m:e>
              <m:r>
                <m:t>f</m:t>
              </m:r>
            </m:e>
            <m:sub>
              <m:r>
                <m:t>T</m:t>
              </m:r>
            </m:sub>
          </m:sSub>
          <m:r>
            <m:rPr>
              <m:sty m:val="p"/>
            </m:rPr>
            <m:t>=</m:t>
          </m:r>
          <m:r>
            <m:rPr>
              <m:sty m:val="p"/>
            </m:rPr>
            <m:t>max</m:t>
          </m:r>
          <m:d>
            <m:dPr>
              <m:begChr m:val="("/>
              <m:sepChr m:val=""/>
              <m:endChr m:val=")"/>
              <m:grow/>
            </m:dPr>
            <m:e>
              <m:r>
                <m:t>0</m:t>
              </m:r>
              <m:r>
                <m:rPr>
                  <m:sty m:val="p"/>
                </m:rPr>
                <m:t>,</m:t>
              </m:r>
              <m:r>
                <m:t> </m:t>
              </m:r>
              <m:r>
                <m:t>1</m:t>
              </m:r>
              <m:r>
                <m:rPr>
                  <m:sty m:val="p"/>
                </m:rPr>
                <m:t>−</m:t>
              </m:r>
              <m:sSub>
                <m:e>
                  <m:r>
                    <m:t>k</m:t>
                  </m:r>
                </m:e>
                <m:sub>
                  <m:r>
                    <m:t>t</m:t>
                  </m:r>
                </m:sub>
              </m:sSub>
              <m:r>
                <m:rPr>
                  <m:sty m:val="p"/>
                </m:rPr>
                <m:t>×</m:t>
              </m:r>
              <m:d>
                <m:dPr>
                  <m:begChr m:val="("/>
                  <m:sepChr m:val=""/>
                  <m:endChr m:val=")"/>
                  <m:grow/>
                </m:dPr>
                <m:e>
                  <m:sSub>
                    <m:e>
                      <m:r>
                        <m:t>T</m:t>
                      </m:r>
                    </m:e>
                    <m:sub>
                      <m:r>
                        <m:rPr>
                          <m:nor/>
                          <m:sty m:val="p"/>
                        </m:rPr>
                        <m:t>cell</m:t>
                      </m:r>
                    </m:sub>
                  </m:sSub>
                  <m:r>
                    <m:rPr>
                      <m:sty m:val="p"/>
                    </m:rPr>
                    <m:t>−</m:t>
                  </m:r>
                  <m:r>
                    <m:t>25</m:t>
                  </m:r>
                </m:e>
              </m:d>
            </m:e>
          </m:d>
        </m:oMath>
      </m:oMathPara>
    </w:p>
    <w:p>
      <w:pPr>
        <w:pStyle w:val="FirstParagraph"/>
      </w:pPr>
      <w:r>
        <w:t xml:space="preserve">Annual degradation:</w:t>
      </w:r>
    </w:p>
    <w:p>
      <w:pPr>
        <w:pStyle w:val="BodyText"/>
      </w:pPr>
      <m:oMathPara>
        <m:oMathParaPr>
          <m:jc m:val="center"/>
        </m:oMathParaPr>
        <m:oMath>
          <m:sSub>
            <m:e>
              <m:r>
                <m:t>f</m:t>
              </m:r>
            </m:e>
            <m:sub>
              <m:r>
                <m:t>D</m:t>
              </m:r>
            </m:sub>
          </m:sSub>
          <m:d>
            <m:dPr>
              <m:begChr m:val="("/>
              <m:sepChr m:val=""/>
              <m:endChr m:val=")"/>
              <m:grow/>
            </m:dPr>
            <m:e>
              <m:r>
                <m:t>t</m:t>
              </m:r>
            </m:e>
          </m:d>
          <m:r>
            <m:rPr>
              <m:sty m:val="p"/>
            </m:rPr>
            <m:t>=</m:t>
          </m:r>
          <m:sSup>
            <m:e>
              <m:d>
                <m:dPr>
                  <m:begChr m:val="("/>
                  <m:sepChr m:val=""/>
                  <m:endChr m:val=")"/>
                  <m:grow/>
                </m:dPr>
                <m:e>
                  <m:r>
                    <m:t>1</m:t>
                  </m:r>
                  <m:r>
                    <m:rPr>
                      <m:sty m:val="p"/>
                    </m:rPr>
                    <m:t>−</m:t>
                  </m:r>
                  <m:r>
                    <m:t>d</m:t>
                  </m:r>
                </m:e>
              </m:d>
            </m:e>
            <m:sup>
              <m:r>
                <m:t>t</m:t>
              </m:r>
              <m:r>
                <m:rPr>
                  <m:sty m:val="p"/>
                </m:rPr>
                <m:t>−</m:t>
              </m:r>
              <m:sSub>
                <m:e>
                  <m:r>
                    <m:t>t</m:t>
                  </m:r>
                </m:e>
                <m:sub>
                  <m:r>
                    <m:rPr>
                      <m:nor/>
                      <m:sty m:val="p"/>
                    </m:rPr>
                    <m:t>install</m:t>
                  </m:r>
                </m:sub>
              </m:sSub>
            </m:sup>
          </m:sSup>
        </m:oMath>
      </m:oMathPara>
    </w:p>
    <w:p>
      <w:pPr>
        <w:pStyle w:val="FirstParagraph"/>
      </w:pPr>
      <w:r>
        <w:t xml:space="preserve">where</w:t>
      </w:r>
      <w:r>
        <w:t xml:space="preserve"> </w:t>
      </w:r>
      <m:oMath>
        <m:sSub>
          <m:e>
            <m:r>
              <m:t>k</m:t>
            </m:r>
          </m:e>
          <m:sub>
            <m:r>
              <m:t>t</m:t>
            </m:r>
          </m:sub>
        </m:sSub>
        <m:r>
          <m:rPr>
            <m:sty m:val="p"/>
          </m:rPr>
          <m:t>=</m:t>
        </m:r>
        <m:r>
          <m:t>0.005</m:t>
        </m:r>
      </m:oMath>
      <w:r>
        <w:t xml:space="preserve"> </w:t>
      </w:r>
      <w:r>
        <w:t xml:space="preserve">$/°C (IEC 61215),</w:t>
      </w:r>
      <w:r>
        <w:t xml:space="preserve"> </w:t>
      </w:r>
      <m:oMath>
        <m:sSub>
          <m:e>
            <m:r>
              <m:t>k</m:t>
            </m:r>
          </m:e>
          <m:sub>
            <m:r>
              <m:rPr>
                <m:nor/>
                <m:sty m:val="p"/>
              </m:rPr>
              <m:t>NOCT</m:t>
            </m:r>
          </m:sub>
        </m:sSub>
        <m:r>
          <m:rPr>
            <m:sty m:val="p"/>
          </m:rPr>
          <m:t>=</m:t>
        </m:r>
        <m:r>
          <m:t>25.6</m:t>
        </m:r>
      </m:oMath>
      <w:r>
        <w:t xml:space="preserve"> </w:t>
      </w:r>
      <w:r>
        <w:t xml:space="preserve">(OnSSET), and</w:t>
      </w:r>
      <w:r>
        <w:t xml:space="preserve"> </w:t>
      </w:r>
      <m:oMath>
        <m:r>
          <m:t>d</m:t>
        </m:r>
        <m:r>
          <m:rPr>
            <m:sty m:val="p"/>
          </m:rPr>
          <m:t>=</m:t>
        </m:r>
        <m:r>
          <m:t>0.005</m:t>
        </m:r>
      </m:oMath>
      <w:r>
        <w:t xml:space="preserve">/yr (Jordan &amp; Kurtz 2013).</w:t>
      </w:r>
    </w:p>
    <w:bookmarkEnd w:id="306"/>
    <w:bookmarkStart w:id="307" w:name="eq-c3-battery-capex"/>
    <w:p>
      <w:pPr>
        <w:pStyle w:val="Heading3"/>
      </w:pPr>
      <w:r>
        <w:t xml:space="preserve">13.3.3 EQ-C3: Battery CAPEX</w:t>
      </w:r>
    </w:p>
    <w:p>
      <w:pPr>
        <w:pStyle w:val="FirstParagraph"/>
      </w:pPr>
      <m:oMathPara>
        <m:oMathParaPr>
          <m:jc m:val="center"/>
        </m:oMathParaPr>
        <m:oMath>
          <m:sSub>
            <m:e>
              <m:r>
                <m:rPr>
                  <m:nor/>
                  <m:sty m:val="p"/>
                </m:rPr>
                <m:t>CAPEX</m:t>
              </m:r>
            </m:e>
            <m:sub>
              <m:r>
                <m:rPr>
                  <m:nor/>
                  <m:sty m:val="p"/>
                </m:rPr>
                <m:t>batt</m:t>
              </m:r>
            </m:sub>
          </m:sSub>
          <m:d>
            <m:dPr>
              <m:begChr m:val="("/>
              <m:sepChr m:val=""/>
              <m:endChr m:val=")"/>
              <m:grow/>
            </m:dPr>
            <m:e>
              <m:r>
                <m:t>t</m:t>
              </m:r>
            </m:e>
          </m:d>
          <m:r>
            <m:rPr>
              <m:sty m:val="p"/>
            </m:rPr>
            <m:t>=</m:t>
          </m:r>
          <m:sSub>
            <m:e>
              <m:r>
                <m:t>C</m:t>
              </m:r>
            </m:e>
            <m:sub>
              <m:r>
                <m:rPr>
                  <m:nor/>
                  <m:sty m:val="p"/>
                </m:rPr>
                <m:t>batt</m:t>
              </m:r>
            </m:sub>
          </m:sSub>
          <m:r>
            <m:rPr>
              <m:sty m:val="p"/>
            </m:rPr>
            <m:t>×</m:t>
          </m:r>
          <m:sSup>
            <m:e>
              <m:d>
                <m:dPr>
                  <m:begChr m:val="("/>
                  <m:sepChr m:val=""/>
                  <m:endChr m:val=")"/>
                  <m:grow/>
                </m:dPr>
                <m:e>
                  <m:r>
                    <m:t>1</m:t>
                  </m:r>
                  <m:r>
                    <m:rPr>
                      <m:sty m:val="p"/>
                    </m:rPr>
                    <m:t>−</m:t>
                  </m:r>
                  <m:sSub>
                    <m:e>
                      <m:r>
                        <m:t>δ</m:t>
                      </m:r>
                    </m:e>
                    <m:sub>
                      <m:r>
                        <m:t>b</m:t>
                      </m:r>
                    </m:sub>
                  </m:sSub>
                </m:e>
              </m:d>
            </m:e>
            <m:sup>
              <m:r>
                <m:t>t</m:t>
              </m:r>
              <m:r>
                <m:rPr>
                  <m:sty m:val="p"/>
                </m:rPr>
                <m:t>−</m:t>
              </m:r>
              <m:sSub>
                <m:e>
                  <m:r>
                    <m:t>t</m:t>
                  </m:r>
                </m:e>
                <m:sub>
                  <m:r>
                    <m:t>0</m:t>
                  </m:r>
                </m:sub>
              </m:sSub>
            </m:sup>
          </m:sSup>
          <m:r>
            <m:rPr>
              <m:sty m:val="p"/>
            </m:rPr>
            <m:t>×</m:t>
          </m:r>
          <m:sSub>
            <m:e>
              <m:r>
                <m:t>Q</m:t>
              </m:r>
            </m:e>
            <m:sub>
              <m:r>
                <m:rPr>
                  <m:nor/>
                  <m:sty m:val="p"/>
                </m:rPr>
                <m:t>kWh</m:t>
              </m:r>
            </m:sub>
          </m:sSub>
          <m:r>
            <m:rPr>
              <m:sty m:val="p"/>
            </m:rPr>
            <m:t>×</m:t>
          </m:r>
          <m:d>
            <m:dPr>
              <m:begChr m:val="("/>
              <m:sepChr m:val=""/>
              <m:endChr m:val=")"/>
              <m:grow/>
            </m:dPr>
            <m:e>
              <m:r>
                <m:t>1</m:t>
              </m:r>
              <m:r>
                <m:rPr>
                  <m:sty m:val="p"/>
                </m:rPr>
                <m:t>+</m:t>
              </m:r>
              <m:r>
                <m:t>α</m:t>
              </m:r>
            </m:e>
          </m:d>
        </m:oMath>
      </m:oMathPara>
    </w:p>
    <w:p>
      <w:pPr>
        <w:pStyle w:val="FirstParagraph"/>
      </w:pPr>
      <w:r>
        <w:t xml:space="preserve">where</w:t>
      </w:r>
      <w:r>
        <w:t xml:space="preserve"> </w:t>
      </w:r>
      <m:oMath>
        <m:sSub>
          <m:e>
            <m:r>
              <m:t>C</m:t>
            </m:r>
          </m:e>
          <m:sub>
            <m:r>
              <m:rPr>
                <m:nor/>
                <m:sty m:val="p"/>
              </m:rPr>
              <m:t>batt</m:t>
            </m:r>
          </m:sub>
        </m:sSub>
      </m:oMath>
      <w:r>
        <w:t xml:space="preserve"> </w:t>
      </w:r>
      <w:r>
        <w:t xml:space="preserve">= battery CAPEX ($/kWh),</w:t>
      </w:r>
      <w:r>
        <w:t xml:space="preserve"> </w:t>
      </w:r>
      <m:oMath>
        <m:sSub>
          <m:e>
            <m:r>
              <m:t>δ</m:t>
            </m:r>
          </m:e>
          <m:sub>
            <m:r>
              <m:t>b</m:t>
            </m:r>
          </m:sub>
        </m:sSub>
      </m:oMath>
      <w:r>
        <w:t xml:space="preserve"> </w:t>
      </w:r>
      <w:r>
        <w:t xml:space="preserve">= annual cost decline rate.</w:t>
      </w:r>
    </w:p>
    <w:bookmarkEnd w:id="307"/>
    <w:bookmarkStart w:id="308" w:name="eq-c4-diesel-fuel-cost-two-part-curve"/>
    <w:p>
      <w:pPr>
        <w:pStyle w:val="Heading3"/>
      </w:pPr>
      <w:r>
        <w:t xml:space="preserve">13.3.4 EQ-C4: Diesel Fuel Cost (Two-Part Curve)</w:t>
      </w:r>
    </w:p>
    <w:p>
      <w:pPr>
        <w:pStyle w:val="FirstParagraph"/>
      </w:pPr>
      <m:oMathPara>
        <m:oMathParaPr>
          <m:jc m:val="center"/>
        </m:oMathParaPr>
        <m:oMath>
          <m:r>
            <m:t>F</m:t>
          </m:r>
          <m:d>
            <m:dPr>
              <m:begChr m:val="("/>
              <m:sepChr m:val=""/>
              <m:endChr m:val=")"/>
              <m:grow/>
            </m:dPr>
            <m:e>
              <m:r>
                <m:t>t</m:t>
              </m:r>
            </m:e>
          </m:d>
          <m:r>
            <m:rPr>
              <m:sty m:val="p"/>
            </m:rPr>
            <m:t>=</m:t>
          </m:r>
          <m:r>
            <m:t>L</m:t>
          </m:r>
          <m:d>
            <m:dPr>
              <m:begChr m:val="("/>
              <m:sepChr m:val=""/>
              <m:endChr m:val=")"/>
              <m:grow/>
            </m:dPr>
            <m:e>
              <m:r>
                <m:t>t</m:t>
              </m:r>
            </m:e>
          </m:d>
          <m:r>
            <m:rPr>
              <m:sty m:val="p"/>
            </m:rPr>
            <m:t>×</m:t>
          </m:r>
          <m:sSub>
            <m:e>
              <m:r>
                <m:t>P</m:t>
              </m:r>
            </m:e>
            <m:sub>
              <m:r>
                <m:t>f</m:t>
              </m:r>
            </m:sub>
          </m:sSub>
          <m:d>
            <m:dPr>
              <m:begChr m:val="("/>
              <m:sepChr m:val=""/>
              <m:endChr m:val=")"/>
              <m:grow/>
            </m:dPr>
            <m:e>
              <m:r>
                <m:t>t</m:t>
              </m:r>
            </m:e>
          </m:d>
        </m:oMath>
      </m:oMathPara>
    </w:p>
    <w:p>
      <w:pPr>
        <w:pStyle w:val="FirstParagraph"/>
      </w:pPr>
      <w:r>
        <w:t xml:space="preserve">Fuel consumption uses the two-part Mandelli (2016) fuel curve:</w:t>
      </w:r>
    </w:p>
    <w:p>
      <w:pPr>
        <w:pStyle w:val="BodyText"/>
      </w:pPr>
      <m:oMathPara>
        <m:oMathParaPr>
          <m:jc m:val="center"/>
        </m:oMathParaPr>
        <m:oMath>
          <m:r>
            <m:t>L</m:t>
          </m:r>
          <m:d>
            <m:dPr>
              <m:begChr m:val="("/>
              <m:sepChr m:val=""/>
              <m:endChr m:val=")"/>
              <m:grow/>
            </m:dPr>
            <m:e>
              <m:r>
                <m:t>t</m:t>
              </m:r>
            </m:e>
          </m:d>
          <m:r>
            <m:rPr>
              <m:sty m:val="p"/>
            </m:rPr>
            <m:t>=</m:t>
          </m:r>
          <m:sSub>
            <m:e>
              <m:r>
                <m:t>Q</m:t>
              </m:r>
            </m:e>
            <m:sub>
              <m:r>
                <m:rPr>
                  <m:nor/>
                  <m:sty m:val="p"/>
                </m:rPr>
                <m:t>kW</m:t>
              </m:r>
            </m:sub>
          </m:sSub>
          <m:r>
            <m:rPr>
              <m:sty m:val="p"/>
            </m:rPr>
            <m:t>×</m:t>
          </m:r>
          <m:sSub>
            <m:e>
              <m:r>
                <m:t>c</m:t>
              </m:r>
            </m:e>
            <m:sub>
              <m:r>
                <m:rPr>
                  <m:nor/>
                  <m:sty m:val="p"/>
                </m:rPr>
                <m:t>idle</m:t>
              </m:r>
            </m:sub>
          </m:sSub>
          <m:r>
            <m:rPr>
              <m:sty m:val="p"/>
            </m:rPr>
            <m:t>×</m:t>
          </m:r>
          <m:r>
            <m:t>h</m:t>
          </m:r>
          <m:r>
            <m:rPr>
              <m:sty m:val="p"/>
            </m:rPr>
            <m:t>+</m:t>
          </m:r>
          <m:sSub>
            <m:e>
              <m:r>
                <m:t>G</m:t>
              </m:r>
            </m:e>
            <m:sub>
              <m:r>
                <m:rPr>
                  <m:nor/>
                  <m:sty m:val="p"/>
                </m:rPr>
                <m:t>kWh</m:t>
              </m:r>
            </m:sub>
          </m:sSub>
          <m:r>
            <m:rPr>
              <m:sty m:val="p"/>
            </m:rPr>
            <m:t>×</m:t>
          </m:r>
          <m:sSub>
            <m:e>
              <m:r>
                <m:t>c</m:t>
              </m:r>
            </m:e>
            <m:sub>
              <m:r>
                <m:rPr>
                  <m:nor/>
                  <m:sty m:val="p"/>
                </m:rPr>
                <m:t>prop</m:t>
              </m:r>
            </m:sub>
          </m:sSub>
        </m:oMath>
      </m:oMathPara>
    </w:p>
    <w:p>
      <w:pPr>
        <w:pStyle w:val="FirstParagraph"/>
      </w:pPr>
      <w:r>
        <w:t xml:space="preserve">where</w:t>
      </w:r>
      <w:r>
        <w:t xml:space="preserve"> </w:t>
      </w:r>
      <m:oMath>
        <m:sSub>
          <m:e>
            <m:r>
              <m:t>c</m:t>
            </m:r>
          </m:e>
          <m:sub>
            <m:r>
              <m:rPr>
                <m:nor/>
                <m:sty m:val="p"/>
              </m:rPr>
              <m:t>idle</m:t>
            </m:r>
          </m:sub>
        </m:sSub>
        <m:r>
          <m:rPr>
            <m:sty m:val="p"/>
          </m:rPr>
          <m:t>=</m:t>
        </m:r>
        <m:r>
          <m:t>0.08145</m:t>
        </m:r>
      </m:oMath>
      <w:r>
        <w:t xml:space="preserve"> </w:t>
      </w:r>
      <w:r>
        <w:t xml:space="preserve">L/hr/kW (idle/no-load coefficient) and</w:t>
      </w:r>
      <w:r>
        <w:t xml:space="preserve"> </w:t>
      </w:r>
      <m:oMath>
        <m:sSub>
          <m:e>
            <m:r>
              <m:t>c</m:t>
            </m:r>
          </m:e>
          <m:sub>
            <m:r>
              <m:rPr>
                <m:nor/>
                <m:sty m:val="p"/>
              </m:rPr>
              <m:t>prop</m:t>
            </m:r>
          </m:sub>
        </m:sSub>
        <m:r>
          <m:rPr>
            <m:sty m:val="p"/>
          </m:rPr>
          <m:t>=</m:t>
        </m:r>
        <m:r>
          <m:t>0.246</m:t>
        </m:r>
      </m:oMath>
      <w:r>
        <w:t xml:space="preserve"> </w:t>
      </w:r>
      <w:r>
        <w:t xml:space="preserve">L/kWh (proportional coefficient), following OnSSET L266 (Mandelli 2016).</w:t>
      </w:r>
    </w:p>
    <w:p>
      <w:pPr>
        <w:pStyle w:val="BodyText"/>
      </w:pPr>
      <w:r>
        <w:t xml:space="preserve">Fuel price escalation:</w:t>
      </w:r>
    </w:p>
    <w:p>
      <w:pPr>
        <w:pStyle w:val="BodyText"/>
      </w:pPr>
      <m:oMathPara>
        <m:oMathParaPr>
          <m:jc m:val="center"/>
        </m:oMathParaPr>
        <m:oMath>
          <m:sSub>
            <m:e>
              <m:r>
                <m:t>P</m:t>
              </m:r>
            </m:e>
            <m:sub>
              <m:r>
                <m:t>f</m:t>
              </m:r>
            </m:sub>
          </m:sSub>
          <m:d>
            <m:dPr>
              <m:begChr m:val="("/>
              <m:sepChr m:val=""/>
              <m:endChr m:val=")"/>
              <m:grow/>
            </m:dPr>
            <m:e>
              <m:r>
                <m:t>t</m:t>
              </m:r>
            </m:e>
          </m:d>
          <m:r>
            <m:rPr>
              <m:sty m:val="p"/>
            </m:rPr>
            <m:t>=</m:t>
          </m:r>
          <m:sSub>
            <m:e>
              <m:r>
                <m:t>P</m:t>
              </m:r>
            </m:e>
            <m:sub>
              <m:r>
                <m:t>0</m:t>
              </m:r>
            </m:sub>
          </m:sSub>
          <m:r>
            <m:rPr>
              <m:sty m:val="p"/>
            </m:rPr>
            <m:t>×</m:t>
          </m:r>
          <m:sSup>
            <m:e>
              <m:d>
                <m:dPr>
                  <m:begChr m:val="("/>
                  <m:sepChr m:val=""/>
                  <m:endChr m:val=")"/>
                  <m:grow/>
                </m:dPr>
                <m:e>
                  <m:r>
                    <m:t>1</m:t>
                  </m:r>
                  <m:r>
                    <m:rPr>
                      <m:sty m:val="p"/>
                    </m:rPr>
                    <m:t>+</m:t>
                  </m:r>
                  <m:sSub>
                    <m:e>
                      <m:r>
                        <m:t>e</m:t>
                      </m:r>
                    </m:e>
                    <m:sub>
                      <m:r>
                        <m:t>f</m:t>
                      </m:r>
                    </m:sub>
                  </m:sSub>
                </m:e>
              </m:d>
            </m:e>
            <m:sup>
              <m:r>
                <m:t>t</m:t>
              </m:r>
              <m:r>
                <m:rPr>
                  <m:sty m:val="p"/>
                </m:rPr>
                <m:t>−</m:t>
              </m:r>
              <m:sSub>
                <m:e>
                  <m:r>
                    <m:t>t</m:t>
                  </m:r>
                </m:e>
                <m:sub>
                  <m:r>
                    <m:t>0</m:t>
                  </m:r>
                </m:sub>
              </m:sSub>
            </m:sup>
          </m:sSup>
        </m:oMath>
      </m:oMathPara>
    </w:p>
    <w:p>
      <w:pPr>
        <w:pStyle w:val="FirstParagraph"/>
      </w:pPr>
      <w:r>
        <w:t xml:space="preserve">Operating hours:</w:t>
      </w:r>
    </w:p>
    <w:p>
      <w:pPr>
        <w:pStyle w:val="BodyText"/>
      </w:pPr>
      <m:oMathPara>
        <m:oMathParaPr>
          <m:jc m:val="center"/>
        </m:oMathParaPr>
        <m:oMath>
          <m:r>
            <m:t>h</m:t>
          </m:r>
          <m:r>
            <m:rPr>
              <m:sty m:val="p"/>
            </m:rPr>
            <m:t>=</m:t>
          </m:r>
          <m:r>
            <m:rPr>
              <m:sty m:val="p"/>
            </m:rPr>
            <m:t>min</m:t>
          </m:r>
          <m:d>
            <m:dPr>
              <m:begChr m:val="("/>
              <m:sepChr m:val=""/>
              <m:endChr m:val=")"/>
              <m:grow/>
            </m:dPr>
            <m:e>
              <m:r>
                <m:t>8760</m:t>
              </m:r>
              <m:r>
                <m:rPr>
                  <m:sty m:val="p"/>
                </m:rPr>
                <m:t>,</m:t>
              </m:r>
              <m:r>
                <m:t> </m:t>
              </m:r>
              <m:f>
                <m:fPr>
                  <m:type m:val="bar"/>
                </m:fPr>
                <m:num>
                  <m:sSub>
                    <m:e>
                      <m:r>
                        <m:t>G</m:t>
                      </m:r>
                    </m:e>
                    <m:sub>
                      <m:r>
                        <m:rPr>
                          <m:nor/>
                          <m:sty m:val="p"/>
                        </m:rPr>
                        <m:t>kWh</m:t>
                      </m:r>
                    </m:sub>
                  </m:sSub>
                </m:num>
                <m:den>
                  <m:sSub>
                    <m:e>
                      <m:r>
                        <m:t>Q</m:t>
                      </m:r>
                    </m:e>
                    <m:sub>
                      <m:r>
                        <m:rPr>
                          <m:nor/>
                          <m:sty m:val="p"/>
                        </m:rPr>
                        <m:t>kW</m:t>
                      </m:r>
                    </m:sub>
                  </m:sSub>
                  <m:r>
                    <m:rPr>
                      <m:sty m:val="p"/>
                    </m:rPr>
                    <m:t>×</m:t>
                  </m:r>
                  <m:acc>
                    <m:accPr>
                      <m:chr m:val="‾"/>
                    </m:accPr>
                    <m:e>
                      <m:r>
                        <m:t>l</m:t>
                      </m:r>
                    </m:e>
                  </m:acc>
                </m:den>
              </m:f>
            </m:e>
          </m:d>
          <m:r>
            <m:rPr>
              <m:sty m:val="p"/>
            </m:rPr>
            <m:t>,</m:t>
          </m:r>
          <m:r>
            <m:t> </m:t>
          </m:r>
          <m:acc>
            <m:accPr>
              <m:chr m:val="‾"/>
            </m:accPr>
            <m:e>
              <m:r>
                <m:t>l</m:t>
              </m:r>
            </m:e>
          </m:acc>
          <m:r>
            <m:rPr>
              <m:sty m:val="p"/>
            </m:rPr>
            <m:t>=</m:t>
          </m:r>
          <m:f>
            <m:fPr>
              <m:type m:val="bar"/>
            </m:fPr>
            <m:num>
              <m:sSub>
                <m:e>
                  <m:r>
                    <m:t>l</m:t>
                  </m:r>
                </m:e>
                <m:sub>
                  <m:r>
                    <m:rPr>
                      <m:sty m:val="p"/>
                    </m:rPr>
                    <m:t>min</m:t>
                  </m:r>
                </m:sub>
              </m:sSub>
              <m:r>
                <m:rPr>
                  <m:sty m:val="p"/>
                </m:rPr>
                <m:t>+</m:t>
              </m:r>
              <m:r>
                <m:t>1</m:t>
              </m:r>
            </m:num>
            <m:den>
              <m:r>
                <m:t>2</m:t>
              </m:r>
            </m:den>
          </m:f>
        </m:oMath>
      </m:oMathPara>
    </w:p>
    <w:bookmarkEnd w:id="308"/>
    <w:bookmarkStart w:id="309" w:name="eq-c5-td-loss-gross-up"/>
    <w:p>
      <w:pPr>
        <w:pStyle w:val="Heading3"/>
      </w:pPr>
      <w:r>
        <w:t xml:space="preserve">13.3.5 EQ-C5: T&amp;D Loss Gross-Up</w:t>
      </w:r>
    </w:p>
    <w:p>
      <w:pPr>
        <w:pStyle w:val="FirstParagraph"/>
      </w:pPr>
      <m:oMathPara>
        <m:oMathParaPr>
          <m:jc m:val="center"/>
        </m:oMathParaPr>
        <m:oMath>
          <m:sSub>
            <m:e>
              <m:r>
                <m:t>G</m:t>
              </m:r>
            </m:e>
            <m:sub>
              <m:r>
                <m:rPr>
                  <m:nor/>
                  <m:sty m:val="p"/>
                </m:rPr>
                <m:t>gross</m:t>
              </m:r>
            </m:sub>
          </m:sSub>
          <m:r>
            <m:rPr>
              <m:sty m:val="p"/>
            </m:rPr>
            <m:t>=</m:t>
          </m:r>
          <m:f>
            <m:fPr>
              <m:type m:val="bar"/>
            </m:fPr>
            <m:num>
              <m:sSub>
                <m:e>
                  <m:r>
                    <m:t>D</m:t>
                  </m:r>
                </m:e>
                <m:sub>
                  <m:r>
                    <m:rPr>
                      <m:nor/>
                      <m:sty m:val="p"/>
                    </m:rPr>
                    <m:t>net</m:t>
                  </m:r>
                </m:sub>
              </m:sSub>
            </m:num>
            <m:den>
              <m:d>
                <m:dPr>
                  <m:begChr m:val="("/>
                  <m:sepChr m:val=""/>
                  <m:endChr m:val=")"/>
                  <m:grow/>
                </m:dPr>
                <m:e>
                  <m:r>
                    <m:t>1</m:t>
                  </m:r>
                  <m:r>
                    <m:rPr>
                      <m:sty m:val="p"/>
                    </m:rPr>
                    <m:t>−</m:t>
                  </m:r>
                  <m:sSub>
                    <m:e>
                      <m:r>
                        <m:t>l</m:t>
                      </m:r>
                    </m:e>
                    <m:sub>
                      <m:r>
                        <m:t>d</m:t>
                      </m:r>
                    </m:sub>
                  </m:sSub>
                </m:e>
              </m:d>
              <m:r>
                <m:rPr>
                  <m:sty m:val="p"/>
                </m:rPr>
                <m:t>×</m:t>
              </m:r>
              <m:d>
                <m:dPr>
                  <m:begChr m:val="("/>
                  <m:sepChr m:val=""/>
                  <m:endChr m:val=")"/>
                  <m:grow/>
                </m:dPr>
                <m:e>
                  <m:r>
                    <m:t>1</m:t>
                  </m:r>
                  <m:r>
                    <m:rPr>
                      <m:sty m:val="p"/>
                    </m:rPr>
                    <m:t>−</m:t>
                  </m:r>
                  <m:sSub>
                    <m:e>
                      <m:r>
                        <m:t>l</m:t>
                      </m:r>
                    </m:e>
                    <m:sub>
                      <m:r>
                        <m:t>c</m:t>
                      </m:r>
                    </m:sub>
                  </m:sSub>
                </m:e>
              </m:d>
            </m:den>
          </m:f>
        </m:oMath>
      </m:oMathPara>
    </w:p>
    <w:p>
      <w:pPr>
        <w:pStyle w:val="FirstParagraph"/>
      </w:pPr>
      <w:r>
        <w:t xml:space="preserve">where</w:t>
      </w:r>
      <w:r>
        <w:t xml:space="preserve"> </w:t>
      </w:r>
      <m:oMath>
        <m:sSub>
          <m:e>
            <m:r>
              <m:t>l</m:t>
            </m:r>
          </m:e>
          <m:sub>
            <m:r>
              <m:t>d</m:t>
            </m:r>
          </m:sub>
        </m:sSub>
        <m:r>
          <m:rPr>
            <m:sty m:val="p"/>
          </m:rPr>
          <m:t>=</m:t>
        </m:r>
        <m:r>
          <m:t>0.11</m:t>
        </m:r>
      </m:oMath>
      <w:r>
        <w:t xml:space="preserve"> </w:t>
      </w:r>
      <w:r>
        <w:t xml:space="preserve">(distribution loss, World Bank WDI) and</w:t>
      </w:r>
      <w:r>
        <w:t xml:space="preserve"> </w:t>
      </w:r>
      <m:oMath>
        <m:sSub>
          <m:e>
            <m:r>
              <m:t>l</m:t>
            </m:r>
          </m:e>
          <m:sub>
            <m:r>
              <m:t>c</m:t>
            </m:r>
          </m:sub>
        </m:sSub>
        <m:r>
          <m:rPr>
            <m:sty m:val="p"/>
          </m:rPr>
          <m:t>=</m:t>
        </m:r>
        <m:r>
          <m:t>0.04</m:t>
        </m:r>
      </m:oMath>
      <w:r>
        <w:t xml:space="preserve"> </w:t>
      </w:r>
      <w:r>
        <w:t xml:space="preserve">(HVDC cable loss, Skog et al. CIGRÉ 2010 B1-106). Multiplicative formulation (not additive).</w:t>
      </w:r>
    </w:p>
    <w:bookmarkEnd w:id="309"/>
    <w:bookmarkStart w:id="310" w:name="eq-c6-cable-capex-full-breakdown"/>
    <w:p>
      <w:pPr>
        <w:pStyle w:val="Heading3"/>
      </w:pPr>
      <w:r>
        <w:t xml:space="preserve">13.3.6 EQ-C6: Cable CAPEX (Full Breakdown)</w:t>
      </w:r>
    </w:p>
    <w:p>
      <w:pPr>
        <w:pStyle w:val="FirstParagraph"/>
      </w:pPr>
      <m:oMathPara>
        <m:oMathParaPr>
          <m:jc m:val="center"/>
        </m:oMathParaPr>
        <m:oMath>
          <m:sSub>
            <m:e>
              <m:r>
                <m:rPr>
                  <m:nor/>
                  <m:sty m:val="p"/>
                </m:rPr>
                <m:t>CAPEX</m:t>
              </m:r>
            </m:e>
            <m:sub>
              <m:r>
                <m:rPr>
                  <m:nor/>
                  <m:sty m:val="p"/>
                </m:rPr>
                <m:t>cable</m:t>
              </m:r>
            </m:sub>
          </m:sSub>
          <m:r>
            <m:rPr>
              <m:sty m:val="p"/>
            </m:rPr>
            <m:t>=</m:t>
          </m:r>
          <m:d>
            <m:dPr>
              <m:begChr m:val="["/>
              <m:sepChr m:val=""/>
              <m:endChr m:val="]"/>
              <m:grow/>
            </m:dPr>
            <m:e>
              <m:sSub>
                <m:e>
                  <m:r>
                    <m:t>L</m:t>
                  </m:r>
                </m:e>
                <m:sub>
                  <m:r>
                    <m:rPr>
                      <m:nor/>
                      <m:sty m:val="p"/>
                    </m:rPr>
                    <m:t>km</m:t>
                  </m:r>
                </m:sub>
              </m:sSub>
              <m:r>
                <m:rPr>
                  <m:sty m:val="p"/>
                </m:rPr>
                <m:t>×</m:t>
              </m:r>
              <m:sSub>
                <m:e>
                  <m:r>
                    <m:t>C</m:t>
                  </m:r>
                </m:e>
                <m:sub>
                  <m:r>
                    <m:rPr>
                      <m:nor/>
                      <m:sty m:val="p"/>
                    </m:rPr>
                    <m:t>cable/km</m:t>
                  </m:r>
                </m:sub>
              </m:sSub>
              <m:r>
                <m:rPr>
                  <m:sty m:val="p"/>
                </m:rPr>
                <m:t>+</m:t>
              </m:r>
              <m:sSub>
                <m:e>
                  <m:r>
                    <m:t>C</m:t>
                  </m:r>
                </m:e>
                <m:sub>
                  <m:r>
                    <m:rPr>
                      <m:nor/>
                      <m:sty m:val="p"/>
                    </m:rPr>
                    <m:t>conv/MW</m:t>
                  </m:r>
                </m:sub>
              </m:sSub>
              <m:r>
                <m:rPr>
                  <m:sty m:val="p"/>
                </m:rPr>
                <m:t>×</m:t>
              </m:r>
              <m:sSub>
                <m:e>
                  <m:r>
                    <m:t>P</m:t>
                  </m:r>
                </m:e>
                <m:sub>
                  <m:r>
                    <m:rPr>
                      <m:nor/>
                      <m:sty m:val="p"/>
                    </m:rPr>
                    <m:t>cap</m:t>
                  </m:r>
                </m:sub>
              </m:sSub>
              <m:r>
                <m:rPr>
                  <m:sty m:val="p"/>
                </m:rPr>
                <m:t>+</m:t>
              </m:r>
              <m:sSub>
                <m:e>
                  <m:r>
                    <m:t>C</m:t>
                  </m:r>
                </m:e>
                <m:sub>
                  <m:r>
                    <m:rPr>
                      <m:nor/>
                      <m:sty m:val="p"/>
                    </m:rPr>
                    <m:t>land</m:t>
                  </m:r>
                </m:sub>
              </m:sSub>
              <m:r>
                <m:rPr>
                  <m:sty m:val="p"/>
                </m:rPr>
                <m:t>×</m:t>
              </m:r>
              <m:sSub>
                <m:e>
                  <m:r>
                    <m:t>N</m:t>
                  </m:r>
                </m:e>
                <m:sub>
                  <m:r>
                    <m:rPr>
                      <m:nor/>
                      <m:sty m:val="p"/>
                    </m:rPr>
                    <m:t>land</m:t>
                  </m:r>
                </m:sub>
              </m:sSub>
            </m:e>
          </m:d>
          <m:r>
            <m:rPr>
              <m:sty m:val="p"/>
            </m:rPr>
            <m:t>×</m:t>
          </m:r>
          <m:d>
            <m:dPr>
              <m:begChr m:val="("/>
              <m:sepChr m:val=""/>
              <m:endChr m:val=")"/>
              <m:grow/>
            </m:dPr>
            <m:e>
              <m:r>
                <m:t>1</m:t>
              </m:r>
              <m:r>
                <m:rPr>
                  <m:sty m:val="p"/>
                </m:rPr>
                <m:t>+</m:t>
              </m:r>
              <m:sSub>
                <m:e>
                  <m:r>
                    <m:t>r</m:t>
                  </m:r>
                </m:e>
                <m:sub>
                  <m:r>
                    <m:rPr>
                      <m:nor/>
                      <m:sty m:val="p"/>
                    </m:rPr>
                    <m:t>IDC</m:t>
                  </m:r>
                </m:sub>
              </m:sSub>
            </m:e>
          </m:d>
          <m:r>
            <m:rPr>
              <m:sty m:val="p"/>
            </m:rPr>
            <m:t>+</m:t>
          </m:r>
          <m:sSub>
            <m:e>
              <m:r>
                <m:t>C</m:t>
              </m:r>
            </m:e>
            <m:sub>
              <m:r>
                <m:rPr>
                  <m:nor/>
                  <m:sty m:val="p"/>
                </m:rPr>
                <m:t>grid</m:t>
              </m:r>
            </m:sub>
          </m:sSub>
          <m:r>
            <m:rPr>
              <m:sty m:val="p"/>
            </m:rPr>
            <m:t>×</m:t>
          </m:r>
          <m:d>
            <m:dPr>
              <m:begChr m:val="("/>
              <m:sepChr m:val=""/>
              <m:endChr m:val=")"/>
              <m:grow/>
            </m:dPr>
            <m:e>
              <m:r>
                <m:t>1</m:t>
              </m:r>
              <m:r>
                <m:rPr>
                  <m:sty m:val="p"/>
                </m:rPr>
                <m:t>+</m:t>
              </m:r>
              <m:r>
                <m:t>α</m:t>
              </m:r>
            </m:e>
          </m:d>
        </m:oMath>
      </m:oMathPara>
    </w:p>
    <w:bookmarkEnd w:id="310"/>
    <w:bookmarkStart w:id="311" w:name="eq-c7-ppa-import-cost"/>
    <w:p>
      <w:pPr>
        <w:pStyle w:val="Heading3"/>
      </w:pPr>
      <w:r>
        <w:t xml:space="preserve">13.3.7 EQ-C7: PPA Import Cost</w:t>
      </w:r>
    </w:p>
    <w:p>
      <w:pPr>
        <w:pStyle w:val="FirstParagraph"/>
      </w:pPr>
      <m:oMathPara>
        <m:oMathParaPr>
          <m:jc m:val="center"/>
        </m:oMathParaPr>
        <m:oMath>
          <m:r>
            <m:rPr>
              <m:nor/>
              <m:sty m:val="p"/>
            </m:rPr>
            <m:t>PPA</m:t>
          </m:r>
          <m:d>
            <m:dPr>
              <m:begChr m:val="("/>
              <m:sepChr m:val=""/>
              <m:endChr m:val=")"/>
              <m:grow/>
            </m:dPr>
            <m:e>
              <m:r>
                <m:t>t</m:t>
              </m:r>
            </m:e>
          </m:d>
          <m:r>
            <m:rPr>
              <m:sty m:val="p"/>
            </m:rPr>
            <m:t>=</m:t>
          </m:r>
          <m:sSub>
            <m:e>
              <m:r>
                <m:t>G</m:t>
              </m:r>
            </m:e>
            <m:sub>
              <m:r>
                <m:rPr>
                  <m:nor/>
                  <m:sty m:val="p"/>
                </m:rPr>
                <m:t>import</m:t>
              </m:r>
            </m:sub>
          </m:sSub>
          <m:r>
            <m:rPr>
              <m:sty m:val="p"/>
            </m:rPr>
            <m:t>×</m:t>
          </m:r>
          <m:d>
            <m:dPr>
              <m:begChr m:val="("/>
              <m:sepChr m:val=""/>
              <m:endChr m:val=")"/>
              <m:grow/>
            </m:dPr>
            <m:e>
              <m:sSub>
                <m:e>
                  <m:r>
                    <m:t>P</m:t>
                  </m:r>
                </m:e>
                <m:sub>
                  <m:r>
                    <m:rPr>
                      <m:nor/>
                      <m:sty m:val="p"/>
                    </m:rPr>
                    <m:t>PPA</m:t>
                  </m:r>
                </m:sub>
              </m:sSub>
              <m:r>
                <m:rPr>
                  <m:sty m:val="p"/>
                </m:rPr>
                <m:t>+</m:t>
              </m:r>
              <m:sSub>
                <m:e>
                  <m:r>
                    <m:t>P</m:t>
                  </m:r>
                </m:e>
                <m:sub>
                  <m:r>
                    <m:rPr>
                      <m:nor/>
                      <m:sty m:val="p"/>
                    </m:rPr>
                    <m:t>tx</m:t>
                  </m:r>
                </m:sub>
              </m:sSub>
            </m:e>
          </m:d>
          <m:r>
            <m:rPr>
              <m:sty m:val="p"/>
            </m:rPr>
            <m:t>×</m:t>
          </m:r>
          <m:sSup>
            <m:e>
              <m:d>
                <m:dPr>
                  <m:begChr m:val="("/>
                  <m:sepChr m:val=""/>
                  <m:endChr m:val=")"/>
                  <m:grow/>
                </m:dPr>
                <m:e>
                  <m:r>
                    <m:t>1</m:t>
                  </m:r>
                  <m:r>
                    <m:rPr>
                      <m:sty m:val="p"/>
                    </m:rPr>
                    <m:t>+</m:t>
                  </m:r>
                  <m:sSub>
                    <m:e>
                      <m:r>
                        <m:t>e</m:t>
                      </m:r>
                    </m:e>
                    <m:sub>
                      <m:r>
                        <m:rPr>
                          <m:nor/>
                          <m:sty m:val="p"/>
                        </m:rPr>
                        <m:t>PPA</m:t>
                      </m:r>
                    </m:sub>
                  </m:sSub>
                </m:e>
              </m:d>
            </m:e>
            <m:sup>
              <m:r>
                <m:t>t</m:t>
              </m:r>
              <m:r>
                <m:rPr>
                  <m:sty m:val="p"/>
                </m:rPr>
                <m:t>−</m:t>
              </m:r>
              <m:sSub>
                <m:e>
                  <m:r>
                    <m:t>t</m:t>
                  </m:r>
                </m:e>
                <m:sub>
                  <m:r>
                    <m:rPr>
                      <m:nor/>
                      <m:sty m:val="p"/>
                    </m:rPr>
                    <m:t>online</m:t>
                  </m:r>
                </m:sub>
              </m:sSub>
            </m:sup>
          </m:sSup>
        </m:oMath>
      </m:oMathPara>
    </w:p>
    <w:bookmarkEnd w:id="311"/>
    <w:bookmarkStart w:id="312" w:name="eq-c8-connection-cost-per-household"/>
    <w:p>
      <w:pPr>
        <w:pStyle w:val="Heading3"/>
      </w:pPr>
      <w:r>
        <w:t xml:space="preserve">13.3.8 EQ-C8: Connection Cost per Household</w:t>
      </w:r>
    </w:p>
    <w:p>
      <w:pPr>
        <w:pStyle w:val="FirstParagraph"/>
      </w:pPr>
      <m:oMathPara>
        <m:oMathParaPr>
          <m:jc m:val="center"/>
        </m:oMathParaPr>
        <m:oMath>
          <m:sSub>
            <m:e>
              <m:r>
                <m:rPr>
                  <m:nor/>
                  <m:sty m:val="p"/>
                </m:rPr>
                <m:t>CAPEX</m:t>
              </m:r>
            </m:e>
            <m:sub>
              <m:r>
                <m:rPr>
                  <m:nor/>
                  <m:sty m:val="p"/>
                </m:rPr>
                <m:t>connection</m:t>
              </m:r>
            </m:sub>
          </m:sSub>
          <m:d>
            <m:dPr>
              <m:begChr m:val="("/>
              <m:sepChr m:val=""/>
              <m:endChr m:val=")"/>
              <m:grow/>
            </m:dPr>
            <m:e>
              <m:r>
                <m:t>t</m:t>
              </m:r>
            </m:e>
          </m:d>
          <m:r>
            <m:rPr>
              <m:sty m:val="p"/>
            </m:rPr>
            <m:t>=</m:t>
          </m:r>
          <m:d>
            <m:dPr>
              <m:begChr m:val="{"/>
              <m:sepChr m:val=""/>
              <m:endChr m:val=""/>
              <m:grow/>
            </m:dPr>
            <m:e>
              <m:m>
                <m:mPr>
                  <m:baseJc m:val="center"/>
                  <m:plcHide m:val="on"/>
                  <m:mcs>
                    <m:mc>
                      <m:mcPr>
                        <m:mcJc m:val="left"/>
                        <m:count m:val="1"/>
                      </m:mcPr>
                    </m:mc>
                    <m:mc>
                      <m:mcPr>
                        <m:mcJc m:val="left"/>
                        <m:count m:val="1"/>
                      </m:mcPr>
                    </m:mc>
                  </m:mcs>
                </m:mPr>
                <m:mr>
                  <m:e>
                    <m:sSub>
                      <m:e>
                        <m:r>
                          <m:t>C</m:t>
                        </m:r>
                      </m:e>
                      <m:sub>
                        <m:r>
                          <m:rPr>
                            <m:nor/>
                            <m:sty m:val="p"/>
                          </m:rPr>
                          <m:t>HH</m:t>
                        </m:r>
                      </m:sub>
                    </m:sSub>
                    <m:r>
                      <m:rPr>
                        <m:sty m:val="p"/>
                      </m:rPr>
                      <m:t>×</m:t>
                    </m:r>
                    <m:sSub>
                      <m:e>
                        <m:r>
                          <m:t>N</m:t>
                        </m:r>
                      </m:e>
                      <m:sub>
                        <m:r>
                          <m:rPr>
                            <m:nor/>
                            <m:sty m:val="p"/>
                          </m:rPr>
                          <m:t>HH</m:t>
                        </m:r>
                      </m:sub>
                    </m:sSub>
                    <m:r>
                      <m:rPr>
                        <m:sty m:val="p"/>
                      </m:rPr>
                      <m:t>/</m:t>
                    </m:r>
                    <m:sSub>
                      <m:e>
                        <m:r>
                          <m:t>Y</m:t>
                        </m:r>
                      </m:e>
                      <m:sub>
                        <m:r>
                          <m:rPr>
                            <m:nor/>
                            <m:sty m:val="p"/>
                          </m:rPr>
                          <m:t>rollout</m:t>
                        </m:r>
                      </m:sub>
                    </m:sSub>
                  </m:e>
                  <m:e>
                    <m:r>
                      <m:rPr>
                        <m:nor/>
                        <m:sty m:val="p"/>
                      </m:rPr>
                      <m:t>if </m:t>
                    </m:r>
                    <m:r>
                      <m:t>t</m:t>
                    </m:r>
                    <m:r>
                      <m:rPr>
                        <m:sty m:val="p"/>
                      </m:rPr>
                      <m:t>≤</m:t>
                    </m:r>
                    <m:sSub>
                      <m:e>
                        <m:r>
                          <m:t>t</m:t>
                        </m:r>
                      </m:e>
                      <m:sub>
                        <m:r>
                          <m:t>0</m:t>
                        </m:r>
                      </m:sub>
                    </m:sSub>
                    <m:r>
                      <m:rPr>
                        <m:sty m:val="p"/>
                      </m:rPr>
                      <m:t>+</m:t>
                    </m:r>
                    <m:sSub>
                      <m:e>
                        <m:r>
                          <m:t>Y</m:t>
                        </m:r>
                      </m:e>
                      <m:sub>
                        <m:r>
                          <m:rPr>
                            <m:nor/>
                            <m:sty m:val="p"/>
                          </m:rPr>
                          <m:t>rollout</m:t>
                        </m:r>
                      </m:sub>
                    </m:sSub>
                  </m:e>
                </m:mr>
                <m:mr>
                  <m:e>
                    <m:r>
                      <m:t>0</m:t>
                    </m:r>
                  </m:e>
                  <m:e>
                    <m:r>
                      <m:rPr>
                        <m:nor/>
                        <m:sty m:val="p"/>
                      </m:rPr>
                      <m:t>otherwise</m:t>
                    </m:r>
                  </m:e>
                </m:mr>
              </m:m>
            </m:e>
          </m:d>
        </m:oMath>
      </m:oMathPara>
    </w:p>
    <w:p>
      <w:pPr>
        <w:pStyle w:val="FirstParagraph"/>
      </w:pPr>
      <w:r>
        <w:t xml:space="preserve">where</w:t>
      </w:r>
      <w:r>
        <w:t xml:space="preserve"> </w:t>
      </w:r>
      <m:oMath>
        <m:sSub>
          <m:e>
            <m:r>
              <m:t>C</m:t>
            </m:r>
          </m:e>
          <m:sub>
            <m:r>
              <m:rPr>
                <m:nor/>
                <m:sty m:val="p"/>
              </m:rPr>
              <m:t>HH</m:t>
            </m:r>
          </m:sub>
        </m:sSub>
        <m:r>
          <m:rPr>
            <m:sty m:val="p"/>
          </m:rPr>
          <m:t>=</m:t>
        </m:r>
        <m:r>
          <m:rPr>
            <m:sty m:val="p"/>
          </m:rPr>
          <m:t>$</m:t>
        </m:r>
        <m:r>
          <m:t>200</m:t>
        </m:r>
      </m:oMath>
      <w:r>
        <w:t xml:space="preserve">/household,</w:t>
      </w:r>
      <w:r>
        <w:t xml:space="preserve"> </w:t>
      </w:r>
      <m:oMath>
        <m:sSub>
          <m:e>
            <m:r>
              <m:t>N</m:t>
            </m:r>
          </m:e>
          <m:sub>
            <m:r>
              <m:rPr>
                <m:nor/>
                <m:sty m:val="p"/>
              </m:rPr>
              <m:t>HH</m:t>
            </m:r>
          </m:sub>
        </m:sSub>
        <m:r>
          <m:rPr>
            <m:sty m:val="p"/>
          </m:rPr>
          <m:t>=</m:t>
        </m:r>
        <m:r>
          <m:t>100</m:t>
        </m:r>
        <m:r>
          <m:rPr>
            <m:sty m:val="p"/>
          </m:rPr>
          <m:t>,</m:t>
        </m:r>
        <m:r>
          <m:t>000</m:t>
        </m:r>
      </m:oMath>
      <w:r>
        <w:t xml:space="preserve">,</w:t>
      </w:r>
      <w:r>
        <w:t xml:space="preserve"> </w:t>
      </w:r>
      <m:oMath>
        <m:sSub>
          <m:e>
            <m:r>
              <m:t>Y</m:t>
            </m:r>
          </m:e>
          <m:sub>
            <m:r>
              <m:rPr>
                <m:nor/>
                <m:sty m:val="p"/>
              </m:rPr>
              <m:t>rollout</m:t>
            </m:r>
          </m:sub>
        </m:sSub>
        <m:r>
          <m:rPr>
            <m:sty m:val="p"/>
          </m:rPr>
          <m:t>=</m:t>
        </m:r>
        <m:r>
          <m:t>5</m:t>
        </m:r>
      </m:oMath>
      <w:r>
        <w:t xml:space="preserve"> </w:t>
      </w:r>
      <w:r>
        <w:t xml:space="preserve">years.</w:t>
      </w:r>
    </w:p>
    <w:p>
      <w:r>
        <w:pict>
          <v:rect style="width:0;height:1.5pt" o:hralign="center" o:hrstd="t" o:hr="t"/>
        </w:pict>
      </w:r>
    </w:p>
    <w:bookmarkEnd w:id="312"/>
    <w:bookmarkEnd w:id="313"/>
    <w:bookmarkStart w:id="318" w:name="a.4-emissions-module"/>
    <w:p>
      <w:pPr>
        <w:pStyle w:val="Heading2"/>
      </w:pPr>
      <w:r>
        <w:t xml:space="preserve">13.4 A.4 Emissions Module</w:t>
      </w:r>
    </w:p>
    <w:bookmarkStart w:id="314" w:name="eq-e1-diesel-co₂-emissions"/>
    <w:p>
      <w:pPr>
        <w:pStyle w:val="Heading3"/>
      </w:pPr>
      <w:r>
        <w:t xml:space="preserve">13.4.1 EQ-E1: Diesel CO₂ Emissions</w:t>
      </w:r>
    </w:p>
    <w:p>
      <w:pPr>
        <w:pStyle w:val="FirstParagraph"/>
      </w:pPr>
      <m:oMathPara>
        <m:oMathParaPr>
          <m:jc m:val="center"/>
        </m:oMathParaPr>
        <m:oMath>
          <m:sSub>
            <m:e>
              <m:r>
                <m:t>E</m:t>
              </m:r>
            </m:e>
            <m:sub>
              <m:r>
                <m:rPr>
                  <m:nor/>
                  <m:sty m:val="p"/>
                </m:rPr>
                <m:t>diesel</m:t>
              </m:r>
            </m:sub>
          </m:sSub>
          <m:r>
            <m:rPr>
              <m:sty m:val="p"/>
            </m:rPr>
            <m:t>=</m:t>
          </m:r>
          <m:sSub>
            <m:e>
              <m:r>
                <m:t>G</m:t>
              </m:r>
            </m:e>
            <m:sub>
              <m:r>
                <m:rPr>
                  <m:nor/>
                  <m:sty m:val="p"/>
                </m:rPr>
                <m:t>kWh</m:t>
              </m:r>
            </m:sub>
          </m:sSub>
          <m:r>
            <m:rPr>
              <m:sty m:val="p"/>
            </m:rPr>
            <m:t>×</m:t>
          </m:r>
          <m:r>
            <m:t>E</m:t>
          </m:r>
          <m:sSub>
            <m:e>
              <m:r>
                <m:t>F</m:t>
              </m:r>
            </m:e>
            <m:sub>
              <m:sSub>
                <m:e>
                  <m:r>
                    <m:rPr>
                      <m:nor/>
                      <m:sty m:val="p"/>
                    </m:rPr>
                    <m:t>CO</m:t>
                  </m:r>
                </m:e>
                <m:sub>
                  <m:r>
                    <m:t>2</m:t>
                  </m:r>
                </m:sub>
              </m:sSub>
            </m:sub>
          </m:sSub>
        </m:oMath>
      </m:oMathPara>
    </w:p>
    <w:p>
      <w:pPr>
        <w:pStyle w:val="FirstParagraph"/>
      </w:pPr>
      <w:r>
        <w:t xml:space="preserve">where</w:t>
      </w:r>
      <w:r>
        <w:t xml:space="preserve"> </w:t>
      </w:r>
      <m:oMath>
        <m:r>
          <m:t>E</m:t>
        </m:r>
        <m:sSub>
          <m:e>
            <m:r>
              <m:t>F</m:t>
            </m:r>
          </m:e>
          <m:sub>
            <m:sSub>
              <m:e>
                <m:r>
                  <m:rPr>
                    <m:nor/>
                    <m:sty m:val="p"/>
                  </m:rPr>
                  <m:t>CO</m:t>
                </m:r>
              </m:e>
              <m:sub>
                <m:r>
                  <m:t>2</m:t>
                </m:r>
              </m:sub>
            </m:sSub>
          </m:sub>
        </m:sSub>
        <m:r>
          <m:rPr>
            <m:sty m:val="p"/>
          </m:rPr>
          <m:t>=</m:t>
        </m:r>
        <m:r>
          <m:t>0.72</m:t>
        </m:r>
      </m:oMath>
      <w:r>
        <w:t xml:space="preserve"> </w:t>
      </w:r>
      <w:r>
        <w:t xml:space="preserve">kgCO₂/kWh (IPCC 2006 emission factor for diesel generation).</w:t>
      </w:r>
    </w:p>
    <w:bookmarkEnd w:id="314"/>
    <w:bookmarkStart w:id="315" w:name="Xcdef14832adf1dd88d830a993fe9ec08ac2bc74"/>
    <w:p>
      <w:pPr>
        <w:pStyle w:val="Heading3"/>
      </w:pPr>
      <w:r>
        <w:t xml:space="preserve">13.4.2 EQ-E2: Import Emissions (India Grid, Declining)</w:t>
      </w:r>
    </w:p>
    <w:p>
      <w:pPr>
        <w:pStyle w:val="FirstParagraph"/>
      </w:pPr>
      <m:oMathPara>
        <m:oMathParaPr>
          <m:jc m:val="center"/>
        </m:oMathParaPr>
        <m:oMath>
          <m:sSub>
            <m:e>
              <m:r>
                <m:t>E</m:t>
              </m:r>
            </m:e>
            <m:sub>
              <m:r>
                <m:rPr>
                  <m:nor/>
                  <m:sty m:val="p"/>
                </m:rPr>
                <m:t>import</m:t>
              </m:r>
            </m:sub>
          </m:sSub>
          <m:d>
            <m:dPr>
              <m:begChr m:val="("/>
              <m:sepChr m:val=""/>
              <m:endChr m:val=")"/>
              <m:grow/>
            </m:dPr>
            <m:e>
              <m:r>
                <m:t>t</m:t>
              </m:r>
            </m:e>
          </m:d>
          <m:r>
            <m:rPr>
              <m:sty m:val="p"/>
            </m:rPr>
            <m:t>=</m:t>
          </m:r>
          <m:sSub>
            <m:e>
              <m:r>
                <m:t>G</m:t>
              </m:r>
            </m:e>
            <m:sub>
              <m:r>
                <m:rPr>
                  <m:nor/>
                  <m:sty m:val="p"/>
                </m:rPr>
                <m:t>kWh</m:t>
              </m:r>
            </m:sub>
          </m:sSub>
          <m:r>
            <m:rPr>
              <m:sty m:val="p"/>
            </m:rPr>
            <m:t>×</m:t>
          </m:r>
          <m:r>
            <m:t>E</m:t>
          </m:r>
          <m:sSub>
            <m:e>
              <m:r>
                <m:t>F</m:t>
              </m:r>
            </m:e>
            <m:sub>
              <m:r>
                <m:rPr>
                  <m:nor/>
                  <m:sty m:val="p"/>
                </m:rPr>
                <m:t>India</m:t>
              </m:r>
            </m:sub>
          </m:sSub>
          <m:r>
            <m:rPr>
              <m:sty m:val="p"/>
            </m:rPr>
            <m:t>×</m:t>
          </m:r>
          <m:sSup>
            <m:e>
              <m:d>
                <m:dPr>
                  <m:begChr m:val="("/>
                  <m:sepChr m:val=""/>
                  <m:endChr m:val=")"/>
                  <m:grow/>
                </m:dPr>
                <m:e>
                  <m:r>
                    <m:t>1</m:t>
                  </m:r>
                  <m:r>
                    <m:rPr>
                      <m:sty m:val="p"/>
                    </m:rPr>
                    <m:t>−</m:t>
                  </m:r>
                  <m:sSub>
                    <m:e>
                      <m:r>
                        <m:t>d</m:t>
                      </m:r>
                    </m:e>
                    <m:sub>
                      <m:r>
                        <m:rPr>
                          <m:nor/>
                          <m:sty m:val="p"/>
                        </m:rPr>
                        <m:t>India</m:t>
                      </m:r>
                    </m:sub>
                  </m:sSub>
                </m:e>
              </m:d>
            </m:e>
            <m:sup>
              <m:r>
                <m:t>t</m:t>
              </m:r>
              <m:r>
                <m:rPr>
                  <m:sty m:val="p"/>
                </m:rPr>
                <m:t>−</m:t>
              </m:r>
              <m:sSub>
                <m:e>
                  <m:r>
                    <m:t>t</m:t>
                  </m:r>
                </m:e>
                <m:sub>
                  <m:r>
                    <m:rPr>
                      <m:nor/>
                      <m:sty m:val="p"/>
                    </m:rPr>
                    <m:t>base</m:t>
                  </m:r>
                </m:sub>
              </m:sSub>
            </m:sup>
          </m:sSup>
        </m:oMath>
      </m:oMathPara>
    </w:p>
    <w:p>
      <w:pPr>
        <w:pStyle w:val="FirstParagraph"/>
      </w:pPr>
      <w:r>
        <w:t xml:space="preserve">where</w:t>
      </w:r>
      <w:r>
        <w:t xml:space="preserve"> </w:t>
      </w:r>
      <m:oMath>
        <m:r>
          <m:t>E</m:t>
        </m:r>
        <m:sSub>
          <m:e>
            <m:r>
              <m:t>F</m:t>
            </m:r>
          </m:e>
          <m:sub>
            <m:r>
              <m:rPr>
                <m:nor/>
                <m:sty m:val="p"/>
              </m:rPr>
              <m:t>India</m:t>
            </m:r>
          </m:sub>
        </m:sSub>
        <m:r>
          <m:rPr>
            <m:sty m:val="p"/>
          </m:rPr>
          <m:t>=</m:t>
        </m:r>
        <m:r>
          <m:t>0.70</m:t>
        </m:r>
      </m:oMath>
      <w:r>
        <w:t xml:space="preserve"> </w:t>
      </w:r>
      <w:r>
        <w:t xml:space="preserve">kgCO₂/kWh and</w:t>
      </w:r>
      <w:r>
        <w:t xml:space="preserve"> </w:t>
      </w:r>
      <m:oMath>
        <m:sSub>
          <m:e>
            <m:r>
              <m:t>d</m:t>
            </m:r>
          </m:e>
          <m:sub>
            <m:r>
              <m:rPr>
                <m:nor/>
                <m:sty m:val="p"/>
              </m:rPr>
              <m:t>India</m:t>
            </m:r>
          </m:sub>
        </m:sSub>
        <m:r>
          <m:rPr>
            <m:sty m:val="p"/>
          </m:rPr>
          <m:t>=</m:t>
        </m:r>
        <m:r>
          <m:t>0.02</m:t>
        </m:r>
      </m:oMath>
      <w:r>
        <w:t xml:space="preserve">/yr (2% annual grid decarbonisation).</w:t>
      </w:r>
    </w:p>
    <w:bookmarkEnd w:id="315"/>
    <w:bookmarkStart w:id="316" w:name="eq-e3-social-cost-of-carbon"/>
    <w:p>
      <w:pPr>
        <w:pStyle w:val="Heading3"/>
      </w:pPr>
      <w:r>
        <w:t xml:space="preserve">13.4.3 EQ-E3: Social Cost of Carbon</w:t>
      </w:r>
    </w:p>
    <w:p>
      <w:pPr>
        <w:pStyle w:val="FirstParagraph"/>
      </w:pPr>
      <m:oMathPara>
        <m:oMathParaPr>
          <m:jc m:val="center"/>
        </m:oMathParaPr>
        <m:oMath>
          <m:r>
            <m:t>S</m:t>
          </m:r>
          <m:r>
            <m:t>C</m:t>
          </m:r>
          <m:r>
            <m:t>C</m:t>
          </m:r>
          <m:d>
            <m:dPr>
              <m:begChr m:val="("/>
              <m:sepChr m:val=""/>
              <m:endChr m:val=")"/>
              <m:grow/>
            </m:dPr>
            <m:e>
              <m:r>
                <m:t>t</m:t>
              </m:r>
            </m:e>
          </m:d>
          <m:r>
            <m:rPr>
              <m:sty m:val="p"/>
            </m:rPr>
            <m:t>=</m:t>
          </m:r>
          <m:r>
            <m:t>S</m:t>
          </m:r>
          <m:r>
            <m:t>C</m:t>
          </m:r>
          <m:sSub>
            <m:e>
              <m:r>
                <m:t>C</m:t>
              </m:r>
            </m:e>
            <m:sub>
              <m:r>
                <m:t>0</m:t>
              </m:r>
            </m:sub>
          </m:sSub>
          <m:r>
            <m:rPr>
              <m:sty m:val="p"/>
            </m:rPr>
            <m:t>×</m:t>
          </m:r>
          <m:sSup>
            <m:e>
              <m:d>
                <m:dPr>
                  <m:begChr m:val="("/>
                  <m:sepChr m:val=""/>
                  <m:endChr m:val=")"/>
                  <m:grow/>
                </m:dPr>
                <m:e>
                  <m:r>
                    <m:t>1</m:t>
                  </m:r>
                  <m:r>
                    <m:rPr>
                      <m:sty m:val="p"/>
                    </m:rPr>
                    <m:t>+</m:t>
                  </m:r>
                  <m:sSub>
                    <m:e>
                      <m:r>
                        <m:t>g</m:t>
                      </m:r>
                    </m:e>
                    <m:sub>
                      <m:r>
                        <m:rPr>
                          <m:nor/>
                          <m:sty m:val="p"/>
                        </m:rPr>
                        <m:t>SCC</m:t>
                      </m:r>
                    </m:sub>
                  </m:sSub>
                </m:e>
              </m:d>
            </m:e>
            <m:sup>
              <m:r>
                <m:t>t</m:t>
              </m:r>
              <m:r>
                <m:rPr>
                  <m:sty m:val="p"/>
                </m:rPr>
                <m:t>−</m:t>
              </m:r>
              <m:sSub>
                <m:e>
                  <m:r>
                    <m:t>t</m:t>
                  </m:r>
                </m:e>
                <m:sub>
                  <m:r>
                    <m:t>0</m:t>
                  </m:r>
                </m:sub>
              </m:sSub>
            </m:sup>
          </m:sSup>
        </m:oMath>
      </m:oMathPara>
    </w:p>
    <w:p>
      <w:pPr>
        <w:pStyle w:val="FirstParagraph"/>
      </w:pPr>
      <w:r>
        <w:t xml:space="preserve">where</w:t>
      </w:r>
      <w:r>
        <w:t xml:space="preserve"> </w:t>
      </w:r>
      <m:oMath>
        <m:r>
          <m:t>S</m:t>
        </m:r>
        <m:r>
          <m:t>C</m:t>
        </m:r>
        <m:sSub>
          <m:e>
            <m:r>
              <m:t>C</m:t>
            </m:r>
          </m:e>
          <m:sub>
            <m:r>
              <m:t>0</m:t>
            </m:r>
          </m:sub>
        </m:sSub>
        <m:r>
          <m:rPr>
            <m:sty m:val="p"/>
          </m:rPr>
          <m:t>=</m:t>
        </m:r>
        <m:r>
          <m:rPr>
            <m:sty m:val="p"/>
          </m:rPr>
          <m:t>$</m:t>
        </m:r>
        <m:r>
          <m:t>51</m:t>
        </m:r>
      </m:oMath>
      <w:r>
        <w:t xml:space="preserve">/tCO₂ (EPA 2023 interim at 3% discount rate) and</w:t>
      </w:r>
      <w:r>
        <w:t xml:space="preserve"> </w:t>
      </w:r>
      <m:oMath>
        <m:sSub>
          <m:e>
            <m:r>
              <m:t>g</m:t>
            </m:r>
          </m:e>
          <m:sub>
            <m:r>
              <m:rPr>
                <m:nor/>
                <m:sty m:val="p"/>
              </m:rPr>
              <m:t>SCC</m:t>
            </m:r>
          </m:sub>
        </m:sSub>
        <m:r>
          <m:rPr>
            <m:sty m:val="p"/>
          </m:rPr>
          <m:t>=</m:t>
        </m:r>
        <m:r>
          <m:t>0.02</m:t>
        </m:r>
      </m:oMath>
      <w:r>
        <w:t xml:space="preserve">/yr.</w:t>
      </w:r>
    </w:p>
    <w:bookmarkEnd w:id="316"/>
    <w:bookmarkStart w:id="317" w:name="eq-e4-environmental-externalities"/>
    <w:p>
      <w:pPr>
        <w:pStyle w:val="Heading3"/>
      </w:pPr>
      <w:r>
        <w:t xml:space="preserve">13.4.4 EQ-E4: Environmental Externalities</w:t>
      </w:r>
    </w:p>
    <w:p>
      <w:pPr>
        <w:pStyle w:val="FirstParagraph"/>
      </w:pPr>
      <m:oMathPara>
        <m:oMathParaPr>
          <m:jc m:val="center"/>
        </m:oMathParaPr>
        <m:oMath>
          <m:sSub>
            <m:e>
              <m:r>
                <m:t>B</m:t>
              </m:r>
            </m:e>
            <m:sub>
              <m:r>
                <m:rPr>
                  <m:nor/>
                  <m:sty m:val="p"/>
                </m:rPr>
                <m:t>env</m:t>
              </m:r>
            </m:sub>
          </m:sSub>
          <m:d>
            <m:dPr>
              <m:begChr m:val="("/>
              <m:sepChr m:val=""/>
              <m:endChr m:val=")"/>
              <m:grow/>
            </m:dPr>
            <m:e>
              <m:r>
                <m:t>t</m:t>
              </m:r>
            </m:e>
          </m:d>
          <m:r>
            <m:rPr>
              <m:sty m:val="p"/>
            </m:rPr>
            <m:t>=</m:t>
          </m:r>
          <m:r>
            <m:t>Δ</m:t>
          </m:r>
          <m:sSub>
            <m:e>
              <m:r>
                <m:t>D</m:t>
              </m:r>
            </m:e>
            <m:sub>
              <m:r>
                <m:rPr>
                  <m:nor/>
                  <m:sty m:val="p"/>
                </m:rPr>
                <m:t>diesel</m:t>
              </m:r>
            </m:sub>
          </m:sSub>
          <m:d>
            <m:dPr>
              <m:begChr m:val="("/>
              <m:sepChr m:val=""/>
              <m:endChr m:val=")"/>
              <m:grow/>
            </m:dPr>
            <m:e>
              <m:r>
                <m:t>t</m:t>
              </m:r>
            </m:e>
          </m:d>
          <m:r>
            <m:rPr>
              <m:sty m:val="p"/>
            </m:rPr>
            <m:t>×</m:t>
          </m:r>
          <m:d>
            <m:dPr>
              <m:begChr m:val="("/>
              <m:sepChr m:val=""/>
              <m:endChr m:val=")"/>
              <m:grow/>
            </m:dPr>
            <m:e>
              <m:sSub>
                <m:e>
                  <m:r>
                    <m:t>C</m:t>
                  </m:r>
                </m:e>
                <m:sub>
                  <m:r>
                    <m:rPr>
                      <m:nor/>
                      <m:sty m:val="p"/>
                    </m:rPr>
                    <m:t>noise</m:t>
                  </m:r>
                </m:sub>
              </m:sSub>
              <m:r>
                <m:rPr>
                  <m:sty m:val="p"/>
                </m:rPr>
                <m:t>+</m:t>
              </m:r>
              <m:sSub>
                <m:e>
                  <m:r>
                    <m:t>C</m:t>
                  </m:r>
                </m:e>
                <m:sub>
                  <m:r>
                    <m:rPr>
                      <m:nor/>
                      <m:sty m:val="p"/>
                    </m:rPr>
                    <m:t>spill</m:t>
                  </m:r>
                </m:sub>
              </m:sSub>
              <m:r>
                <m:rPr>
                  <m:sty m:val="p"/>
                </m:rPr>
                <m:t>+</m:t>
              </m:r>
              <m:sSub>
                <m:e>
                  <m:r>
                    <m:t>C</m:t>
                  </m:r>
                </m:e>
                <m:sub>
                  <m:r>
                    <m:rPr>
                      <m:nor/>
                      <m:sty m:val="p"/>
                    </m:rPr>
                    <m:t>biodiversity</m:t>
                  </m:r>
                </m:sub>
              </m:sSub>
            </m:e>
          </m:d>
        </m:oMath>
      </m:oMathPara>
    </w:p>
    <w:p>
      <w:pPr>
        <w:pStyle w:val="FirstParagraph"/>
      </w:pPr>
      <w:r>
        <w:t xml:space="preserve">where</w:t>
      </w:r>
      <w:r>
        <w:t xml:space="preserve"> </w:t>
      </w:r>
      <m:oMath>
        <m:sSub>
          <m:e>
            <m:r>
              <m:t>C</m:t>
            </m:r>
          </m:e>
          <m:sub>
            <m:r>
              <m:rPr>
                <m:nor/>
                <m:sty m:val="p"/>
              </m:rPr>
              <m:t>noise</m:t>
            </m:r>
          </m:sub>
        </m:sSub>
        <m:r>
          <m:rPr>
            <m:sty m:val="p"/>
          </m:rPr>
          <m:t>=</m:t>
        </m:r>
        <m:r>
          <m:rPr>
            <m:sty m:val="p"/>
          </m:rPr>
          <m:t>$</m:t>
        </m:r>
        <m:r>
          <m:t>5</m:t>
        </m:r>
      </m:oMath>
      <w:r>
        <w:t xml:space="preserve">/MWh,</w:t>
      </w:r>
      <w:r>
        <w:t xml:space="preserve"> </w:t>
      </w:r>
      <m:oMath>
        <m:sSub>
          <m:e>
            <m:r>
              <m:t>C</m:t>
            </m:r>
          </m:e>
          <m:sub>
            <m:r>
              <m:rPr>
                <m:nor/>
                <m:sty m:val="p"/>
              </m:rPr>
              <m:t>spill</m:t>
            </m:r>
          </m:sub>
        </m:sSub>
        <m:r>
          <m:rPr>
            <m:sty m:val="p"/>
          </m:rPr>
          <m:t>=</m:t>
        </m:r>
        <m:r>
          <m:rPr>
            <m:sty m:val="p"/>
          </m:rPr>
          <m:t>$</m:t>
        </m:r>
        <m:r>
          <m:t>3</m:t>
        </m:r>
      </m:oMath>
      <w:r>
        <w:t xml:space="preserve">/MWh,</w:t>
      </w:r>
      <w:r>
        <w:t xml:space="preserve"> </w:t>
      </w:r>
      <m:oMath>
        <m:sSub>
          <m:e>
            <m:r>
              <m:t>C</m:t>
            </m:r>
          </m:e>
          <m:sub>
            <m:r>
              <m:rPr>
                <m:nor/>
                <m:sty m:val="p"/>
              </m:rPr>
              <m:t>biodiversity</m:t>
            </m:r>
          </m:sub>
        </m:sSub>
        <m:r>
          <m:rPr>
            <m:sty m:val="p"/>
          </m:rPr>
          <m:t>=</m:t>
        </m:r>
        <m:r>
          <m:rPr>
            <m:sty m:val="p"/>
          </m:rPr>
          <m:t>$</m:t>
        </m:r>
        <m:r>
          <m:t>2</m:t>
        </m:r>
      </m:oMath>
      <w:r>
        <w:t xml:space="preserve">/MWh (total: $10/MWh).</w:t>
      </w:r>
    </w:p>
    <w:p>
      <w:r>
        <w:pict>
          <v:rect style="width:0;height:1.5pt" o:hralign="center" o:hrstd="t" o:hr="t"/>
        </w:pict>
      </w:r>
    </w:p>
    <w:bookmarkEnd w:id="317"/>
    <w:bookmarkEnd w:id="318"/>
    <w:bookmarkStart w:id="325" w:name="a.5-npv-cba-calculator"/>
    <w:p>
      <w:pPr>
        <w:pStyle w:val="Heading2"/>
      </w:pPr>
      <w:r>
        <w:t xml:space="preserve">13.5 A.5 NPV / CBA Calculator</w:t>
      </w:r>
    </w:p>
    <w:bookmarkStart w:id="319" w:name="eq-n1-net-present-value"/>
    <w:p>
      <w:pPr>
        <w:pStyle w:val="Heading3"/>
      </w:pPr>
      <w:r>
        <w:t xml:space="preserve">13.5.1 EQ-N1: Net Present Value</w:t>
      </w:r>
    </w:p>
    <w:p>
      <w:pPr>
        <w:pStyle w:val="FirstParagraph"/>
      </w:pPr>
      <m:oMathPara>
        <m:oMathParaPr>
          <m:jc m:val="center"/>
        </m:oMathParaPr>
        <m:oMath>
          <m:r>
            <m:rPr>
              <m:nor/>
              <m:sty m:val="p"/>
            </m:rPr>
            <m:t>NPV</m:t>
          </m:r>
          <m:r>
            <m:rPr>
              <m:sty m:val="p"/>
            </m:rPr>
            <m:t>=</m:t>
          </m:r>
          <m:nary>
            <m:naryPr>
              <m:chr m:val="∑"/>
              <m:limLoc m:val="undOvr"/>
              <m:subHide m:val="off"/>
              <m:supHide m:val="off"/>
            </m:naryPr>
            <m:sub>
              <m:r>
                <m:t>t</m:t>
              </m:r>
              <m:r>
                <m:rPr>
                  <m:sty m:val="p"/>
                </m:rPr>
                <m:t>=</m:t>
              </m:r>
              <m:sSub>
                <m:e>
                  <m:r>
                    <m:t>t</m:t>
                  </m:r>
                </m:e>
                <m:sub>
                  <m:r>
                    <m:t>0</m:t>
                  </m:r>
                </m:sub>
              </m:sSub>
            </m:sub>
            <m:sup>
              <m:r>
                <m:t>T</m:t>
              </m:r>
            </m:sup>
            <m:e>
              <m:f>
                <m:fPr>
                  <m:type m:val="bar"/>
                </m:fPr>
                <m:num>
                  <m:r>
                    <m:t>B</m:t>
                  </m:r>
                  <m:d>
                    <m:dPr>
                      <m:begChr m:val="("/>
                      <m:sepChr m:val=""/>
                      <m:endChr m:val=")"/>
                      <m:grow/>
                    </m:dPr>
                    <m:e>
                      <m:r>
                        <m:t>t</m:t>
                      </m:r>
                    </m:e>
                  </m:d>
                  <m:r>
                    <m:rPr>
                      <m:sty m:val="p"/>
                    </m:rPr>
                    <m:t>−</m:t>
                  </m:r>
                  <m:r>
                    <m:t>C</m:t>
                  </m:r>
                  <m:d>
                    <m:dPr>
                      <m:begChr m:val="("/>
                      <m:sepChr m:val=""/>
                      <m:endChr m:val=")"/>
                      <m:grow/>
                    </m:dPr>
                    <m:e>
                      <m:r>
                        <m:t>t</m:t>
                      </m:r>
                    </m:e>
                  </m:d>
                </m:num>
                <m:den>
                  <m:sSup>
                    <m:e>
                      <m:d>
                        <m:dPr>
                          <m:begChr m:val="("/>
                          <m:sepChr m:val=""/>
                          <m:endChr m:val=")"/>
                          <m:grow/>
                        </m:dPr>
                        <m:e>
                          <m:r>
                            <m:t>1</m:t>
                          </m:r>
                          <m:r>
                            <m:rPr>
                              <m:sty m:val="p"/>
                            </m:rPr>
                            <m:t>+</m:t>
                          </m:r>
                          <m:r>
                            <m:t>r</m:t>
                          </m:r>
                        </m:e>
                      </m:d>
                    </m:e>
                    <m:sup>
                      <m:r>
                        <m:t>t</m:t>
                      </m:r>
                      <m:r>
                        <m:rPr>
                          <m:sty m:val="p"/>
                        </m:rPr>
                        <m:t>−</m:t>
                      </m:r>
                      <m:sSub>
                        <m:e>
                          <m:r>
                            <m:t>t</m:t>
                          </m:r>
                        </m:e>
                        <m:sub>
                          <m:r>
                            <m:t>0</m:t>
                          </m:r>
                        </m:sub>
                      </m:sSub>
                    </m:sup>
                  </m:sSup>
                </m:den>
              </m:f>
            </m:e>
          </m:nary>
        </m:oMath>
      </m:oMathPara>
    </w:p>
    <w:p>
      <w:pPr>
        <w:pStyle w:val="FirstParagraph"/>
      </w:pPr>
      <w:r>
        <w:t xml:space="preserve">where</w:t>
      </w:r>
      <w:r>
        <w:t xml:space="preserve"> </w:t>
      </w:r>
      <m:oMath>
        <m:r>
          <m:t>r</m:t>
        </m:r>
        <m:r>
          <m:rPr>
            <m:sty m:val="p"/>
          </m:rPr>
          <m:t>=</m:t>
        </m:r>
        <m:r>
          <m:t>0.06</m:t>
        </m:r>
      </m:oMath>
      <w:r>
        <w:t xml:space="preserve"> </w:t>
      </w:r>
      <w:r>
        <w:t xml:space="preserve">(6% real discount rate, ADB SIDS standard).</w:t>
      </w:r>
    </w:p>
    <w:p>
      <w:pPr>
        <w:pStyle w:val="BodyText"/>
      </w:pPr>
      <w:r>
        <w:rPr>
          <w:b/>
          <w:bCs/>
        </w:rPr>
        <w:t xml:space="preserve">Benefit streams</w:t>
      </w:r>
      <w:r>
        <w:t xml:space="preserve"> </w:t>
      </w:r>
      <m:oMath>
        <m:r>
          <m:t>B</m:t>
        </m:r>
        <m:d>
          <m:dPr>
            <m:begChr m:val="("/>
            <m:sepChr m:val=""/>
            <m:endChr m:val=")"/>
            <m:grow/>
          </m:dPr>
          <m:e>
            <m:r>
              <m:t>t</m:t>
            </m:r>
          </m:e>
        </m:d>
      </m:oMath>
      <w:r>
        <w:t xml:space="preserve">:</w:t>
      </w:r>
    </w:p>
    <w:p>
      <w:pPr>
        <w:pStyle w:val="Compact"/>
        <w:numPr>
          <w:ilvl w:val="0"/>
          <w:numId w:val="1004"/>
        </w:numPr>
      </w:pPr>
      <w:r>
        <w:rPr>
          <w:b/>
          <w:bCs/>
        </w:rPr>
        <w:t xml:space="preserve">Fuel savings:</w:t>
      </w:r>
      <w:r>
        <w:t xml:space="preserve"> </w:t>
      </w:r>
      <w:r>
        <w:t xml:space="preserve">BAU fuel cost − scenario fuel cost</w:t>
      </w:r>
    </w:p>
    <w:p>
      <w:pPr>
        <w:pStyle w:val="Compact"/>
        <w:numPr>
          <w:ilvl w:val="0"/>
          <w:numId w:val="1004"/>
        </w:numPr>
      </w:pPr>
      <w:r>
        <w:rPr>
          <w:b/>
          <w:bCs/>
        </w:rPr>
        <w:t xml:space="preserve">Emission reduction:</w:t>
      </w:r>
      <w:r>
        <w:t xml:space="preserve"> </w:t>
      </w:r>
      <w:r>
        <w:t xml:space="preserve">(BAU emissions − scenario emissions) × SCC(t)</w:t>
      </w:r>
    </w:p>
    <w:p>
      <w:pPr>
        <w:pStyle w:val="Compact"/>
        <w:numPr>
          <w:ilvl w:val="0"/>
          <w:numId w:val="1004"/>
        </w:numPr>
      </w:pPr>
      <w:r>
        <w:rPr>
          <w:b/>
          <w:bCs/>
        </w:rPr>
        <w:t xml:space="preserve">Health co-benefits:</w:t>
      </w:r>
      <w:r>
        <w:t xml:space="preserve"> </w:t>
      </w:r>
      <w:r>
        <w:t xml:space="preserve">Diesel reduction × $40/MWh (Parry et al. 2014, IMF WP/14/199)</w:t>
      </w:r>
    </w:p>
    <w:p>
      <w:pPr>
        <w:pStyle w:val="Compact"/>
        <w:numPr>
          <w:ilvl w:val="0"/>
          <w:numId w:val="1004"/>
        </w:numPr>
      </w:pPr>
      <w:r>
        <w:rPr>
          <w:b/>
          <w:bCs/>
        </w:rPr>
        <w:t xml:space="preserve">Environmental externalities:</w:t>
      </w:r>
      <w:r>
        <w:t xml:space="preserve"> </w:t>
      </w:r>
      <w:r>
        <w:t xml:space="preserve">Diesel reduction × $10/MWh</w:t>
      </w:r>
    </w:p>
    <w:p>
      <w:pPr>
        <w:pStyle w:val="Compact"/>
        <w:numPr>
          <w:ilvl w:val="0"/>
          <w:numId w:val="1004"/>
        </w:numPr>
      </w:pPr>
      <w:r>
        <w:rPr>
          <w:b/>
          <w:bCs/>
        </w:rPr>
        <w:t xml:space="preserve">Subsidy avoidance:</w:t>
      </w:r>
      <w:r>
        <w:t xml:space="preserve"> </w:t>
      </w:r>
      <w:r>
        <w:t xml:space="preserve">Diesel reduction × $0.15/kWh (current government subsidy rate)</w:t>
      </w:r>
    </w:p>
    <w:p>
      <w:pPr>
        <w:pStyle w:val="FirstParagraph"/>
      </w:pPr>
      <w:r>
        <w:rPr>
          <w:b/>
          <w:bCs/>
        </w:rPr>
        <w:t xml:space="preserve">Cost streams</w:t>
      </w:r>
      <w:r>
        <w:t xml:space="preserve"> </w:t>
      </w:r>
      <m:oMath>
        <m:r>
          <m:t>C</m:t>
        </m:r>
        <m:d>
          <m:dPr>
            <m:begChr m:val="("/>
            <m:sepChr m:val=""/>
            <m:endChr m:val=")"/>
            <m:grow/>
          </m:dPr>
          <m:e>
            <m:r>
              <m:t>t</m:t>
            </m:r>
          </m:e>
        </m:d>
      </m:oMath>
      <w:r>
        <w:t xml:space="preserve">:</w:t>
      </w:r>
    </w:p>
    <w:p>
      <w:pPr>
        <w:pStyle w:val="Compact"/>
        <w:numPr>
          <w:ilvl w:val="0"/>
          <w:numId w:val="1005"/>
        </w:numPr>
      </w:pPr>
      <w:r>
        <w:t xml:space="preserve">CAPEX (solar, wind, battery, cable, grid upgrades, connections)</w:t>
      </w:r>
    </w:p>
    <w:p>
      <w:pPr>
        <w:pStyle w:val="Compact"/>
        <w:numPr>
          <w:ilvl w:val="0"/>
          <w:numId w:val="1005"/>
        </w:numPr>
      </w:pPr>
      <w:r>
        <w:t xml:space="preserve">OPEX (solar, wind, battery, diesel O&amp;M)</w:t>
      </w:r>
    </w:p>
    <w:p>
      <w:pPr>
        <w:pStyle w:val="Compact"/>
        <w:numPr>
          <w:ilvl w:val="0"/>
          <w:numId w:val="1005"/>
        </w:numPr>
      </w:pPr>
      <w:r>
        <w:t xml:space="preserve">PPA import costs (for cable scenarios)</w:t>
      </w:r>
    </w:p>
    <w:bookmarkEnd w:id="319"/>
    <w:bookmarkStart w:id="320" w:name="eq-n2-incremental-analysis"/>
    <w:p>
      <w:pPr>
        <w:pStyle w:val="Heading3"/>
      </w:pPr>
      <w:r>
        <w:t xml:space="preserve">13.5.2 EQ-N2: Incremental Analysis</w:t>
      </w:r>
    </w:p>
    <w:p>
      <w:pPr>
        <w:pStyle w:val="FirstParagraph"/>
      </w:pPr>
      <m:oMathPara>
        <m:oMathParaPr>
          <m:jc m:val="center"/>
        </m:oMathParaPr>
        <m:oMath>
          <m:r>
            <m:t>Δ</m:t>
          </m:r>
          <m:r>
            <m:rPr>
              <m:nor/>
              <m:sty m:val="p"/>
            </m:rPr>
            <m:t>NPV</m:t>
          </m:r>
          <m:r>
            <m:rPr>
              <m:sty m:val="p"/>
            </m:rPr>
            <m:t>=</m:t>
          </m:r>
          <m:sSub>
            <m:e>
              <m:r>
                <m:rPr>
                  <m:nor/>
                  <m:sty m:val="p"/>
                </m:rPr>
                <m:t>NPV</m:t>
              </m:r>
            </m:e>
            <m:sub>
              <m:r>
                <m:rPr>
                  <m:nor/>
                  <m:sty m:val="p"/>
                </m:rPr>
                <m:t>scenario</m:t>
              </m:r>
            </m:sub>
          </m:sSub>
          <m:r>
            <m:rPr>
              <m:sty m:val="p"/>
            </m:rPr>
            <m:t>−</m:t>
          </m:r>
          <m:sSub>
            <m:e>
              <m:r>
                <m:rPr>
                  <m:nor/>
                  <m:sty m:val="p"/>
                </m:rPr>
                <m:t>NPV</m:t>
              </m:r>
            </m:e>
            <m:sub>
              <m:r>
                <m:rPr>
                  <m:nor/>
                  <m:sty m:val="p"/>
                </m:rPr>
                <m:t>BAU</m:t>
              </m:r>
            </m:sub>
          </m:sSub>
        </m:oMath>
      </m:oMathPara>
    </w:p>
    <w:bookmarkEnd w:id="320"/>
    <w:bookmarkStart w:id="321" w:name="eq-n3-benefit-cost-ratio"/>
    <w:p>
      <w:pPr>
        <w:pStyle w:val="Heading3"/>
      </w:pPr>
      <w:r>
        <w:t xml:space="preserve">13.5.3 EQ-N3: Benefit-Cost Ratio</w:t>
      </w:r>
    </w:p>
    <w:p>
      <w:pPr>
        <w:pStyle w:val="FirstParagraph"/>
      </w:pPr>
      <m:oMathPara>
        <m:oMathParaPr>
          <m:jc m:val="center"/>
        </m:oMathParaPr>
        <m:oMath>
          <m:r>
            <m:rPr>
              <m:nor/>
              <m:sty m:val="p"/>
            </m:rPr>
            <m:t>BCR</m:t>
          </m:r>
          <m:r>
            <m:rPr>
              <m:sty m:val="p"/>
            </m:rPr>
            <m:t>=</m:t>
          </m:r>
          <m:f>
            <m:fPr>
              <m:type m:val="bar"/>
            </m:fPr>
            <m:num>
              <m:nary>
                <m:naryPr>
                  <m:chr m:val="∑"/>
                  <m:limLoc m:val="undOvr"/>
                  <m:subHide m:val="off"/>
                  <m:supHide m:val="on"/>
                </m:naryPr>
                <m:sub>
                  <m:r>
                    <m:t>t</m:t>
                  </m:r>
                </m:sub>
                <m:sup>
                  <m:r>
                    <m:t>​</m:t>
                  </m:r>
                </m:sup>
                <m:e>
                  <m:r>
                    <m:t>P</m:t>
                  </m:r>
                </m:e>
              </m:nary>
              <m:r>
                <m:t>V</m:t>
              </m:r>
              <m:d>
                <m:dPr>
                  <m:begChr m:val="("/>
                  <m:sepChr m:val=""/>
                  <m:endChr m:val=")"/>
                  <m:grow/>
                </m:dPr>
                <m:e>
                  <m:sSub>
                    <m:e>
                      <m:r>
                        <m:rPr>
                          <m:nor/>
                          <m:sty m:val="p"/>
                        </m:rPr>
                        <m:t>Benefits</m:t>
                      </m:r>
                    </m:e>
                    <m:sub>
                      <m:r>
                        <m:t>t</m:t>
                      </m:r>
                    </m:sub>
                  </m:sSub>
                </m:e>
              </m:d>
            </m:num>
            <m:den>
              <m:nary>
                <m:naryPr>
                  <m:chr m:val="∑"/>
                  <m:limLoc m:val="undOvr"/>
                  <m:subHide m:val="off"/>
                  <m:supHide m:val="on"/>
                </m:naryPr>
                <m:sub>
                  <m:r>
                    <m:t>t</m:t>
                  </m:r>
                </m:sub>
                <m:sup>
                  <m:r>
                    <m:t>​</m:t>
                  </m:r>
                </m:sup>
                <m:e>
                  <m:r>
                    <m:t>P</m:t>
                  </m:r>
                </m:e>
              </m:nary>
              <m:r>
                <m:t>V</m:t>
              </m:r>
              <m:d>
                <m:dPr>
                  <m:begChr m:val="("/>
                  <m:sepChr m:val=""/>
                  <m:endChr m:val=")"/>
                  <m:grow/>
                </m:dPr>
                <m:e>
                  <m:sSub>
                    <m:e>
                      <m:r>
                        <m:rPr>
                          <m:nor/>
                          <m:sty m:val="p"/>
                        </m:rPr>
                        <m:t>Costs</m:t>
                      </m:r>
                    </m:e>
                    <m:sub>
                      <m:r>
                        <m:t>t</m:t>
                      </m:r>
                    </m:sub>
                  </m:sSub>
                </m:e>
              </m:d>
            </m:den>
          </m:f>
        </m:oMath>
      </m:oMathPara>
    </w:p>
    <w:bookmarkEnd w:id="321"/>
    <w:bookmarkStart w:id="322" w:name="eq-n4-internal-rate-of-return"/>
    <w:p>
      <w:pPr>
        <w:pStyle w:val="Heading3"/>
      </w:pPr>
      <w:r>
        <w:t xml:space="preserve">13.5.4 EQ-N4: Internal Rate of Return</w:t>
      </w:r>
    </w:p>
    <w:p>
      <w:pPr>
        <w:pStyle w:val="FirstParagraph"/>
      </w:pPr>
      <w:r>
        <w:t xml:space="preserve">The IRR is the discount rate</w:t>
      </w:r>
      <w:r>
        <w:t xml:space="preserve"> </w:t>
      </w:r>
      <m:oMath>
        <m:sSup>
          <m:e>
            <m:r>
              <m:t>r</m:t>
            </m:r>
          </m:e>
          <m:sup>
            <m:r>
              <m:rPr>
                <m:sty m:val="p"/>
              </m:rPr>
              <m:t>*</m:t>
            </m:r>
          </m:sup>
        </m:sSup>
      </m:oMath>
      <w:r>
        <w:t xml:space="preserve"> </w:t>
      </w:r>
      <w:r>
        <w:t xml:space="preserve">that makes the NPV of the incremental cash flows equal to zero:</w:t>
      </w:r>
    </w:p>
    <w:p>
      <w:pPr>
        <w:pStyle w:val="BodyText"/>
      </w:pPr>
      <m:oMathPara>
        <m:oMathParaPr>
          <m:jc m:val="center"/>
        </m:oMathParaPr>
        <m:oMath>
          <m:nary>
            <m:naryPr>
              <m:chr m:val="∑"/>
              <m:limLoc m:val="undOvr"/>
              <m:subHide m:val="off"/>
              <m:supHide m:val="off"/>
            </m:naryPr>
            <m:sub>
              <m:r>
                <m:t>t</m:t>
              </m:r>
              <m:r>
                <m:rPr>
                  <m:sty m:val="p"/>
                </m:rPr>
                <m:t>=</m:t>
              </m:r>
              <m:sSub>
                <m:e>
                  <m:r>
                    <m:t>t</m:t>
                  </m:r>
                </m:e>
                <m:sub>
                  <m:r>
                    <m:t>0</m:t>
                  </m:r>
                </m:sub>
              </m:sSub>
            </m:sub>
            <m:sup>
              <m:r>
                <m:t>T</m:t>
              </m:r>
            </m:sup>
            <m:e>
              <m:f>
                <m:fPr>
                  <m:type m:val="bar"/>
                </m:fPr>
                <m:num>
                  <m:r>
                    <m:t>Δ</m:t>
                  </m:r>
                  <m:r>
                    <m:t>B</m:t>
                  </m:r>
                  <m:d>
                    <m:dPr>
                      <m:begChr m:val="("/>
                      <m:sepChr m:val=""/>
                      <m:endChr m:val=")"/>
                      <m:grow/>
                    </m:dPr>
                    <m:e>
                      <m:r>
                        <m:t>t</m:t>
                      </m:r>
                    </m:e>
                  </m:d>
                  <m:r>
                    <m:rPr>
                      <m:sty m:val="p"/>
                    </m:rPr>
                    <m:t>−</m:t>
                  </m:r>
                  <m:r>
                    <m:t>Δ</m:t>
                  </m:r>
                  <m:r>
                    <m:t>C</m:t>
                  </m:r>
                  <m:d>
                    <m:dPr>
                      <m:begChr m:val="("/>
                      <m:sepChr m:val=""/>
                      <m:endChr m:val=")"/>
                      <m:grow/>
                    </m:dPr>
                    <m:e>
                      <m:r>
                        <m:t>t</m:t>
                      </m:r>
                    </m:e>
                  </m:d>
                </m:num>
                <m:den>
                  <m:sSup>
                    <m:e>
                      <m:d>
                        <m:dPr>
                          <m:begChr m:val="("/>
                          <m:sepChr m:val=""/>
                          <m:endChr m:val=")"/>
                          <m:grow/>
                        </m:dPr>
                        <m:e>
                          <m:r>
                            <m:t>1</m:t>
                          </m:r>
                          <m:r>
                            <m:rPr>
                              <m:sty m:val="p"/>
                            </m:rPr>
                            <m:t>+</m:t>
                          </m:r>
                          <m:sSup>
                            <m:e>
                              <m:r>
                                <m:t>r</m:t>
                              </m:r>
                            </m:e>
                            <m:sup>
                              <m:r>
                                <m:rPr>
                                  <m:sty m:val="p"/>
                                </m:rPr>
                                <m:t>*</m:t>
                              </m:r>
                            </m:sup>
                          </m:sSup>
                        </m:e>
                      </m:d>
                    </m:e>
                    <m:sup>
                      <m:r>
                        <m:t>t</m:t>
                      </m:r>
                      <m:r>
                        <m:rPr>
                          <m:sty m:val="p"/>
                        </m:rPr>
                        <m:t>−</m:t>
                      </m:r>
                      <m:sSub>
                        <m:e>
                          <m:r>
                            <m:t>t</m:t>
                          </m:r>
                        </m:e>
                        <m:sub>
                          <m:r>
                            <m:t>0</m:t>
                          </m:r>
                        </m:sub>
                      </m:sSub>
                    </m:sup>
                  </m:sSup>
                </m:den>
              </m:f>
            </m:e>
          </m:nary>
          <m:r>
            <m:rPr>
              <m:sty m:val="p"/>
            </m:rPr>
            <m:t>=</m:t>
          </m:r>
          <m:r>
            <m:t>0</m:t>
          </m:r>
        </m:oMath>
      </m:oMathPara>
    </w:p>
    <w:bookmarkEnd w:id="322"/>
    <w:bookmarkStart w:id="323" w:name="eq-n5-salvage-value"/>
    <w:p>
      <w:pPr>
        <w:pStyle w:val="Heading3"/>
      </w:pPr>
      <w:r>
        <w:t xml:space="preserve">13.5.5 EQ-N5: Salvage Value</w:t>
      </w:r>
    </w:p>
    <w:p>
      <w:pPr>
        <w:pStyle w:val="FirstParagraph"/>
      </w:pPr>
      <m:oMathPara>
        <m:oMathParaPr>
          <m:jc m:val="center"/>
        </m:oMathParaPr>
        <m:oMath>
          <m:sSub>
            <m:e>
              <m:r>
                <m:t>S</m:t>
              </m:r>
            </m:e>
            <m:sub>
              <m:r>
                <m:t>T</m:t>
              </m:r>
            </m:sub>
          </m:sSub>
          <m:r>
            <m:rPr>
              <m:sty m:val="p"/>
            </m:rPr>
            <m:t>=</m:t>
          </m:r>
          <m:r>
            <m:rPr>
              <m:nor/>
              <m:sty m:val="p"/>
            </m:rPr>
            <m:t>CAPEX</m:t>
          </m:r>
          <m:r>
            <m:rPr>
              <m:sty m:val="p"/>
            </m:rPr>
            <m:t>×</m:t>
          </m:r>
          <m:r>
            <m:rPr>
              <m:sty m:val="p"/>
            </m:rPr>
            <m:t>max</m:t>
          </m:r>
          <m:d>
            <m:dPr>
              <m:begChr m:val="("/>
              <m:sepChr m:val=""/>
              <m:endChr m:val=")"/>
              <m:grow/>
            </m:dPr>
            <m:e>
              <m:r>
                <m:t>0</m:t>
              </m:r>
              <m:r>
                <m:rPr>
                  <m:sty m:val="p"/>
                </m:rPr>
                <m:t>,</m:t>
              </m:r>
              <m:r>
                <m:t> </m:t>
              </m:r>
              <m:r>
                <m:t>1</m:t>
              </m:r>
              <m:r>
                <m:rPr>
                  <m:sty m:val="p"/>
                </m:rPr>
                <m:t>−</m:t>
              </m:r>
              <m:f>
                <m:fPr>
                  <m:type m:val="bar"/>
                </m:fPr>
                <m:num>
                  <m:r>
                    <m:t>T</m:t>
                  </m:r>
                  <m:r>
                    <m:rPr>
                      <m:sty m:val="p"/>
                    </m:rPr>
                    <m:t>−</m:t>
                  </m:r>
                  <m:sSub>
                    <m:e>
                      <m:r>
                        <m:t>t</m:t>
                      </m:r>
                    </m:e>
                    <m:sub>
                      <m:r>
                        <m:rPr>
                          <m:nor/>
                          <m:sty m:val="p"/>
                        </m:rPr>
                        <m:t>install</m:t>
                      </m:r>
                    </m:sub>
                  </m:sSub>
                </m:num>
                <m:den>
                  <m:sSub>
                    <m:e>
                      <m:r>
                        <m:t>τ</m:t>
                      </m:r>
                    </m:e>
                    <m:sub>
                      <m:r>
                        <m:rPr>
                          <m:nor/>
                          <m:sty m:val="p"/>
                        </m:rPr>
                        <m:t>tech</m:t>
                      </m:r>
                    </m:sub>
                  </m:sSub>
                </m:den>
              </m:f>
            </m:e>
          </m:d>
        </m:oMath>
      </m:oMathPara>
    </w:p>
    <w:p>
      <w:pPr>
        <w:pStyle w:val="FirstParagraph"/>
      </w:pPr>
      <w:r>
        <w:t xml:space="preserve">Salvage is computed at the end of the analysis horizon for any asset with remaining useful life. The value is discounted back to the base year and added to the NPV as a terminal benefit.</w:t>
      </w:r>
    </w:p>
    <w:bookmarkEnd w:id="323"/>
    <w:bookmarkStart w:id="324" w:name="eq-n6-declining-discount-rate-ddr"/>
    <w:p>
      <w:pPr>
        <w:pStyle w:val="Heading3"/>
      </w:pPr>
      <w:r>
        <w:t xml:space="preserve">13.5.6 EQ-N6: Declining Discount Rate (DDR)</w:t>
      </w:r>
    </w:p>
    <w:p>
      <w:pPr>
        <w:pStyle w:val="FirstParagraph"/>
      </w:pPr>
      <w:r>
        <w:t xml:space="preserve">For the DDR sensitivity: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Years</w:t>
            </w:r>
          </w:p>
        </w:tc>
        <w:tc>
          <w:tcPr/>
          <w:p>
            <w:pPr>
              <w:pStyle w:val="Compact"/>
            </w:pPr>
            <w:r>
              <w:t xml:space="preserve">Rate</w:t>
            </w:r>
          </w:p>
        </w:tc>
      </w:tr>
      <w:tr>
        <w:tc>
          <w:tcPr/>
          <w:p>
            <w:pPr>
              <w:pStyle w:val="Compact"/>
            </w:pPr>
            <w:r>
              <w:t xml:space="preserve">0–30</w:t>
            </w:r>
          </w:p>
        </w:tc>
        <w:tc>
          <w:tcPr/>
          <w:p>
            <w:pPr>
              <w:pStyle w:val="Compact"/>
            </w:pPr>
            <w:r>
              <w:t xml:space="preserve">3.5%</w:t>
            </w:r>
          </w:p>
        </w:tc>
      </w:tr>
      <w:tr>
        <w:tc>
          <w:tcPr/>
          <w:p>
            <w:pPr>
              <w:pStyle w:val="Compact"/>
            </w:pPr>
            <w:r>
              <w:t xml:space="preserve">31–75</w:t>
            </w:r>
          </w:p>
        </w:tc>
        <w:tc>
          <w:tcPr/>
          <w:p>
            <w:pPr>
              <w:pStyle w:val="Compact"/>
            </w:pPr>
            <w:r>
              <w:t xml:space="preserve">3.0%</w:t>
            </w:r>
          </w:p>
        </w:tc>
      </w:tr>
      <w:tr>
        <w:tc>
          <w:tcPr/>
          <w:p>
            <w:pPr>
              <w:pStyle w:val="Compact"/>
            </w:pPr>
            <w:r>
              <w:t xml:space="preserve">76–125</w:t>
            </w:r>
          </w:p>
        </w:tc>
        <w:tc>
          <w:tcPr/>
          <w:p>
            <w:pPr>
              <w:pStyle w:val="Compact"/>
            </w:pPr>
            <w:r>
              <w:t xml:space="preserve">2.5%</w:t>
            </w:r>
          </w:p>
        </w:tc>
      </w:tr>
    </w:tbl>
    <w:p>
      <w:pPr>
        <w:pStyle w:val="BodyText"/>
      </w:pPr>
      <w:r>
        <w:t xml:space="preserve">Based on HM Treasury Green Book, Drupp et al. (2018), and Weitzman (2001).</w:t>
      </w:r>
    </w:p>
    <w:p>
      <w:pPr>
        <w:pStyle w:val="BodyText"/>
      </w:pPr>
      <m:oMathPara>
        <m:oMathParaPr>
          <m:jc m:val="center"/>
        </m:oMathParaPr>
        <m:oMath>
          <m:r>
            <m:t>P</m:t>
          </m:r>
          <m:sSub>
            <m:e>
              <m:r>
                <m:t>V</m:t>
              </m:r>
            </m:e>
            <m:sub>
              <m:r>
                <m:t>t</m:t>
              </m:r>
            </m:sub>
          </m:sSub>
          <m:r>
            <m:rPr>
              <m:sty m:val="p"/>
            </m:rPr>
            <m:t>=</m:t>
          </m:r>
          <m:f>
            <m:fPr>
              <m:type m:val="bar"/>
            </m:fPr>
            <m:num>
              <m:r>
                <m:t>1</m:t>
              </m:r>
            </m:num>
            <m:den>
              <m:nary>
                <m:naryPr>
                  <m:chr m:val="∏"/>
                  <m:limLoc m:val="undOvr"/>
                  <m:subHide m:val="off"/>
                  <m:supHide m:val="off"/>
                </m:naryPr>
                <m:sub>
                  <m:r>
                    <m:t>s</m:t>
                  </m:r>
                  <m:r>
                    <m:rPr>
                      <m:sty m:val="p"/>
                    </m:rPr>
                    <m:t>=</m:t>
                  </m:r>
                  <m:r>
                    <m:t>0</m:t>
                  </m:r>
                </m:sub>
                <m:sup>
                  <m:r>
                    <m:t>t</m:t>
                  </m:r>
                  <m:r>
                    <m:rPr>
                      <m:sty m:val="p"/>
                    </m:rPr>
                    <m:t>−</m:t>
                  </m:r>
                  <m:r>
                    <m:t>1</m:t>
                  </m:r>
                </m:sup>
                <m:e>
                  <m:d>
                    <m:dPr>
                      <m:begChr m:val="("/>
                      <m:sepChr m:val=""/>
                      <m:endChr m:val=")"/>
                      <m:grow/>
                    </m:dPr>
                    <m:e>
                      <m:r>
                        <m:t>1</m:t>
                      </m:r>
                      <m:r>
                        <m:rPr>
                          <m:sty m:val="p"/>
                        </m:rPr>
                        <m:t>+</m:t>
                      </m:r>
                      <m:sSub>
                        <m:e>
                          <m:r>
                            <m:t>r</m:t>
                          </m:r>
                        </m:e>
                        <m:sub>
                          <m:r>
                            <m:t>s</m:t>
                          </m:r>
                        </m:sub>
                      </m:sSub>
                    </m:e>
                  </m:d>
                </m:e>
              </m:nary>
            </m:den>
          </m:f>
        </m:oMath>
      </m:oMathPara>
    </w:p>
    <w:p>
      <w:r>
        <w:pict>
          <v:rect style="width:0;height:1.5pt" o:hralign="center" o:hrstd="t" o:hr="t"/>
        </w:pict>
      </w:r>
    </w:p>
    <w:bookmarkEnd w:id="324"/>
    <w:bookmarkEnd w:id="325"/>
    <w:bookmarkStart w:id="329" w:name="a.6-least-cost-electrification-engine"/>
    <w:p>
      <w:pPr>
        <w:pStyle w:val="Heading2"/>
      </w:pPr>
      <w:r>
        <w:t xml:space="preserve">13.6 A.6 Least-Cost Electrification Engine</w:t>
      </w:r>
    </w:p>
    <w:p>
      <w:pPr>
        <w:pStyle w:val="FirstParagraph"/>
      </w:pPr>
      <w:r>
        <w:t xml:space="preserve">Per-island technology assignment is essential because the economics of small-island power generation vary dramatically with island size, population, solar resource, land availability, and diesel transport costs. An island with five hundred residents has fundamentally different optimal technology from one with fifty thousand.</w:t>
      </w:r>
    </w:p>
    <w:p>
      <w:pPr>
        <w:pStyle w:val="BodyText"/>
      </w:pPr>
      <w:r>
        <w:t xml:space="preserve">The per-island technology assignment uses discounted LCOE computed over the project lifetime with reinvestment:</w:t>
      </w:r>
    </w:p>
    <w:bookmarkStart w:id="326" w:name="eq-l1-discounted-lcoe-general-form"/>
    <w:p>
      <w:pPr>
        <w:pStyle w:val="Heading3"/>
      </w:pPr>
      <w:r>
        <w:t xml:space="preserve">13.6.1 EQ-L1: Discounted LCOE (General Form)</w:t>
      </w:r>
    </w:p>
    <w:p>
      <w:pPr>
        <w:pStyle w:val="FirstParagraph"/>
      </w:pPr>
      <m:oMathPara>
        <m:oMathParaPr>
          <m:jc m:val="center"/>
        </m:oMathParaPr>
        <m:oMath>
          <m:r>
            <m:rPr>
              <m:nor/>
              <m:sty m:val="p"/>
            </m:rPr>
            <m:t>LCOE</m:t>
          </m:r>
          <m:r>
            <m:rPr>
              <m:sty m:val="p"/>
            </m:rPr>
            <m:t>=</m:t>
          </m:r>
          <m:f>
            <m:fPr>
              <m:type m:val="bar"/>
            </m:fPr>
            <m:num>
              <m:nary>
                <m:naryPr>
                  <m:chr m:val="∑"/>
                  <m:limLoc m:val="undOvr"/>
                  <m:subHide m:val="off"/>
                  <m:supHide m:val="off"/>
                </m:naryPr>
                <m:sub>
                  <m:r>
                    <m:t>y</m:t>
                  </m:r>
                  <m:r>
                    <m:rPr>
                      <m:sty m:val="p"/>
                    </m:rPr>
                    <m:t>=</m:t>
                  </m:r>
                  <m:r>
                    <m:t>0</m:t>
                  </m:r>
                </m:sub>
                <m:sup>
                  <m:r>
                    <m:t>N</m:t>
                  </m:r>
                  <m:r>
                    <m:rPr>
                      <m:sty m:val="p"/>
                    </m:rPr>
                    <m:t>−</m:t>
                  </m:r>
                  <m:r>
                    <m:t>1</m:t>
                  </m:r>
                </m:sup>
                <m:e>
                  <m:f>
                    <m:fPr>
                      <m:type m:val="bar"/>
                    </m:fPr>
                    <m:num>
                      <m:sSub>
                        <m:e>
                          <m:r>
                            <m:t>I</m:t>
                          </m:r>
                        </m:e>
                        <m:sub>
                          <m:r>
                            <m:t>y</m:t>
                          </m:r>
                        </m:sub>
                      </m:sSub>
                      <m:r>
                        <m:rPr>
                          <m:sty m:val="p"/>
                        </m:rPr>
                        <m:t>+</m:t>
                      </m:r>
                      <m:sSub>
                        <m:e>
                          <m:r>
                            <m:t>O</m:t>
                          </m:r>
                        </m:e>
                        <m:sub>
                          <m:r>
                            <m:t>y</m:t>
                          </m:r>
                        </m:sub>
                      </m:sSub>
                      <m:r>
                        <m:rPr>
                          <m:sty m:val="p"/>
                        </m:rPr>
                        <m:t>+</m:t>
                      </m:r>
                      <m:sSub>
                        <m:e>
                          <m:r>
                            <m:t>F</m:t>
                          </m:r>
                        </m:e>
                        <m:sub>
                          <m:r>
                            <m:t>y</m:t>
                          </m:r>
                        </m:sub>
                      </m:sSub>
                      <m:r>
                        <m:rPr>
                          <m:sty m:val="p"/>
                        </m:rPr>
                        <m:t>−</m:t>
                      </m:r>
                      <m:sSub>
                        <m:e>
                          <m:r>
                            <m:t>S</m:t>
                          </m:r>
                        </m:e>
                        <m:sub>
                          <m:r>
                            <m:t>y</m:t>
                          </m:r>
                        </m:sub>
                      </m:sSub>
                    </m:num>
                    <m:den>
                      <m:sSup>
                        <m:e>
                          <m:d>
                            <m:dPr>
                              <m:begChr m:val="("/>
                              <m:sepChr m:val=""/>
                              <m:endChr m:val=")"/>
                              <m:grow/>
                            </m:dPr>
                            <m:e>
                              <m:r>
                                <m:t>1</m:t>
                              </m:r>
                              <m:r>
                                <m:rPr>
                                  <m:sty m:val="p"/>
                                </m:rPr>
                                <m:t>+</m:t>
                              </m:r>
                              <m:r>
                                <m:t>r</m:t>
                              </m:r>
                            </m:e>
                          </m:d>
                        </m:e>
                        <m:sup>
                          <m:r>
                            <m:t>y</m:t>
                          </m:r>
                        </m:sup>
                      </m:sSup>
                    </m:den>
                  </m:f>
                </m:e>
              </m:nary>
            </m:num>
            <m:den>
              <m:nary>
                <m:naryPr>
                  <m:chr m:val="∑"/>
                  <m:limLoc m:val="undOvr"/>
                  <m:subHide m:val="off"/>
                  <m:supHide m:val="off"/>
                </m:naryPr>
                <m:sub>
                  <m:r>
                    <m:t>y</m:t>
                  </m:r>
                  <m:r>
                    <m:rPr>
                      <m:sty m:val="p"/>
                    </m:rPr>
                    <m:t>=</m:t>
                  </m:r>
                  <m:r>
                    <m:t>0</m:t>
                  </m:r>
                </m:sub>
                <m:sup>
                  <m:r>
                    <m:t>N</m:t>
                  </m:r>
                  <m:r>
                    <m:rPr>
                      <m:sty m:val="p"/>
                    </m:rPr>
                    <m:t>−</m:t>
                  </m:r>
                  <m:r>
                    <m:t>1</m:t>
                  </m:r>
                </m:sup>
                <m:e>
                  <m:f>
                    <m:fPr>
                      <m:type m:val="bar"/>
                    </m:fPr>
                    <m:num>
                      <m:sSub>
                        <m:e>
                          <m:r>
                            <m:t>G</m:t>
                          </m:r>
                        </m:e>
                        <m:sub>
                          <m:r>
                            <m:t>y</m:t>
                          </m:r>
                        </m:sub>
                      </m:sSub>
                    </m:num>
                    <m:den>
                      <m:sSup>
                        <m:e>
                          <m:d>
                            <m:dPr>
                              <m:begChr m:val="("/>
                              <m:sepChr m:val=""/>
                              <m:endChr m:val=")"/>
                              <m:grow/>
                            </m:dPr>
                            <m:e>
                              <m:r>
                                <m:t>1</m:t>
                              </m:r>
                              <m:r>
                                <m:rPr>
                                  <m:sty m:val="p"/>
                                </m:rPr>
                                <m:t>+</m:t>
                              </m:r>
                              <m:r>
                                <m:t>r</m:t>
                              </m:r>
                            </m:e>
                          </m:d>
                        </m:e>
                        <m:sup>
                          <m:r>
                            <m:t>y</m:t>
                          </m:r>
                        </m:sup>
                      </m:sSup>
                    </m:den>
                  </m:f>
                </m:e>
              </m:nary>
            </m:den>
          </m:f>
        </m:oMath>
      </m:oMathPara>
    </w:p>
    <w:p>
      <w:pPr>
        <w:pStyle w:val="FirstParagraph"/>
      </w:pPr>
      <w:r>
        <w:t xml:space="preserve">Reinvestment occurs at year</w:t>
      </w:r>
      <w:r>
        <w:t xml:space="preserve"> </w:t>
      </w:r>
      <m:oMath>
        <m:r>
          <m:t>y</m:t>
        </m:r>
        <m:r>
          <m:rPr>
            <m:sty m:val="p"/>
          </m:rPr>
          <m:t>=</m:t>
        </m:r>
        <m:sSub>
          <m:e>
            <m:r>
              <m:t>τ</m:t>
            </m:r>
          </m:e>
          <m:sub>
            <m:r>
              <m:rPr>
                <m:nor/>
                <m:sty m:val="p"/>
              </m:rPr>
              <m:t>tech</m:t>
            </m:r>
          </m:sub>
        </m:sSub>
      </m:oMath>
      <w:r>
        <w:t xml:space="preserve">,</w:t>
      </w:r>
      <w:r>
        <w:t xml:space="preserve"> </w:t>
      </w:r>
      <m:oMath>
        <m:r>
          <m:t>2</m:t>
        </m:r>
        <m:sSub>
          <m:e>
            <m:r>
              <m:t>τ</m:t>
            </m:r>
          </m:e>
          <m:sub>
            <m:r>
              <m:rPr>
                <m:nor/>
                <m:sty m:val="p"/>
              </m:rPr>
              <m:t>tech</m:t>
            </m:r>
          </m:sub>
        </m:sSub>
      </m:oMath>
      <w:r>
        <w:t xml:space="preserve">, … while</w:t>
      </w:r>
      <w:r>
        <w:t xml:space="preserve"> </w:t>
      </w:r>
      <m:oMath>
        <m:r>
          <m:t>y</m:t>
        </m:r>
        <m:r>
          <m:rPr>
            <m:sty m:val="p"/>
          </m:rPr>
          <m:t>&lt;</m:t>
        </m:r>
        <m:r>
          <m:t>N</m:t>
        </m:r>
      </m:oMath>
      <w:r>
        <w:t xml:space="preserve">.</w:t>
      </w:r>
    </w:p>
    <w:bookmarkEnd w:id="326"/>
    <w:bookmarkStart w:id="327" w:name="eq-l2-solarbattery-lcoe"/>
    <w:p>
      <w:pPr>
        <w:pStyle w:val="Heading3"/>
      </w:pPr>
      <w:r>
        <w:t xml:space="preserve">13.6.2 EQ-L2: Solar+Battery LCOE</w:t>
      </w:r>
    </w:p>
    <w:p>
      <w:pPr>
        <w:pStyle w:val="FirstParagraph"/>
      </w:pPr>
      <w:r>
        <w:t xml:space="preserve">Sizing:</w:t>
      </w:r>
    </w:p>
    <w:p>
      <w:pPr>
        <w:pStyle w:val="BodyText"/>
      </w:pPr>
      <m:oMathPara>
        <m:oMathParaPr>
          <m:jc m:val="center"/>
        </m:oMathParaPr>
        <m:oMath>
          <m:sSub>
            <m:e>
              <m:r>
                <m:t>Q</m:t>
              </m:r>
            </m:e>
            <m:sub>
              <m:r>
                <m:rPr>
                  <m:nor/>
                  <m:sty m:val="p"/>
                </m:rPr>
                <m:t>solar,kW</m:t>
              </m:r>
            </m:sub>
          </m:sSub>
          <m:r>
            <m:rPr>
              <m:sty m:val="p"/>
            </m:rPr>
            <m:t>=</m:t>
          </m:r>
          <m:f>
            <m:fPr>
              <m:type m:val="bar"/>
            </m:fPr>
            <m:num>
              <m:r>
                <m:t>D</m:t>
              </m:r>
              <m:r>
                <m:rPr>
                  <m:sty m:val="p"/>
                </m:rPr>
                <m:t>/</m:t>
              </m:r>
              <m:d>
                <m:dPr>
                  <m:begChr m:val="("/>
                  <m:sepChr m:val=""/>
                  <m:endChr m:val=")"/>
                  <m:grow/>
                </m:dPr>
                <m:e>
                  <m:r>
                    <m:t>1</m:t>
                  </m:r>
                  <m:r>
                    <m:rPr>
                      <m:sty m:val="p"/>
                    </m:rPr>
                    <m:t>−</m:t>
                  </m:r>
                  <m:sSub>
                    <m:e>
                      <m:r>
                        <m:t>l</m:t>
                      </m:r>
                    </m:e>
                    <m:sub>
                      <m:r>
                        <m:t>d</m:t>
                      </m:r>
                    </m:sub>
                  </m:sSub>
                </m:e>
              </m:d>
            </m:num>
            <m:den>
              <m:r>
                <m:t>C</m:t>
              </m:r>
              <m:sSub>
                <m:e>
                  <m:r>
                    <m:t>F</m:t>
                  </m:r>
                </m:e>
                <m:sub>
                  <m:r>
                    <m:rPr>
                      <m:nor/>
                      <m:sty m:val="p"/>
                    </m:rPr>
                    <m:t>eff</m:t>
                  </m:r>
                </m:sub>
              </m:sSub>
              <m:r>
                <m:rPr>
                  <m:sty m:val="p"/>
                </m:rPr>
                <m:t>×</m:t>
              </m:r>
              <m:r>
                <m:t>8760</m:t>
              </m:r>
            </m:den>
          </m:f>
        </m:oMath>
      </m:oMathPara>
    </w:p>
    <w:p>
      <w:pPr>
        <w:pStyle w:val="FirstParagraph"/>
      </w:pPr>
      <m:oMathPara>
        <m:oMathParaPr>
          <m:jc m:val="center"/>
        </m:oMathParaPr>
        <m:oMath>
          <m:sSub>
            <m:e>
              <m:r>
                <m:t>Q</m:t>
              </m:r>
            </m:e>
            <m:sub>
              <m:r>
                <m:rPr>
                  <m:nor/>
                  <m:sty m:val="p"/>
                </m:rPr>
                <m:t>batt,kWh</m:t>
              </m:r>
            </m:sub>
          </m:sSub>
          <m:r>
            <m:rPr>
              <m:sty m:val="p"/>
            </m:rPr>
            <m:t>=</m:t>
          </m:r>
          <m:f>
            <m:fPr>
              <m:type m:val="bar"/>
            </m:fPr>
            <m:num>
              <m:sSub>
                <m:e>
                  <m:r>
                    <m:t>P</m:t>
                  </m:r>
                </m:e>
                <m:sub>
                  <m:r>
                    <m:rPr>
                      <m:nor/>
                      <m:sty m:val="p"/>
                    </m:rPr>
                    <m:t>kW</m:t>
                  </m:r>
                </m:sub>
              </m:sSub>
              <m:r>
                <m:rPr>
                  <m:sty m:val="p"/>
                </m:rPr>
                <m:t>×</m:t>
              </m:r>
              <m:sSub>
                <m:e>
                  <m:r>
                    <m:t>h</m:t>
                  </m:r>
                </m:e>
                <m:sub>
                  <m:r>
                    <m:rPr>
                      <m:nor/>
                      <m:sty m:val="p"/>
                    </m:rPr>
                    <m:t>batt</m:t>
                  </m:r>
                </m:sub>
              </m:sSub>
            </m:num>
            <m:den>
              <m:r>
                <m:t>D</m:t>
              </m:r>
              <m:r>
                <m:t>o</m:t>
              </m:r>
              <m:r>
                <m:t>D</m:t>
              </m:r>
            </m:den>
          </m:f>
        </m:oMath>
      </m:oMathPara>
    </w:p>
    <w:p>
      <w:pPr>
        <w:pStyle w:val="FirstParagraph"/>
      </w:pPr>
      <w:r>
        <w:t xml:space="preserve">Split into separate LCOE components (different lifetimes):</w:t>
      </w:r>
    </w:p>
    <w:p>
      <w:pPr>
        <w:pStyle w:val="BodyText"/>
      </w:pPr>
      <m:oMathPara>
        <m:oMathParaPr>
          <m:jc m:val="center"/>
        </m:oMathParaPr>
        <m:oMath>
          <m:sSub>
            <m:e>
              <m:r>
                <m:rPr>
                  <m:nor/>
                  <m:sty m:val="p"/>
                </m:rPr>
                <m:t>LCOE</m:t>
              </m:r>
            </m:e>
            <m:sub>
              <m:r>
                <m:rPr>
                  <m:nor/>
                  <m:sty m:val="p"/>
                </m:rPr>
                <m:t>solar+batt</m:t>
              </m:r>
            </m:sub>
          </m:sSub>
          <m:r>
            <m:rPr>
              <m:sty m:val="p"/>
            </m:rPr>
            <m:t>=</m:t>
          </m:r>
          <m:sSub>
            <m:e>
              <m:r>
                <m:rPr>
                  <m:nor/>
                  <m:sty m:val="p"/>
                </m:rPr>
                <m:t>LCOE</m:t>
              </m:r>
            </m:e>
            <m:sub>
              <m:r>
                <m:rPr>
                  <m:nor/>
                  <m:sty m:val="p"/>
                </m:rPr>
                <m:t>solar</m:t>
              </m:r>
            </m:sub>
          </m:sSub>
          <m:r>
            <m:rPr>
              <m:sty m:val="p"/>
            </m:rPr>
            <m:t>+</m:t>
          </m:r>
          <m:sSub>
            <m:e>
              <m:r>
                <m:rPr>
                  <m:nor/>
                  <m:sty m:val="p"/>
                </m:rPr>
                <m:t>LCOE</m:t>
              </m:r>
            </m:e>
            <m:sub>
              <m:r>
                <m:rPr>
                  <m:nor/>
                  <m:sty m:val="p"/>
                </m:rPr>
                <m:t>batt</m:t>
              </m:r>
            </m:sub>
          </m:sSub>
        </m:oMath>
      </m:oMathPara>
    </w:p>
    <w:bookmarkEnd w:id="327"/>
    <w:bookmarkStart w:id="328" w:name="eq-l3-solar-land-constraint"/>
    <w:p>
      <w:pPr>
        <w:pStyle w:val="Heading3"/>
      </w:pPr>
      <w:r>
        <w:t xml:space="preserve">13.6.3 EQ-L3: Solar Land Constraint</w:t>
      </w:r>
    </w:p>
    <w:p>
      <w:pPr>
        <w:pStyle w:val="FirstParagraph"/>
      </w:pPr>
      <m:oMathPara>
        <m:oMathParaPr>
          <m:jc m:val="center"/>
        </m:oMathParaPr>
        <m:oMath>
          <m:sSub>
            <m:e>
              <m:r>
                <m:t>Q</m:t>
              </m:r>
            </m:e>
            <m:sub>
              <m:r>
                <m:rPr>
                  <m:nor/>
                  <m:sty m:val="p"/>
                </m:rPr>
                <m:t>solar,max</m:t>
              </m:r>
            </m:sub>
          </m:sSub>
          <m:r>
            <m:rPr>
              <m:sty m:val="p"/>
            </m:rPr>
            <m:t>=</m:t>
          </m:r>
          <m:sSub>
            <m:e>
              <m:r>
                <m:t>A</m:t>
              </m:r>
            </m:e>
            <m:sub>
              <m:r>
                <m:rPr>
                  <m:nor/>
                  <m:sty m:val="p"/>
                </m:rPr>
                <m:t>island</m:t>
              </m:r>
            </m:sub>
          </m:sSub>
          <m:r>
            <m:rPr>
              <m:sty m:val="p"/>
            </m:rPr>
            <m:t>×</m:t>
          </m:r>
          <m:sSub>
            <m:e>
              <m:r>
                <m:t>f</m:t>
              </m:r>
            </m:e>
            <m:sub>
              <m:r>
                <m:rPr>
                  <m:nor/>
                  <m:sty m:val="p"/>
                </m:rPr>
                <m:t>solar</m:t>
              </m:r>
            </m:sub>
          </m:sSub>
          <m:r>
            <m:rPr>
              <m:sty m:val="p"/>
            </m:rPr>
            <m:t>×</m:t>
          </m:r>
          <m:f>
            <m:fPr>
              <m:type m:val="bar"/>
            </m:fPr>
            <m:num>
              <m:r>
                <m:t>1000</m:t>
              </m:r>
            </m:num>
            <m:den>
              <m:sSub>
                <m:e>
                  <m:r>
                    <m:t>A</m:t>
                  </m:r>
                </m:e>
                <m:sub>
                  <m:r>
                    <m:rPr>
                      <m:nor/>
                      <m:sty m:val="p"/>
                    </m:rPr>
                    <m:t>panel</m:t>
                  </m:r>
                </m:sub>
              </m:sSub>
            </m:den>
          </m:f>
        </m:oMath>
      </m:oMathPara>
    </w:p>
    <w:p>
      <w:pPr>
        <w:pStyle w:val="FirstParagraph"/>
      </w:pPr>
      <w:r>
        <w:t xml:space="preserve">where</w:t>
      </w:r>
      <w:r>
        <w:t xml:space="preserve"> </w:t>
      </w:r>
      <m:oMath>
        <m:sSub>
          <m:e>
            <m:r>
              <m:t>f</m:t>
            </m:r>
          </m:e>
          <m:sub>
            <m:r>
              <m:rPr>
                <m:nor/>
                <m:sty m:val="p"/>
              </m:rPr>
              <m:t>solar</m:t>
            </m:r>
          </m:sub>
        </m:sSub>
      </m:oMath>
      <w:r>
        <w:t xml:space="preserve"> </w:t>
      </w:r>
      <w:r>
        <w:t xml:space="preserve">is the usable land fraction for solar (varies by island density) and</w:t>
      </w:r>
      <w:r>
        <w:t xml:space="preserve"> </w:t>
      </w:r>
      <m:oMath>
        <m:sSub>
          <m:e>
            <m:r>
              <m:t>A</m:t>
            </m:r>
          </m:e>
          <m:sub>
            <m:r>
              <m:rPr>
                <m:nor/>
                <m:sty m:val="p"/>
              </m:rPr>
              <m:t>panel</m:t>
            </m:r>
          </m:sub>
        </m:sSub>
      </m:oMath>
      <w:r>
        <w:t xml:space="preserve"> </w:t>
      </w:r>
      <w:r>
        <w:t xml:space="preserve">is the panel area requirement (m²/kW).</w:t>
      </w:r>
    </w:p>
    <w:p>
      <w:r>
        <w:pict>
          <v:rect style="width:0;height:1.5pt" o:hralign="center" o:hrstd="t" o:hr="t"/>
        </w:pict>
      </w:r>
    </w:p>
    <w:bookmarkEnd w:id="328"/>
    <w:bookmarkEnd w:id="329"/>
    <w:bookmarkStart w:id="333" w:name="a.7-sensitivity-monte-carlo"/>
    <w:p>
      <w:pPr>
        <w:pStyle w:val="Heading2"/>
      </w:pPr>
      <w:r>
        <w:t xml:space="preserve">13.7 A.7 Sensitivity &amp; Monte Carlo</w:t>
      </w:r>
    </w:p>
    <w:bookmarkStart w:id="330" w:name="one-way-sensitivity"/>
    <w:p>
      <w:pPr>
        <w:pStyle w:val="Heading3"/>
      </w:pPr>
      <w:r>
        <w:t xml:space="preserve">13.7.1 One-Way Sensitivity</w:t>
      </w:r>
    </w:p>
    <w:p>
      <w:pPr>
        <w:pStyle w:val="FirstParagraph"/>
      </w:pPr>
      <w:r>
        <w:t xml:space="preserve">Each parameter is varied independently between its Low and High bounds while all others remain at base values. NPV change is computed for each variation:</w:t>
      </w:r>
    </w:p>
    <w:p>
      <w:pPr>
        <w:pStyle w:val="BodyText"/>
      </w:pPr>
      <m:oMathPara>
        <m:oMathParaPr>
          <m:jc m:val="center"/>
        </m:oMathParaPr>
        <m:oMath>
          <m:r>
            <m:t>Δ</m:t>
          </m:r>
          <m:sSubSup>
            <m:e>
              <m:r>
                <m:rPr>
                  <m:nor/>
                  <m:sty m:val="p"/>
                </m:rPr>
                <m:t>NPV</m:t>
              </m:r>
            </m:e>
            <m:sub>
              <m:r>
                <m:t>i</m:t>
              </m:r>
            </m:sub>
            <m:sup>
              <m:r>
                <m:rPr>
                  <m:sty m:val="p"/>
                </m:rPr>
                <m:t>±</m:t>
              </m:r>
            </m:sup>
          </m:sSubSup>
          <m:r>
            <m:rPr>
              <m:sty m:val="p"/>
            </m:rPr>
            <m:t>=</m:t>
          </m:r>
          <m:r>
            <m:rPr>
              <m:nor/>
              <m:sty m:val="p"/>
            </m:rPr>
            <m:t>NPV</m:t>
          </m:r>
          <m:d>
            <m:dPr>
              <m:begChr m:val="("/>
              <m:sepChr m:val=""/>
              <m:endChr m:val=")"/>
              <m:grow/>
            </m:dPr>
            <m:e>
              <m:sSubSup>
                <m:e>
                  <m:r>
                    <m:t>p</m:t>
                  </m:r>
                </m:e>
                <m:sub>
                  <m:r>
                    <m:t>i</m:t>
                  </m:r>
                </m:sub>
                <m:sup>
                  <m:r>
                    <m:rPr>
                      <m:sty m:val="p"/>
                    </m:rPr>
                    <m:t>±</m:t>
                  </m:r>
                </m:sup>
              </m:sSubSup>
            </m:e>
          </m:d>
          <m:r>
            <m:rPr>
              <m:sty m:val="p"/>
            </m:rPr>
            <m:t>−</m:t>
          </m:r>
          <m:r>
            <m:rPr>
              <m:nor/>
              <m:sty m:val="p"/>
            </m:rPr>
            <m:t>NPV</m:t>
          </m:r>
          <m:d>
            <m:dPr>
              <m:begChr m:val="("/>
              <m:sepChr m:val=""/>
              <m:endChr m:val=")"/>
              <m:grow/>
            </m:dPr>
            <m:e>
              <m:sSubSup>
                <m:e>
                  <m:r>
                    <m:t>p</m:t>
                  </m:r>
                </m:e>
                <m:sub>
                  <m:r>
                    <m:t>i</m:t>
                  </m:r>
                </m:sub>
                <m:sup>
                  <m:r>
                    <m:rPr>
                      <m:nor/>
                      <m:sty m:val="p"/>
                    </m:rPr>
                    <m:t>base</m:t>
                  </m:r>
                </m:sup>
              </m:sSubSup>
            </m:e>
          </m:d>
        </m:oMath>
      </m:oMathPara>
    </w:p>
    <w:p>
      <w:pPr>
        <w:pStyle w:val="FirstParagraph"/>
      </w:pPr>
      <w:r>
        <w:t xml:space="preserve">Results are displayed as tornado diagrams ranked by</w:t>
      </w:r>
      <w:r>
        <w:t xml:space="preserve"> </w:t>
      </w:r>
      <m:oMath>
        <m:d>
          <m:dPr>
            <m:begChr m:val="|"/>
            <m:sepChr m:val=""/>
            <m:endChr m:val="|"/>
            <m:grow/>
          </m:dPr>
          <m:e>
            <m:r>
              <m:t>Δ</m:t>
            </m:r>
            <m:sSubSup>
              <m:e>
                <m:r>
                  <m:rPr>
                    <m:nor/>
                    <m:sty m:val="p"/>
                  </m:rPr>
                  <m:t>NPV</m:t>
                </m:r>
              </m:e>
              <m:sub>
                <m:r>
                  <m:t>i</m:t>
                </m:r>
              </m:sub>
              <m:sup>
                <m:r>
                  <m:rPr>
                    <m:sty m:val="p"/>
                  </m:rPr>
                  <m:t>+</m:t>
                </m:r>
              </m:sup>
            </m:sSubSup>
            <m:r>
              <m:rPr>
                <m:sty m:val="p"/>
              </m:rPr>
              <m:t>−</m:t>
            </m:r>
            <m:r>
              <m:t>Δ</m:t>
            </m:r>
            <m:sSubSup>
              <m:e>
                <m:r>
                  <m:rPr>
                    <m:nor/>
                    <m:sty m:val="p"/>
                  </m:rPr>
                  <m:t>NPV</m:t>
                </m:r>
              </m:e>
              <m:sub>
                <m:r>
                  <m:t>i</m:t>
                </m:r>
              </m:sub>
              <m:sup>
                <m:r>
                  <m:rPr>
                    <m:sty m:val="p"/>
                  </m:rPr>
                  <m:t>−</m:t>
                </m:r>
              </m:sup>
            </m:sSubSup>
          </m:e>
        </m:d>
      </m:oMath>
      <w:r>
        <w:t xml:space="preserve">.</w:t>
      </w:r>
    </w:p>
    <w:bookmarkEnd w:id="330"/>
    <w:bookmarkStart w:id="331" w:name="monte-carlo-simulation-1"/>
    <w:p>
      <w:pPr>
        <w:pStyle w:val="Heading3"/>
      </w:pPr>
      <w:r>
        <w:t xml:space="preserve">13.7.2 Monte Carlo Simulation</w:t>
      </w:r>
    </w:p>
    <w:p>
      <w:pPr>
        <w:pStyle w:val="FirstParagraph"/>
      </w:pPr>
      <w:r>
        <w:rPr>
          <w:b/>
          <w:bCs/>
        </w:rPr>
        <w:t xml:space="preserve">Method:</w:t>
      </w:r>
      <w:r>
        <w:t xml:space="preserve"> </w:t>
      </w:r>
      <w:r>
        <w:t xml:space="preserve">1000 iterations with Latin Hypercube Sampling (LHS) over 0 correlated parameters. Correlations imposed via Iman–Conover rank-correlation method.</w:t>
      </w:r>
    </w:p>
    <w:p>
      <w:pPr>
        <w:pStyle w:val="BodyText"/>
      </w:pPr>
      <w:r>
        <w:t xml:space="preserve">For each iteration</w:t>
      </w:r>
      <w:r>
        <w:t xml:space="preserve"> </w:t>
      </w:r>
      <m:oMath>
        <m:r>
          <m:t>k</m:t>
        </m:r>
      </m:oMath>
      <w:r>
        <w:t xml:space="preserve">:</w:t>
      </w:r>
    </w:p>
    <w:p>
      <w:pPr>
        <w:pStyle w:val="Compact"/>
        <w:numPr>
          <w:ilvl w:val="0"/>
          <w:numId w:val="1006"/>
        </w:numPr>
      </w:pPr>
      <w:r>
        <w:t xml:space="preserve">Sample parameter vector</w:t>
      </w:r>
      <w:r>
        <w:t xml:space="preserve"> </w:t>
      </w:r>
      <m:oMath>
        <m:sSup>
          <m:e>
            <m:r>
              <m:rPr>
                <m:sty m:val="b"/>
              </m:rPr>
              <m:t>p</m:t>
            </m:r>
          </m:e>
          <m:sup>
            <m:d>
              <m:dPr>
                <m:begChr m:val="("/>
                <m:sepChr m:val=""/>
                <m:endChr m:val=")"/>
                <m:grow/>
              </m:dPr>
              <m:e>
                <m:r>
                  <m:t>k</m:t>
                </m:r>
              </m:e>
            </m:d>
          </m:sup>
        </m:sSup>
      </m:oMath>
      <w:r>
        <w:t xml:space="preserve"> </w:t>
      </w:r>
      <w:r>
        <w:t xml:space="preserve">from the joint distribution (triangular marginals, Low–Base–High)</w:t>
      </w:r>
    </w:p>
    <w:p>
      <w:pPr>
        <w:pStyle w:val="Compact"/>
        <w:numPr>
          <w:ilvl w:val="0"/>
          <w:numId w:val="1006"/>
        </w:numPr>
      </w:pPr>
      <w:r>
        <w:t xml:space="preserve">Impose correlation structure via rank reordering</w:t>
      </w:r>
    </w:p>
    <w:p>
      <w:pPr>
        <w:pStyle w:val="Compact"/>
        <w:numPr>
          <w:ilvl w:val="0"/>
          <w:numId w:val="1006"/>
        </w:numPr>
      </w:pPr>
      <w:r>
        <w:t xml:space="preserve">Run full CBA with</w:t>
      </w:r>
      <w:r>
        <w:t xml:space="preserve"> </w:t>
      </w:r>
      <m:oMath>
        <m:sSup>
          <m:e>
            <m:r>
              <m:rPr>
                <m:sty m:val="b"/>
              </m:rPr>
              <m:t>p</m:t>
            </m:r>
          </m:e>
          <m:sup>
            <m:d>
              <m:dPr>
                <m:begChr m:val="("/>
                <m:sepChr m:val=""/>
                <m:endChr m:val=")"/>
                <m:grow/>
              </m:dPr>
              <m:e>
                <m:r>
                  <m:t>k</m:t>
                </m:r>
              </m:e>
            </m:d>
          </m:sup>
        </m:sSup>
      </m:oMath>
      <w:r>
        <w:t xml:space="preserve"> </w:t>
      </w:r>
      <w:r>
        <w:t xml:space="preserve">to obtain</w:t>
      </w:r>
      <w:r>
        <w:t xml:space="preserve"> </w:t>
      </w:r>
      <m:oMath>
        <m:sSup>
          <m:e>
            <m:r>
              <m:rPr>
                <m:nor/>
                <m:sty m:val="p"/>
              </m:rPr>
              <m:t>NPV</m:t>
            </m:r>
          </m:e>
          <m:sup>
            <m:d>
              <m:dPr>
                <m:begChr m:val="("/>
                <m:sepChr m:val=""/>
                <m:endChr m:val=")"/>
                <m:grow/>
              </m:dPr>
              <m:e>
                <m:r>
                  <m:t>k</m:t>
                </m:r>
              </m:e>
            </m:d>
          </m:sup>
        </m:sSup>
      </m:oMath>
      <w:r>
        <w:t xml:space="preserve"> </w:t>
      </w:r>
      <w:r>
        <w:t xml:space="preserve">for all scenarios</w:t>
      </w:r>
    </w:p>
    <w:p>
      <w:pPr>
        <w:pStyle w:val="Compact"/>
        <w:numPr>
          <w:ilvl w:val="0"/>
          <w:numId w:val="1006"/>
        </w:numPr>
      </w:pPr>
      <w:r>
        <w:t xml:space="preserve">Record scenario rankings</w:t>
      </w:r>
    </w:p>
    <w:p>
      <w:pPr>
        <w:pStyle w:val="FirstParagraph"/>
      </w:pPr>
      <w:r>
        <w:rPr>
          <w:b/>
          <w:bCs/>
        </w:rPr>
        <w:t xml:space="preserve">Convergence diagnostic:</w:t>
      </w:r>
      <w:r>
        <w:t xml:space="preserve"> </w:t>
      </w:r>
      <w:r>
        <w:t xml:space="preserve">Standard error of mean NPV falls below 1% of the mean after ~500 iterations.</w:t>
      </w:r>
    </w:p>
    <w:bookmarkEnd w:id="331"/>
    <w:bookmarkStart w:id="332" w:name="switching-values-1"/>
    <w:p>
      <w:pPr>
        <w:pStyle w:val="Heading3"/>
      </w:pPr>
      <w:r>
        <w:t xml:space="preserve">13.7.3 Switching Values</w:t>
      </w:r>
    </w:p>
    <w:p>
      <w:pPr>
        <w:pStyle w:val="FirstParagraph"/>
      </w:pPr>
      <w:r>
        <w:t xml:space="preserve">The switching value analysis identifies the parameter value at which the preferred scenario changes:</w:t>
      </w:r>
    </w:p>
    <w:p>
      <w:pPr>
        <w:pStyle w:val="BodyText"/>
      </w:pPr>
      <m:oMathPara>
        <m:oMathParaPr>
          <m:jc m:val="center"/>
        </m:oMathParaPr>
        <m:oMath>
          <m:sSubSup>
            <m:e>
              <m:r>
                <m:t>p</m:t>
              </m:r>
            </m:e>
            <m:sub>
              <m:r>
                <m:t>i</m:t>
              </m:r>
            </m:sub>
            <m:sup>
              <m:r>
                <m:rPr>
                  <m:sty m:val="p"/>
                </m:rPr>
                <m:t>*</m:t>
              </m:r>
            </m:sup>
          </m:sSubSup>
          <m:r>
            <m:rPr>
              <m:sty m:val="p"/>
            </m:rPr>
            <m:t>:</m:t>
          </m:r>
          <m:sSub>
            <m:e>
              <m:r>
                <m:rPr>
                  <m:nor/>
                  <m:sty m:val="p"/>
                </m:rPr>
                <m:t>NPV</m:t>
              </m:r>
            </m:e>
            <m:sub>
              <m:r>
                <m:t>A</m:t>
              </m:r>
            </m:sub>
          </m:sSub>
          <m:d>
            <m:dPr>
              <m:begChr m:val="("/>
              <m:sepChr m:val=""/>
              <m:endChr m:val=")"/>
              <m:grow/>
            </m:dPr>
            <m:e>
              <m:sSubSup>
                <m:e>
                  <m:r>
                    <m:t>p</m:t>
                  </m:r>
                </m:e>
                <m:sub>
                  <m:r>
                    <m:t>i</m:t>
                  </m:r>
                </m:sub>
                <m:sup>
                  <m:r>
                    <m:rPr>
                      <m:sty m:val="p"/>
                    </m:rPr>
                    <m:t>*</m:t>
                  </m:r>
                </m:sup>
              </m:sSubSup>
            </m:e>
          </m:d>
          <m:r>
            <m:rPr>
              <m:sty m:val="p"/>
            </m:rPr>
            <m:t>=</m:t>
          </m:r>
          <m:sSub>
            <m:e>
              <m:r>
                <m:rPr>
                  <m:nor/>
                  <m:sty m:val="p"/>
                </m:rPr>
                <m:t>NPV</m:t>
              </m:r>
            </m:e>
            <m:sub>
              <m:r>
                <m:t>B</m:t>
              </m:r>
            </m:sub>
          </m:sSub>
          <m:d>
            <m:dPr>
              <m:begChr m:val="("/>
              <m:sepChr m:val=""/>
              <m:endChr m:val=")"/>
              <m:grow/>
            </m:dPr>
            <m:e>
              <m:sSubSup>
                <m:e>
                  <m:r>
                    <m:t>p</m:t>
                  </m:r>
                </m:e>
                <m:sub>
                  <m:r>
                    <m:t>i</m:t>
                  </m:r>
                </m:sub>
                <m:sup>
                  <m:r>
                    <m:rPr>
                      <m:sty m:val="p"/>
                    </m:rPr>
                    <m:t>*</m:t>
                  </m:r>
                </m:sup>
              </m:sSubSup>
            </m:e>
          </m:d>
        </m:oMath>
      </m:oMathPara>
    </w:p>
    <w:p>
      <w:pPr>
        <w:pStyle w:val="FirstParagraph"/>
      </w:pPr>
      <w:r>
        <w:t xml:space="preserve">This is solved by linear interpolation between the Low and High NPV evaluations.</w:t>
      </w:r>
    </w:p>
    <w:p>
      <w:r>
        <w:pict>
          <v:rect style="width:0;height:1.5pt" o:hralign="center" o:hrstd="t" o:hr="t"/>
        </w:pict>
      </w:r>
    </w:p>
    <w:bookmarkEnd w:id="332"/>
    <w:bookmarkEnd w:id="333"/>
    <w:bookmarkStart w:id="335" w:name="a.8-multi-criteria-analysis"/>
    <w:p>
      <w:pPr>
        <w:pStyle w:val="Heading2"/>
      </w:pPr>
      <w:r>
        <w:t xml:space="preserve">13.8 A.8 Multi-Criteria Analysis</w:t>
      </w:r>
    </w:p>
    <w:bookmarkStart w:id="334" w:name="scoring-methodology"/>
    <w:p>
      <w:pPr>
        <w:pStyle w:val="Heading3"/>
      </w:pPr>
      <w:r>
        <w:t xml:space="preserve">13.8.1 Scoring Methodology</w:t>
      </w:r>
    </w:p>
    <w:p>
      <w:pPr>
        <w:pStyle w:val="FirstParagraph"/>
      </w:pPr>
      <w:r>
        <w:t xml:space="preserve">For each criterion</w:t>
      </w:r>
      <w:r>
        <w:t xml:space="preserve"> </w:t>
      </w:r>
      <m:oMath>
        <m:r>
          <m:t>j</m:t>
        </m:r>
      </m:oMath>
      <w:r>
        <w:t xml:space="preserve"> </w:t>
      </w:r>
      <w:r>
        <w:t xml:space="preserve">and scenario</w:t>
      </w:r>
      <w:r>
        <w:t xml:space="preserve"> </w:t>
      </w:r>
      <m:oMath>
        <m:r>
          <m:t>i</m:t>
        </m:r>
      </m:oMath>
      <w:r>
        <w:t xml:space="preserve">:</w:t>
      </w:r>
    </w:p>
    <w:p>
      <w:pPr>
        <w:pStyle w:val="BodyText"/>
      </w:pPr>
      <m:oMathPara>
        <m:oMathParaPr>
          <m:jc m:val="center"/>
        </m:oMathParaPr>
        <m:oMath>
          <m:sSub>
            <m:e>
              <m:r>
                <m:rPr>
                  <m:nor/>
                  <m:sty m:val="p"/>
                </m:rPr>
                <m:t>Score</m:t>
              </m:r>
            </m:e>
            <m:sub>
              <m:r>
                <m:t>i</m:t>
              </m:r>
              <m:r>
                <m:t>j</m:t>
              </m:r>
            </m:sub>
          </m:sSub>
          <m:r>
            <m:rPr>
              <m:sty m:val="p"/>
            </m:rPr>
            <m:t>=</m:t>
          </m:r>
          <m:f>
            <m:fPr>
              <m:type m:val="bar"/>
            </m:fPr>
            <m:num>
              <m:sSub>
                <m:e>
                  <m:r>
                    <m:t>x</m:t>
                  </m:r>
                </m:e>
                <m:sub>
                  <m:r>
                    <m:t>i</m:t>
                  </m:r>
                  <m:r>
                    <m:t>j</m:t>
                  </m:r>
                </m:sub>
              </m:sSub>
              <m:r>
                <m:rPr>
                  <m:sty m:val="p"/>
                </m:rPr>
                <m:t>−</m:t>
              </m:r>
              <m:limLow>
                <m:e>
                  <m:r>
                    <m:rPr>
                      <m:sty m:val="p"/>
                    </m:rPr>
                    <m:t>min</m:t>
                  </m:r>
                </m:e>
                <m:lim>
                  <m:r>
                    <m:t>i</m:t>
                  </m:r>
                </m:lim>
              </m:limLow>
              <m:d>
                <m:dPr>
                  <m:begChr m:val="("/>
                  <m:sepChr m:val=""/>
                  <m:endChr m:val=")"/>
                  <m:grow/>
                </m:dPr>
                <m:e>
                  <m:sSub>
                    <m:e>
                      <m:r>
                        <m:t>x</m:t>
                      </m:r>
                    </m:e>
                    <m:sub>
                      <m:r>
                        <m:t>i</m:t>
                      </m:r>
                      <m:r>
                        <m:t>j</m:t>
                      </m:r>
                    </m:sub>
                  </m:sSub>
                </m:e>
              </m:d>
            </m:num>
            <m:den>
              <m:limLow>
                <m:e>
                  <m:r>
                    <m:rPr>
                      <m:sty m:val="p"/>
                    </m:rPr>
                    <m:t>max</m:t>
                  </m:r>
                </m:e>
                <m:lim>
                  <m:r>
                    <m:t>i</m:t>
                  </m:r>
                </m:lim>
              </m:limLow>
              <m:d>
                <m:dPr>
                  <m:begChr m:val="("/>
                  <m:sepChr m:val=""/>
                  <m:endChr m:val=")"/>
                  <m:grow/>
                </m:dPr>
                <m:e>
                  <m:sSub>
                    <m:e>
                      <m:r>
                        <m:t>x</m:t>
                      </m:r>
                    </m:e>
                    <m:sub>
                      <m:r>
                        <m:t>i</m:t>
                      </m:r>
                      <m:r>
                        <m:t>j</m:t>
                      </m:r>
                    </m:sub>
                  </m:sSub>
                </m:e>
              </m:d>
              <m:r>
                <m:rPr>
                  <m:sty m:val="p"/>
                </m:rPr>
                <m:t>−</m:t>
              </m:r>
              <m:limLow>
                <m:e>
                  <m:r>
                    <m:rPr>
                      <m:sty m:val="p"/>
                    </m:rPr>
                    <m:t>min</m:t>
                  </m:r>
                </m:e>
                <m:lim>
                  <m:r>
                    <m:t>i</m:t>
                  </m:r>
                </m:lim>
              </m:limLow>
              <m:d>
                <m:dPr>
                  <m:begChr m:val="("/>
                  <m:sepChr m:val=""/>
                  <m:endChr m:val=")"/>
                  <m:grow/>
                </m:dPr>
                <m:e>
                  <m:sSub>
                    <m:e>
                      <m:r>
                        <m:t>x</m:t>
                      </m:r>
                    </m:e>
                    <m:sub>
                      <m:r>
                        <m:t>i</m:t>
                      </m:r>
                      <m:r>
                        <m:t>j</m:t>
                      </m:r>
                    </m:sub>
                  </m:sSub>
                </m:e>
              </m:d>
            </m:den>
          </m:f>
        </m:oMath>
      </m:oMathPara>
    </w:p>
    <w:p>
      <w:pPr>
        <w:pStyle w:val="FirstParagraph"/>
      </w:pPr>
      <w:r>
        <w:t xml:space="preserve">with direction adjustment (higher-is-better vs. lower-is-better). Weighted aggregate:</w:t>
      </w:r>
    </w:p>
    <w:p>
      <w:pPr>
        <w:pStyle w:val="BodyText"/>
      </w:pPr>
      <m:oMathPara>
        <m:oMathParaPr>
          <m:jc m:val="center"/>
        </m:oMathParaPr>
        <m:oMath>
          <m:sSub>
            <m:e>
              <m:r>
                <m:t>W</m:t>
              </m:r>
            </m:e>
            <m:sub>
              <m:r>
                <m:t>i</m:t>
              </m:r>
            </m:sub>
          </m:sSub>
          <m:r>
            <m:rPr>
              <m:sty m:val="p"/>
            </m:rPr>
            <m:t>=</m:t>
          </m:r>
          <m:nary>
            <m:naryPr>
              <m:chr m:val="∑"/>
              <m:limLoc m:val="undOvr"/>
              <m:subHide m:val="off"/>
              <m:supHide m:val="off"/>
            </m:naryPr>
            <m:sub>
              <m:r>
                <m:t>j</m:t>
              </m:r>
              <m:r>
                <m:rPr>
                  <m:sty m:val="p"/>
                </m:rPr>
                <m:t>=</m:t>
              </m:r>
              <m:r>
                <m:t>1</m:t>
              </m:r>
            </m:sub>
            <m:sup>
              <m:r>
                <m:t>8</m:t>
              </m:r>
            </m:sup>
            <m:e>
              <m:sSub>
                <m:e>
                  <m:r>
                    <m:t>w</m:t>
                  </m:r>
                </m:e>
                <m:sub>
                  <m:r>
                    <m:t>j</m:t>
                  </m:r>
                </m:sub>
              </m:sSub>
            </m:e>
          </m:nary>
          <m:r>
            <m:rPr>
              <m:sty m:val="p"/>
            </m:rPr>
            <m:t>×</m:t>
          </m:r>
          <m:sSub>
            <m:e>
              <m:r>
                <m:rPr>
                  <m:nor/>
                  <m:sty m:val="p"/>
                </m:rPr>
                <m:t>Score</m:t>
              </m:r>
            </m:e>
            <m:sub>
              <m:r>
                <m:t>i</m:t>
              </m:r>
              <m:r>
                <m:t>j</m:t>
              </m:r>
            </m:sub>
          </m:sSub>
        </m:oMath>
      </m:oMathPara>
    </w:p>
    <w:p>
      <w:pPr>
        <w:pStyle w:val="FirstParagraph"/>
      </w:pPr>
      <w:r>
        <w:rPr>
          <w:b/>
          <w:bCs/>
        </w:rPr>
        <w:t xml:space="preserve">Criteria:</w:t>
      </w:r>
      <w:r>
        <w:t xml:space="preserve"> </w:t>
      </w:r>
      <w:r>
        <w:t xml:space="preserve">Economic Efficiency (NPV), Cost Effectiveness (LCOE), Environmental Impact, Energy Security, Social Equity, Implementation Feasibility, Climate Resilience, Financial Viability.</w:t>
      </w:r>
    </w:p>
    <w:p>
      <w:r>
        <w:pict>
          <v:rect style="width:0;height:1.5pt" o:hralign="center" o:hrstd="t" o:hr="t"/>
        </w:pict>
      </w:r>
    </w:p>
    <w:bookmarkEnd w:id="334"/>
    <w:bookmarkEnd w:id="335"/>
    <w:bookmarkStart w:id="338" w:name="a.9-financing-module"/>
    <w:p>
      <w:pPr>
        <w:pStyle w:val="Heading2"/>
      </w:pPr>
      <w:r>
        <w:t xml:space="preserve">13.9 A.9 Financing Module</w:t>
      </w:r>
    </w:p>
    <w:bookmarkStart w:id="336" w:name="grant-element-calculation"/>
    <w:p>
      <w:pPr>
        <w:pStyle w:val="Heading3"/>
      </w:pPr>
      <w:r>
        <w:t xml:space="preserve">13.9.1 Grant Element Calculation</w:t>
      </w:r>
    </w:p>
    <w:p>
      <w:pPr>
        <w:pStyle w:val="FirstParagraph"/>
      </w:pPr>
      <m:oMathPara>
        <m:oMathParaPr>
          <m:jc m:val="center"/>
        </m:oMathParaPr>
        <m:oMath>
          <m:r>
            <m:t>G</m:t>
          </m:r>
          <m:r>
            <m:t>E</m:t>
          </m:r>
          <m:r>
            <m:rPr>
              <m:sty m:val="p"/>
            </m:rPr>
            <m:t>=</m:t>
          </m:r>
          <m:r>
            <m:t>1</m:t>
          </m:r>
          <m:r>
            <m:rPr>
              <m:sty m:val="p"/>
            </m:rPr>
            <m:t>−</m:t>
          </m:r>
          <m:f>
            <m:fPr>
              <m:type m:val="bar"/>
            </m:fPr>
            <m:num>
              <m:nary>
                <m:naryPr>
                  <m:chr m:val="∑"/>
                  <m:limLoc m:val="undOvr"/>
                  <m:subHide m:val="off"/>
                  <m:supHide m:val="off"/>
                </m:naryPr>
                <m:sub>
                  <m:r>
                    <m:t>t</m:t>
                  </m:r>
                  <m:r>
                    <m:rPr>
                      <m:sty m:val="p"/>
                    </m:rPr>
                    <m:t>=</m:t>
                  </m:r>
                  <m:r>
                    <m:t>1</m:t>
                  </m:r>
                </m:sub>
                <m:sup>
                  <m:r>
                    <m:t>T</m:t>
                  </m:r>
                </m:sup>
                <m:e>
                  <m:f>
                    <m:fPr>
                      <m:type m:val="bar"/>
                    </m:fPr>
                    <m:num>
                      <m:sSub>
                        <m:e>
                          <m:r>
                            <m:t>A</m:t>
                          </m:r>
                        </m:e>
                        <m:sub>
                          <m:r>
                            <m:t>t</m:t>
                          </m:r>
                        </m:sub>
                      </m:sSub>
                    </m:num>
                    <m:den>
                      <m:sSup>
                        <m:e>
                          <m:d>
                            <m:dPr>
                              <m:begChr m:val="("/>
                              <m:sepChr m:val=""/>
                              <m:endChr m:val=")"/>
                              <m:grow/>
                            </m:dPr>
                            <m:e>
                              <m:r>
                                <m:t>1</m:t>
                              </m:r>
                              <m:r>
                                <m:rPr>
                                  <m:sty m:val="p"/>
                                </m:rPr>
                                <m:t>+</m:t>
                              </m:r>
                              <m:sSub>
                                <m:e>
                                  <m:r>
                                    <m:t>r</m:t>
                                  </m:r>
                                </m:e>
                                <m:sub>
                                  <m:r>
                                    <m:t>m</m:t>
                                  </m:r>
                                </m:sub>
                              </m:sSub>
                            </m:e>
                          </m:d>
                        </m:e>
                        <m:sup>
                          <m:r>
                            <m:t>t</m:t>
                          </m:r>
                        </m:sup>
                      </m:sSup>
                    </m:den>
                  </m:f>
                </m:e>
              </m:nary>
            </m:num>
            <m:den>
              <m:r>
                <m:t>L</m:t>
              </m:r>
            </m:den>
          </m:f>
        </m:oMath>
      </m:oMathPara>
    </w:p>
    <w:p>
      <w:pPr>
        <w:pStyle w:val="FirstParagraph"/>
      </w:pPr>
      <w:r>
        <w:t xml:space="preserve">where</w:t>
      </w:r>
      <w:r>
        <w:t xml:space="preserve"> </w:t>
      </w:r>
      <m:oMath>
        <m:sSub>
          <m:e>
            <m:r>
              <m:t>A</m:t>
            </m:r>
          </m:e>
          <m:sub>
            <m:r>
              <m:t>t</m:t>
            </m:r>
          </m:sub>
        </m:sSub>
      </m:oMath>
      <w:r>
        <w:t xml:space="preserve"> </w:t>
      </w:r>
      <w:r>
        <w:t xml:space="preserve">= annual repayment,</w:t>
      </w:r>
      <w:r>
        <w:t xml:space="preserve"> </w:t>
      </w:r>
      <m:oMath>
        <m:sSub>
          <m:e>
            <m:r>
              <m:t>r</m:t>
            </m:r>
          </m:e>
          <m:sub>
            <m:r>
              <m:t>m</m:t>
            </m:r>
          </m:sub>
        </m:sSub>
      </m:oMath>
      <w:r>
        <w:t xml:space="preserve"> </w:t>
      </w:r>
      <w:r>
        <w:t xml:space="preserve">= market interest rate (11.55%, World Bank WDI 2024), and</w:t>
      </w:r>
      <w:r>
        <w:t xml:space="preserve"> </w:t>
      </w:r>
      <m:oMath>
        <m:r>
          <m:t>L</m:t>
        </m:r>
      </m:oMath>
      <w:r>
        <w:t xml:space="preserve"> </w:t>
      </w:r>
      <w:r>
        <w:t xml:space="preserve">= loan face value.</w:t>
      </w:r>
    </w:p>
    <w:bookmarkEnd w:id="336"/>
    <w:bookmarkStart w:id="337" w:name="weighted-average-cost-of-capital"/>
    <w:p>
      <w:pPr>
        <w:pStyle w:val="Heading3"/>
      </w:pPr>
      <w:r>
        <w:t xml:space="preserve">13.9.2 Weighted Average Cost of Capital</w:t>
      </w:r>
    </w:p>
    <w:p>
      <w:pPr>
        <w:pStyle w:val="FirstParagraph"/>
      </w:pPr>
      <m:oMathPara>
        <m:oMathParaPr>
          <m:jc m:val="center"/>
        </m:oMathParaPr>
        <m:oMath>
          <m:r>
            <m:rPr>
              <m:nor/>
              <m:sty m:val="p"/>
            </m:rPr>
            <m:t>WACC</m:t>
          </m:r>
          <m:r>
            <m:rPr>
              <m:sty m:val="p"/>
            </m:rPr>
            <m:t>=</m:t>
          </m:r>
          <m:sSub>
            <m:e>
              <m:r>
                <m:t>w</m:t>
              </m:r>
            </m:e>
            <m:sub>
              <m:r>
                <m:rPr>
                  <m:nor/>
                  <m:sty m:val="p"/>
                </m:rPr>
                <m:t>ADB</m:t>
              </m:r>
            </m:sub>
          </m:sSub>
          <m:r>
            <m:rPr>
              <m:sty m:val="p"/>
            </m:rPr>
            <m:t>×</m:t>
          </m:r>
          <m:sSub>
            <m:e>
              <m:r>
                <m:t>r</m:t>
              </m:r>
            </m:e>
            <m:sub>
              <m:r>
                <m:rPr>
                  <m:nor/>
                  <m:sty m:val="p"/>
                </m:rPr>
                <m:t>ADB</m:t>
              </m:r>
            </m:sub>
          </m:sSub>
          <m:r>
            <m:rPr>
              <m:sty m:val="p"/>
            </m:rPr>
            <m:t>+</m:t>
          </m:r>
          <m:sSub>
            <m:e>
              <m:r>
                <m:t>w</m:t>
              </m:r>
            </m:e>
            <m:sub>
              <m:r>
                <m:rPr>
                  <m:nor/>
                  <m:sty m:val="p"/>
                </m:rPr>
                <m:t>comm</m:t>
              </m:r>
            </m:sub>
          </m:sSub>
          <m:r>
            <m:rPr>
              <m:sty m:val="p"/>
            </m:rPr>
            <m:t>×</m:t>
          </m:r>
          <m:sSub>
            <m:e>
              <m:r>
                <m:t>r</m:t>
              </m:r>
            </m:e>
            <m:sub>
              <m:r>
                <m:rPr>
                  <m:nor/>
                  <m:sty m:val="p"/>
                </m:rPr>
                <m:t>comm</m:t>
              </m:r>
            </m:sub>
          </m:sSub>
        </m:oMath>
      </m:oMathPara>
    </w:p>
    <w:p>
      <w:pPr>
        <w:pStyle w:val="FirstParagraph"/>
      </w:pPr>
      <w:r>
        <w:t xml:space="preserve">where</w:t>
      </w:r>
      <w:r>
        <w:t xml:space="preserve"> </w:t>
      </w:r>
      <m:oMath>
        <m:sSub>
          <m:e>
            <m:r>
              <m:t>w</m:t>
            </m:r>
          </m:e>
          <m:sub>
            <m:r>
              <m:rPr>
                <m:nor/>
                <m:sty m:val="p"/>
              </m:rPr>
              <m:t>ADB</m:t>
            </m:r>
          </m:sub>
        </m:sSub>
      </m:oMath>
      <w:r>
        <w:t xml:space="preserve"> </w:t>
      </w:r>
      <w:r>
        <w:t xml:space="preserve">= ADB-eligible share,</w:t>
      </w:r>
      <w:r>
        <w:t xml:space="preserve"> </w:t>
      </w:r>
      <m:oMath>
        <m:sSub>
          <m:e>
            <m:r>
              <m:t>r</m:t>
            </m:r>
          </m:e>
          <m:sub>
            <m:r>
              <m:rPr>
                <m:nor/>
                <m:sty m:val="p"/>
              </m:rPr>
              <m:t>ADB</m:t>
            </m:r>
          </m:sub>
        </m:sSub>
        <m:r>
          <m:rPr>
            <m:sty m:val="p"/>
          </m:rPr>
          <m:t>=</m:t>
        </m:r>
        <m:r>
          <m:t>1</m:t>
        </m:r>
        <m:r>
          <m:rPr>
            <m:sty m:val="p"/>
          </m:rPr>
          <m:t>%</m:t>
        </m:r>
      </m:oMath>
      <w:r>
        <w:t xml:space="preserve">, and</w:t>
      </w:r>
      <w:r>
        <w:t xml:space="preserve"> </w:t>
      </w:r>
      <m:oMath>
        <m:sSub>
          <m:e>
            <m:r>
              <m:t>r</m:t>
            </m:r>
          </m:e>
          <m:sub>
            <m:r>
              <m:rPr>
                <m:nor/>
                <m:sty m:val="p"/>
              </m:rPr>
              <m:t>comm</m:t>
            </m:r>
          </m:sub>
        </m:sSub>
        <m:r>
          <m:rPr>
            <m:sty m:val="p"/>
          </m:rPr>
          <m:t>=</m:t>
        </m:r>
        <m:r>
          <m:t>11.55</m:t>
        </m:r>
        <m:r>
          <m:rPr>
            <m:sty m:val="p"/>
          </m:rPr>
          <m:t>%</m:t>
        </m:r>
      </m:oMath>
      <w:r>
        <w:t xml:space="preserve">.</w:t>
      </w:r>
    </w:p>
    <w:p>
      <w:r>
        <w:pict>
          <v:rect style="width:0;height:1.5pt" o:hralign="center" o:hrstd="t" o:hr="t"/>
        </w:pict>
      </w:r>
    </w:p>
    <w:bookmarkEnd w:id="337"/>
    <w:bookmarkEnd w:id="338"/>
    <w:bookmarkStart w:id="339" w:name="a.10-dispatch-model"/>
    <w:p>
      <w:pPr>
        <w:pStyle w:val="Heading2"/>
      </w:pPr>
      <w:r>
        <w:t xml:space="preserve">13.10 A.10 Dispatch Model</w:t>
      </w:r>
    </w:p>
    <w:p>
      <w:pPr>
        <w:pStyle w:val="FirstParagraph"/>
      </w:pPr>
      <w:r>
        <w:t xml:space="preserve">The hourly dispatch simulation validates annual capacity factor assumptions using 8,760-hour profiles:</w:t>
      </w:r>
    </w:p>
    <w:p>
      <w:pPr>
        <w:pStyle w:val="Compact"/>
        <w:numPr>
          <w:ilvl w:val="0"/>
          <w:numId w:val="1007"/>
        </w:numPr>
      </w:pPr>
      <w:r>
        <w:rPr>
          <w:b/>
          <w:bCs/>
        </w:rPr>
        <w:t xml:space="preserve">Solar output:</w:t>
      </w:r>
      <w:r>
        <w:t xml:space="preserve"> </w:t>
      </w:r>
      <m:oMath>
        <m:sSub>
          <m:e>
            <m:r>
              <m:t>G</m:t>
            </m:r>
          </m:e>
          <m:sub>
            <m:r>
              <m:rPr>
                <m:nor/>
                <m:sty m:val="p"/>
              </m:rPr>
              <m:t>solar</m:t>
            </m:r>
          </m:sub>
        </m:sSub>
        <m:d>
          <m:dPr>
            <m:begChr m:val="("/>
            <m:sepChr m:val=""/>
            <m:endChr m:val=")"/>
            <m:grow/>
          </m:dPr>
          <m:e>
            <m:r>
              <m:t>h</m:t>
            </m:r>
          </m:e>
        </m:d>
        <m:r>
          <m:rPr>
            <m:sty m:val="p"/>
          </m:rPr>
          <m:t>=</m:t>
        </m:r>
        <m:sSub>
          <m:e>
            <m:r>
              <m:t>Q</m:t>
            </m:r>
          </m:e>
          <m:sub>
            <m:r>
              <m:rPr>
                <m:nor/>
                <m:sty m:val="p"/>
              </m:rPr>
              <m:t>MW</m:t>
            </m:r>
          </m:sub>
        </m:sSub>
        <m:r>
          <m:rPr>
            <m:sty m:val="p"/>
          </m:rPr>
          <m:t>×</m:t>
        </m:r>
        <m:f>
          <m:fPr>
            <m:type m:val="bar"/>
          </m:fPr>
          <m:num>
            <m:r>
              <m:t>G</m:t>
            </m:r>
            <m:r>
              <m:t>H</m:t>
            </m:r>
            <m:r>
              <m:t>I</m:t>
            </m:r>
            <m:d>
              <m:dPr>
                <m:begChr m:val="("/>
                <m:sepChr m:val=""/>
                <m:endChr m:val=")"/>
                <m:grow/>
              </m:dPr>
              <m:e>
                <m:r>
                  <m:t>h</m:t>
                </m:r>
              </m:e>
            </m:d>
          </m:num>
          <m:den>
            <m:r>
              <m:t>1000</m:t>
            </m:r>
          </m:den>
        </m:f>
        <m:r>
          <m:rPr>
            <m:sty m:val="p"/>
          </m:rPr>
          <m:t>×</m:t>
        </m:r>
        <m:sSub>
          <m:e>
            <m:r>
              <m:t>f</m:t>
            </m:r>
          </m:e>
          <m:sub>
            <m:r>
              <m:t>T</m:t>
            </m:r>
          </m:sub>
        </m:sSub>
        <m:d>
          <m:dPr>
            <m:begChr m:val="("/>
            <m:sepChr m:val=""/>
            <m:endChr m:val=")"/>
            <m:grow/>
          </m:dPr>
          <m:e>
            <m:r>
              <m:t>h</m:t>
            </m:r>
          </m:e>
        </m:d>
      </m:oMath>
    </w:p>
    <w:p>
      <w:pPr>
        <w:pStyle w:val="Compact"/>
        <w:numPr>
          <w:ilvl w:val="0"/>
          <w:numId w:val="1007"/>
        </w:numPr>
      </w:pPr>
      <w:r>
        <w:rPr>
          <w:b/>
          <w:bCs/>
        </w:rPr>
        <w:t xml:space="preserve">Battery charge/discharge:</w:t>
      </w:r>
      <w:r>
        <w:t xml:space="preserve"> </w:t>
      </w:r>
      <w:r>
        <w:t xml:space="preserve">Subject to</w:t>
      </w:r>
      <w:r>
        <w:t xml:space="preserve"> </w:t>
      </w:r>
      <m:oMath>
        <m:sSub>
          <m:e>
            <m:r>
              <m:rPr>
                <m:nor/>
                <m:sty m:val="p"/>
              </m:rPr>
              <m:t>SOC</m:t>
            </m:r>
          </m:e>
          <m:sub>
            <m:r>
              <m:rPr>
                <m:sty m:val="p"/>
              </m:rPr>
              <m:t>min</m:t>
            </m:r>
          </m:sub>
        </m:sSub>
        <m:r>
          <m:rPr>
            <m:sty m:val="p"/>
          </m:rPr>
          <m:t>=</m:t>
        </m:r>
        <m:r>
          <m:t>1</m:t>
        </m:r>
        <m:r>
          <m:rPr>
            <m:sty m:val="p"/>
          </m:rPr>
          <m:t>−</m:t>
        </m:r>
        <m:r>
          <m:t>D</m:t>
        </m:r>
        <m:r>
          <m:t>o</m:t>
        </m:r>
        <m:r>
          <m:t>D</m:t>
        </m:r>
      </m:oMath>
      <w:r>
        <w:t xml:space="preserve">, round-trip efficiency</w:t>
      </w:r>
      <w:r>
        <w:t xml:space="preserve"> </w:t>
      </w:r>
      <m:oMath>
        <m:sSub>
          <m:e>
            <m:r>
              <m:t>η</m:t>
            </m:r>
          </m:e>
          <m:sub>
            <m:r>
              <m:rPr>
                <m:nor/>
                <m:sty m:val="p"/>
              </m:rPr>
              <m:t>RT</m:t>
            </m:r>
          </m:sub>
        </m:sSub>
        <m:r>
          <m:rPr>
            <m:sty m:val="p"/>
          </m:rPr>
          <m:t>=</m:t>
        </m:r>
        <m:r>
          <m:t>0.88</m:t>
        </m:r>
      </m:oMath>
    </w:p>
    <w:p>
      <w:pPr>
        <w:pStyle w:val="Compact"/>
        <w:numPr>
          <w:ilvl w:val="0"/>
          <w:numId w:val="1007"/>
        </w:numPr>
      </w:pPr>
      <w:r>
        <w:rPr>
          <w:b/>
          <w:bCs/>
        </w:rPr>
        <w:t xml:space="preserve">Diesel backstop:</w:t>
      </w:r>
      <w:r>
        <w:t xml:space="preserve"> </w:t>
      </w:r>
      <w:r>
        <w:t xml:space="preserve">Fills any gap, subject to minimum load fraction</w:t>
      </w:r>
      <w:r>
        <w:t xml:space="preserve"> </w:t>
      </w:r>
      <m:oMath>
        <m:sSub>
          <m:e>
            <m:r>
              <m:t>l</m:t>
            </m:r>
          </m:e>
          <m:sub>
            <m:r>
              <m:rPr>
                <m:sty m:val="p"/>
              </m:rPr>
              <m:t>min</m:t>
            </m:r>
          </m:sub>
        </m:sSub>
        <m:r>
          <m:rPr>
            <m:sty m:val="p"/>
          </m:rPr>
          <m:t>=</m:t>
        </m:r>
        <m:r>
          <m:t>0.40</m:t>
        </m:r>
      </m:oMath>
    </w:p>
    <w:p>
      <w:pPr>
        <w:pStyle w:val="FirstParagraph"/>
      </w:pPr>
      <w:r>
        <w:t xml:space="preserve">The simulation uses hourly GHI and temperature data from</w:t>
      </w:r>
      <w:r>
        <w:t xml:space="preserve"> </w:t>
      </w:r>
      <w:r>
        <w:rPr>
          <w:rStyle w:val="VerbatimChar"/>
        </w:rPr>
        <w:t xml:space="preserve">GHI_hourly.csv</w:t>
      </w:r>
      <w:r>
        <w:t xml:space="preserve"> </w:t>
      </w:r>
      <w:r>
        <w:t xml:space="preserve">and</w:t>
      </w:r>
      <w:r>
        <w:t xml:space="preserve"> </w:t>
      </w:r>
      <w:r>
        <w:rPr>
          <w:rStyle w:val="VerbatimChar"/>
        </w:rPr>
        <w:t xml:space="preserve">Temperature_hourly.csv</w:t>
      </w:r>
      <w:r>
        <w:t xml:space="preserve">.</w:t>
      </w:r>
    </w:p>
    <w:p>
      <w:r>
        <w:pict>
          <v:rect style="width:0;height:1.5pt" o:hralign="center" o:hrstd="t" o:hr="t"/>
        </w:pict>
      </w:r>
    </w:p>
    <w:bookmarkEnd w:id="339"/>
    <w:bookmarkStart w:id="341" w:name="a.11-parameter-traceability-summary"/>
    <w:p>
      <w:pPr>
        <w:pStyle w:val="Heading2"/>
      </w:pPr>
      <w:r>
        <w:t xml:space="preserve">13.11 A.11 Parameter Traceability Summary</w:t>
      </w:r>
    </w:p>
    <w:tbl>
      <w:tblPr>
        <w:tblStyle w:val="Table"/>
        <w:tblW w:type="pct" w:w="5000"/>
        <w:tblLayout w:type="fixed"/>
        <w:tblLook w:firstRow="0" w:lastRow="0" w:firstColumn="0" w:lastColumn="0" w:noHBand="0" w:noVBand="0" w:val="0000"/>
      </w:tblPr>
      <w:tblGrid>
        <w:gridCol w:w="7920"/>
      </w:tblGrid>
      <w:tr>
        <w:tc>
          <w:tcPr/>
          <w:bookmarkStart w:id="340" w:name="tbl-param-count"/>
          <w:p>
            <w:pPr>
              <w:jc w:val="center"/>
            </w:pPr>
            <w:pPr>
              <w:jc w:val="start"/>
              <w:spacing w:before="200"/>
              <w:pStyle w:val="ImageCaption"/>
            </w:pPr>
            <w:r>
              <w:t xml:space="preserve">Table 13.1: Parameter categories and counts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Category</w:t>
                  </w:r>
                </w:p>
              </w:tc>
              <w:tc>
                <w:tcPr/>
                <w:p>
                  <w:pPr>
                    <w:pStyle w:val="Compact"/>
                    <w:jc w:val="center"/>
                  </w:pPr>
                  <w:r>
                    <w:t xml:space="preserve">Parameters</w:t>
                  </w:r>
                </w:p>
              </w:tc>
            </w:tr>
            <w:tr>
              <w:tc>
                <w:tcPr/>
                <w:p>
                  <w:pPr>
                    <w:pStyle w:val="Compact"/>
                    <w:jc w:val="center"/>
                  </w:pPr>
                  <w:r>
                    <w:t xml:space="preserve">Demand</w:t>
                  </w:r>
                </w:p>
              </w:tc>
              <w:tc>
                <w:tcPr/>
                <w:p>
                  <w:pPr>
                    <w:pStyle w:val="Compact"/>
                    <w:jc w:val="center"/>
                  </w:pPr>
                  <w:r>
                    <w:t xml:space="preserve">23</w:t>
                  </w:r>
                </w:p>
              </w:tc>
            </w:tr>
            <w:tr>
              <w:tc>
                <w:tcPr/>
                <w:p>
                  <w:pPr>
                    <w:pStyle w:val="Compact"/>
                    <w:jc w:val="center"/>
                  </w:pPr>
                  <w:r>
                    <w:t xml:space="preserve">Investment Phasing</w:t>
                  </w:r>
                </w:p>
              </w:tc>
              <w:tc>
                <w:tcPr/>
                <w:p>
                  <w:pPr>
                    <w:pStyle w:val="Compact"/>
                    <w:jc w:val="center"/>
                  </w:pPr>
                  <w:r>
                    <w:t xml:space="preserve">20</w:t>
                  </w:r>
                </w:p>
              </w:tc>
            </w:tr>
            <w:tr>
              <w:tc>
                <w:tcPr/>
                <w:p>
                  <w:pPr>
                    <w:pStyle w:val="Compact"/>
                    <w:jc w:val="center"/>
                  </w:pPr>
                  <w:r>
                    <w:t xml:space="preserve">Solar</w:t>
                  </w:r>
                </w:p>
              </w:tc>
              <w:tc>
                <w:tcPr/>
                <w:p>
                  <w:pPr>
                    <w:pStyle w:val="Compact"/>
                    <w:jc w:val="center"/>
                  </w:pPr>
                  <w:r>
                    <w:t xml:space="preserve">17</w:t>
                  </w:r>
                </w:p>
              </w:tc>
            </w:tr>
            <w:tr>
              <w:tc>
                <w:tcPr/>
                <w:p>
                  <w:pPr>
                    <w:pStyle w:val="Compact"/>
                    <w:jc w:val="center"/>
                  </w:pPr>
                  <w:r>
                    <w:t xml:space="preserve">Dispatch</w:t>
                  </w:r>
                </w:p>
              </w:tc>
              <w:tc>
                <w:tcPr/>
                <w:p>
                  <w:pPr>
                    <w:pStyle w:val="Compact"/>
                    <w:jc w:val="center"/>
                  </w:pPr>
                  <w:r>
                    <w:t xml:space="preserve">13</w:t>
                  </w:r>
                </w:p>
              </w:tc>
            </w:tr>
            <w:tr>
              <w:tc>
                <w:tcPr/>
                <w:p>
                  <w:pPr>
                    <w:pStyle w:val="Compact"/>
                    <w:jc w:val="center"/>
                  </w:pPr>
                  <w:r>
                    <w:t xml:space="preserve">Cable</w:t>
                  </w:r>
                </w:p>
              </w:tc>
              <w:tc>
                <w:tcPr/>
                <w:p>
                  <w:pPr>
                    <w:pStyle w:val="Compact"/>
                    <w:jc w:val="center"/>
                  </w:pPr>
                  <w:r>
                    <w:t xml:space="preserve">12</w:t>
                  </w:r>
                </w:p>
              </w:tc>
            </w:tr>
            <w:tr>
              <w:tc>
                <w:tcPr/>
                <w:p>
                  <w:pPr>
                    <w:pStyle w:val="Compact"/>
                    <w:jc w:val="center"/>
                  </w:pPr>
                  <w:r>
                    <w:t xml:space="preserve">Macro</w:t>
                  </w:r>
                </w:p>
              </w:tc>
              <w:tc>
                <w:tcPr/>
                <w:p>
                  <w:pPr>
                    <w:pStyle w:val="Compact"/>
                    <w:jc w:val="center"/>
                  </w:pPr>
                  <w:r>
                    <w:t xml:space="preserve">11</w:t>
                  </w:r>
                </w:p>
              </w:tc>
            </w:tr>
            <w:tr>
              <w:tc>
                <w:tcPr/>
                <w:p>
                  <w:pPr>
                    <w:pStyle w:val="Compact"/>
                    <w:jc w:val="center"/>
                  </w:pPr>
                  <w:r>
                    <w:t xml:space="preserve">LNG</w:t>
                  </w:r>
                </w:p>
              </w:tc>
              <w:tc>
                <w:tcPr/>
                <w:p>
                  <w:pPr>
                    <w:pStyle w:val="Compact"/>
                    <w:jc w:val="center"/>
                  </w:pPr>
                  <w:r>
                    <w:t xml:space="preserve">10</w:t>
                  </w:r>
                </w:p>
              </w:tc>
            </w:tr>
            <w:tr>
              <w:tc>
                <w:tcPr/>
                <w:p>
                  <w:pPr>
                    <w:pStyle w:val="Compact"/>
                    <w:jc w:val="center"/>
                  </w:pPr>
                  <w:r>
                    <w:t xml:space="preserve">Economics</w:t>
                  </w:r>
                </w:p>
              </w:tc>
              <w:tc>
                <w:tcPr/>
                <w:p>
                  <w:pPr>
                    <w:pStyle w:val="Compact"/>
                    <w:jc w:val="center"/>
                  </w:pPr>
                  <w:r>
                    <w:t xml:space="preserve">10</w:t>
                  </w:r>
                </w:p>
              </w:tc>
            </w:tr>
            <w:tr>
              <w:tc>
                <w:tcPr/>
                <w:p>
                  <w:pPr>
                    <w:pStyle w:val="Compact"/>
                    <w:jc w:val="center"/>
                  </w:pPr>
                  <w:r>
                    <w:t xml:space="preserve">Battery</w:t>
                  </w:r>
                </w:p>
              </w:tc>
              <w:tc>
                <w:tcPr/>
                <w:p>
                  <w:pPr>
                    <w:pStyle w:val="Compact"/>
                    <w:jc w:val="center"/>
                  </w:pPr>
                  <w:r>
                    <w:t xml:space="preserve">9</w:t>
                  </w:r>
                </w:p>
              </w:tc>
            </w:tr>
            <w:tr>
              <w:tc>
                <w:tcPr/>
                <w:p>
                  <w:pPr>
                    <w:pStyle w:val="Compact"/>
                    <w:jc w:val="center"/>
                  </w:pPr>
                  <w:r>
                    <w:t xml:space="preserve">Distributional</w:t>
                  </w:r>
                </w:p>
              </w:tc>
              <w:tc>
                <w:tcPr/>
                <w:p>
                  <w:pPr>
                    <w:pStyle w:val="Compact"/>
                    <w:jc w:val="center"/>
                  </w:pPr>
                  <w:r>
                    <w:t xml:space="preserve">9</w:t>
                  </w:r>
                </w:p>
              </w:tc>
            </w:tr>
            <w:tr>
              <w:tc>
                <w:tcPr/>
                <w:p>
                  <w:pPr>
                    <w:pStyle w:val="Compact"/>
                    <w:jc w:val="center"/>
                  </w:pPr>
                  <w:r>
                    <w:t xml:space="preserve">Benchmarks</w:t>
                  </w:r>
                </w:p>
              </w:tc>
              <w:tc>
                <w:tcPr/>
                <w:p>
                  <w:pPr>
                    <w:pStyle w:val="Compact"/>
                    <w:jc w:val="center"/>
                  </w:pPr>
                  <w:r>
                    <w:t xml:space="preserve">8</w:t>
                  </w:r>
                </w:p>
              </w:tc>
            </w:tr>
            <w:tr>
              <w:tc>
                <w:tcPr/>
                <w:p>
                  <w:pPr>
                    <w:pStyle w:val="Compact"/>
                    <w:jc w:val="center"/>
                  </w:pPr>
                  <w:r>
                    <w:t xml:space="preserve">MCA Weights</w:t>
                  </w:r>
                </w:p>
              </w:tc>
              <w:tc>
                <w:tcPr/>
                <w:p>
                  <w:pPr>
                    <w:pStyle w:val="Compact"/>
                    <w:jc w:val="center"/>
                  </w:pPr>
                  <w:r>
                    <w:t xml:space="preserve">8</w:t>
                  </w:r>
                </w:p>
              </w:tc>
            </w:tr>
            <w:tr>
              <w:tc>
                <w:tcPr/>
                <w:p>
                  <w:pPr>
                    <w:pStyle w:val="Compact"/>
                    <w:jc w:val="center"/>
                  </w:pPr>
                  <w:r>
                    <w:t xml:space="preserve">Near-Shore Solar</w:t>
                  </w:r>
                </w:p>
              </w:tc>
              <w:tc>
                <w:tcPr/>
                <w:p>
                  <w:pPr>
                    <w:pStyle w:val="Compact"/>
                    <w:jc w:val="center"/>
                  </w:pPr>
                  <w:r>
                    <w:t xml:space="preserve">8</w:t>
                  </w:r>
                </w:p>
              </w:tc>
            </w:tr>
            <w:tr>
              <w:tc>
                <w:tcPr/>
                <w:p>
                  <w:pPr>
                    <w:pStyle w:val="Compact"/>
                    <w:jc w:val="center"/>
                  </w:pPr>
                  <w:r>
                    <w:t xml:space="preserve">One Grid</w:t>
                  </w:r>
                </w:p>
              </w:tc>
              <w:tc>
                <w:tcPr/>
                <w:p>
                  <w:pPr>
                    <w:pStyle w:val="Compact"/>
                    <w:jc w:val="center"/>
                  </w:pPr>
                  <w:r>
                    <w:t xml:space="preserve">7</w:t>
                  </w:r>
                </w:p>
              </w:tc>
            </w:tr>
            <w:tr>
              <w:tc>
                <w:tcPr/>
                <w:p>
                  <w:pPr>
                    <w:pStyle w:val="Compact"/>
                    <w:jc w:val="center"/>
                  </w:pPr>
                  <w:r>
                    <w:t xml:space="preserve">WTE</w:t>
                  </w:r>
                </w:p>
              </w:tc>
              <w:tc>
                <w:tcPr/>
                <w:p>
                  <w:pPr>
                    <w:pStyle w:val="Compact"/>
                    <w:jc w:val="center"/>
                  </w:pPr>
                  <w:r>
                    <w:t xml:space="preserve">7</w:t>
                  </w:r>
                </w:p>
              </w:tc>
            </w:tr>
            <w:tr>
              <w:tc>
                <w:tcPr/>
                <w:p>
                  <w:pPr>
                    <w:pStyle w:val="Compact"/>
                    <w:jc w:val="center"/>
                  </w:pPr>
                  <w:r>
                    <w:t xml:space="preserve">Electricity Structure</w:t>
                  </w:r>
                </w:p>
              </w:tc>
              <w:tc>
                <w:tcPr/>
                <w:p>
                  <w:pPr>
                    <w:pStyle w:val="Compact"/>
                    <w:jc w:val="center"/>
                  </w:pPr>
                  <w:r>
                    <w:t xml:space="preserve">7</w:t>
                  </w:r>
                </w:p>
              </w:tc>
            </w:tr>
            <w:tr>
              <w:tc>
                <w:tcPr/>
                <w:p>
                  <w:pPr>
                    <w:pStyle w:val="Compact"/>
                    <w:jc w:val="center"/>
                  </w:pPr>
                  <w:r>
                    <w:t xml:space="preserve">Wind</w:t>
                  </w:r>
                </w:p>
              </w:tc>
              <w:tc>
                <w:tcPr/>
                <w:p>
                  <w:pPr>
                    <w:pStyle w:val="Compact"/>
                    <w:jc w:val="center"/>
                  </w:pPr>
                  <w:r>
                    <w:t xml:space="preserve">7</w:t>
                  </w:r>
                </w:p>
              </w:tc>
            </w:tr>
            <w:tr>
              <w:tc>
                <w:tcPr/>
                <w:p>
                  <w:pPr>
                    <w:pStyle w:val="Compact"/>
                    <w:jc w:val="center"/>
                  </w:pPr>
                  <w:r>
                    <w:t xml:space="preserve">Climate</w:t>
                  </w:r>
                </w:p>
              </w:tc>
              <w:tc>
                <w:tcPr/>
                <w:p>
                  <w:pPr>
                    <w:pStyle w:val="Compact"/>
                    <w:jc w:val="center"/>
                  </w:pPr>
                  <w:r>
                    <w:t xml:space="preserve">6</w:t>
                  </w:r>
                </w:p>
              </w:tc>
            </w:tr>
            <w:tr>
              <w:tc>
                <w:tcPr/>
                <w:p>
                  <w:pPr>
                    <w:pStyle w:val="Compact"/>
                    <w:jc w:val="center"/>
                  </w:pPr>
                  <w:r>
                    <w:t xml:space="preserve">PPA</w:t>
                  </w:r>
                </w:p>
              </w:tc>
              <w:tc>
                <w:tcPr/>
                <w:p>
                  <w:pPr>
                    <w:pStyle w:val="Compact"/>
                    <w:jc w:val="center"/>
                  </w:pPr>
                  <w:r>
                    <w:t xml:space="preserve">6</w:t>
                  </w:r>
                </w:p>
              </w:tc>
            </w:tr>
            <w:tr>
              <w:tc>
                <w:tcPr/>
                <w:p>
                  <w:pPr>
                    <w:pStyle w:val="Compact"/>
                    <w:jc w:val="center"/>
                  </w:pPr>
                  <w:r>
                    <w:t xml:space="preserve">Transport Costs</w:t>
                  </w:r>
                </w:p>
              </w:tc>
              <w:tc>
                <w:tcPr/>
                <w:p>
                  <w:pPr>
                    <w:pStyle w:val="Compact"/>
                    <w:jc w:val="center"/>
                  </w:pPr>
                  <w:r>
                    <w:t xml:space="preserve">6</w:t>
                  </w:r>
                </w:p>
              </w:tc>
            </w:tr>
            <w:tr>
              <w:tc>
                <w:tcPr/>
                <w:p>
                  <w:pPr>
                    <w:pStyle w:val="Compact"/>
                    <w:jc w:val="center"/>
                  </w:pPr>
                  <w:r>
                    <w:t xml:space="preserve">Financing</w:t>
                  </w:r>
                </w:p>
              </w:tc>
              <w:tc>
                <w:tcPr/>
                <w:p>
                  <w:pPr>
                    <w:pStyle w:val="Compact"/>
                    <w:jc w:val="center"/>
                  </w:pPr>
                  <w:r>
                    <w:t xml:space="preserve">6</w:t>
                  </w:r>
                </w:p>
              </w:tc>
            </w:tr>
            <w:tr>
              <w:tc>
                <w:tcPr/>
                <w:p>
                  <w:pPr>
                    <w:pStyle w:val="Compact"/>
                    <w:jc w:val="center"/>
                  </w:pPr>
                  <w:r>
                    <w:t xml:space="preserve">Fuel</w:t>
                  </w:r>
                </w:p>
              </w:tc>
              <w:tc>
                <w:tcPr/>
                <w:p>
                  <w:pPr>
                    <w:pStyle w:val="Compact"/>
                    <w:jc w:val="center"/>
                  </w:pPr>
                  <w:r>
                    <w:t xml:space="preserve">6</w:t>
                  </w:r>
                </w:p>
              </w:tc>
            </w:tr>
            <w:tr>
              <w:tc>
                <w:tcPr/>
                <w:p>
                  <w:pPr>
                    <w:pStyle w:val="Compact"/>
                    <w:jc w:val="center"/>
                  </w:pPr>
                  <w:r>
                    <w:t xml:space="preserve">Current System</w:t>
                  </w:r>
                </w:p>
              </w:tc>
              <w:tc>
                <w:tcPr/>
                <w:p>
                  <w:pPr>
                    <w:pStyle w:val="Compact"/>
                    <w:jc w:val="center"/>
                  </w:pPr>
                  <w:r>
                    <w:t xml:space="preserve">6</w:t>
                  </w:r>
                </w:p>
              </w:tc>
            </w:tr>
            <w:tr>
              <w:tc>
                <w:tcPr/>
                <w:p>
                  <w:pPr>
                    <w:pStyle w:val="Compact"/>
                    <w:jc w:val="center"/>
                  </w:pPr>
                  <w:r>
                    <w:t xml:space="preserve">Transport Energy</w:t>
                  </w:r>
                </w:p>
              </w:tc>
              <w:tc>
                <w:tcPr/>
                <w:p>
                  <w:pPr>
                    <w:pStyle w:val="Compact"/>
                    <w:jc w:val="center"/>
                  </w:pPr>
                  <w:r>
                    <w:t xml:space="preserve">5</w:t>
                  </w:r>
                </w:p>
              </w:tc>
            </w:tr>
            <w:tr>
              <w:tc>
                <w:tcPr/>
                <w:p>
                  <w:pPr>
                    <w:pStyle w:val="Compact"/>
                    <w:jc w:val="center"/>
                  </w:pPr>
                  <w:r>
                    <w:t xml:space="preserve">Transport EV</w:t>
                  </w:r>
                </w:p>
              </w:tc>
              <w:tc>
                <w:tcPr/>
                <w:p>
                  <w:pPr>
                    <w:pStyle w:val="Compact"/>
                    <w:jc w:val="center"/>
                  </w:pPr>
                  <w:r>
                    <w:t xml:space="preserve">5</w:t>
                  </w:r>
                </w:p>
              </w:tc>
            </w:tr>
            <w:tr>
              <w:tc>
                <w:tcPr/>
                <w:p>
                  <w:pPr>
                    <w:pStyle w:val="Compact"/>
                    <w:jc w:val="center"/>
                  </w:pPr>
                  <w:r>
                    <w:t xml:space="preserve">Islanded</w:t>
                  </w:r>
                </w:p>
              </w:tc>
              <w:tc>
                <w:tcPr/>
                <w:p>
                  <w:pPr>
                    <w:pStyle w:val="Compact"/>
                    <w:jc w:val="center"/>
                  </w:pPr>
                  <w:r>
                    <w:t xml:space="preserve">5</w:t>
                  </w:r>
                </w:p>
              </w:tc>
            </w:tr>
            <w:tr>
              <w:tc>
                <w:tcPr/>
                <w:p>
                  <w:pPr>
                    <w:pStyle w:val="Compact"/>
                    <w:jc w:val="center"/>
                  </w:pPr>
                  <w:r>
                    <w:t xml:space="preserve">RE Deployment</w:t>
                  </w:r>
                </w:p>
              </w:tc>
              <w:tc>
                <w:tcPr/>
                <w:p>
                  <w:pPr>
                    <w:pStyle w:val="Compact"/>
                    <w:jc w:val="center"/>
                  </w:pPr>
                  <w:r>
                    <w:t xml:space="preserve">5</w:t>
                  </w:r>
                </w:p>
              </w:tc>
            </w:tr>
            <w:tr>
              <w:tc>
                <w:tcPr/>
                <w:p>
                  <w:pPr>
                    <w:pStyle w:val="Compact"/>
                    <w:jc w:val="center"/>
                  </w:pPr>
                  <w:r>
                    <w:t xml:space="preserve">Time</w:t>
                  </w:r>
                </w:p>
              </w:tc>
              <w:tc>
                <w:tcPr/>
                <w:p>
                  <w:pPr>
                    <w:pStyle w:val="Compact"/>
                    <w:jc w:val="center"/>
                  </w:pPr>
                  <w:r>
                    <w:t xml:space="preserve">4</w:t>
                  </w:r>
                </w:p>
              </w:tc>
            </w:tr>
            <w:tr>
              <w:tc>
                <w:tcPr/>
                <w:p>
                  <w:pPr>
                    <w:pStyle w:val="Compact"/>
                    <w:jc w:val="center"/>
                  </w:pPr>
                  <w:r>
                    <w:t xml:space="preserve">Losses</w:t>
                  </w:r>
                </w:p>
              </w:tc>
              <w:tc>
                <w:tcPr/>
                <w:p>
                  <w:pPr>
                    <w:pStyle w:val="Compact"/>
                    <w:jc w:val="center"/>
                  </w:pPr>
                  <w:r>
                    <w:t xml:space="preserve">4</w:t>
                  </w:r>
                </w:p>
              </w:tc>
            </w:tr>
            <w:tr>
              <w:tc>
                <w:tcPr/>
                <w:p>
                  <w:pPr>
                    <w:pStyle w:val="Compact"/>
                    <w:jc w:val="center"/>
                  </w:pPr>
                  <w:r>
                    <w:t xml:space="preserve">Tourism</w:t>
                  </w:r>
                </w:p>
              </w:tc>
              <w:tc>
                <w:tcPr/>
                <w:p>
                  <w:pPr>
                    <w:pStyle w:val="Compact"/>
                    <w:jc w:val="center"/>
                  </w:pPr>
                  <w:r>
                    <w:t xml:space="preserve">4</w:t>
                  </w:r>
                </w:p>
              </w:tc>
            </w:tr>
            <w:tr>
              <w:tc>
                <w:tcPr/>
                <w:p>
                  <w:pPr>
                    <w:pStyle w:val="Compact"/>
                    <w:jc w:val="center"/>
                  </w:pPr>
                  <w:r>
                    <w:t xml:space="preserve">Transport Fleet</w:t>
                  </w:r>
                </w:p>
              </w:tc>
              <w:tc>
                <w:tcPr/>
                <w:p>
                  <w:pPr>
                    <w:pStyle w:val="Compact"/>
                    <w:jc w:val="center"/>
                  </w:pPr>
                  <w:r>
                    <w:t xml:space="preserve">4</w:t>
                  </w:r>
                </w:p>
              </w:tc>
            </w:tr>
            <w:tr>
              <w:tc>
                <w:tcPr/>
                <w:p>
                  <w:pPr>
                    <w:pStyle w:val="Compact"/>
                    <w:jc w:val="center"/>
                  </w:pPr>
                  <w:r>
                    <w:t xml:space="preserve">Inter-Island Grid</w:t>
                  </w:r>
                </w:p>
              </w:tc>
              <w:tc>
                <w:tcPr/>
                <w:p>
                  <w:pPr>
                    <w:pStyle w:val="Compact"/>
                    <w:jc w:val="center"/>
                  </w:pPr>
                  <w:r>
                    <w:t xml:space="preserve">4</w:t>
                  </w:r>
                </w:p>
              </w:tc>
            </w:tr>
            <w:tr>
              <w:tc>
                <w:tcPr/>
                <w:p>
                  <w:pPr>
                    <w:pStyle w:val="Compact"/>
                    <w:jc w:val="center"/>
                  </w:pPr>
                  <w:r>
                    <w:t xml:space="preserve">Cable Outage</w:t>
                  </w:r>
                </w:p>
              </w:tc>
              <w:tc>
                <w:tcPr/>
                <w:p>
                  <w:pPr>
                    <w:pStyle w:val="Compact"/>
                    <w:jc w:val="center"/>
                  </w:pPr>
                  <w:r>
                    <w:t xml:space="preserve">3</w:t>
                  </w:r>
                </w:p>
              </w:tc>
            </w:tr>
            <w:tr>
              <w:tc>
                <w:tcPr/>
                <w:p>
                  <w:pPr>
                    <w:pStyle w:val="Compact"/>
                    <w:jc w:val="center"/>
                  </w:pPr>
                  <w:r>
                    <w:t xml:space="preserve">Health</w:t>
                  </w:r>
                </w:p>
              </w:tc>
              <w:tc>
                <w:tcPr/>
                <w:p>
                  <w:pPr>
                    <w:pStyle w:val="Compact"/>
                    <w:jc w:val="center"/>
                  </w:pPr>
                  <w:r>
                    <w:t xml:space="preserve">3</w:t>
                  </w:r>
                </w:p>
              </w:tc>
            </w:tr>
            <w:tr>
              <w:tc>
                <w:tcPr/>
                <w:p>
                  <w:pPr>
                    <w:pStyle w:val="Compact"/>
                    <w:jc w:val="center"/>
                  </w:pPr>
                  <w:r>
                    <w:t xml:space="preserve">Environment</w:t>
                  </w:r>
                </w:p>
              </w:tc>
              <w:tc>
                <w:tcPr/>
                <w:p>
                  <w:pPr>
                    <w:pStyle w:val="Compact"/>
                    <w:jc w:val="center"/>
                  </w:pPr>
                  <w:r>
                    <w:t xml:space="preserve">3</w:t>
                  </w:r>
                </w:p>
              </w:tc>
            </w:tr>
            <w:tr>
              <w:tc>
                <w:tcPr/>
                <w:p>
                  <w:pPr>
                    <w:pStyle w:val="Compact"/>
                    <w:jc w:val="center"/>
                  </w:pPr>
                  <w:r>
                    <w:t xml:space="preserve">Connection</w:t>
                  </w:r>
                </w:p>
              </w:tc>
              <w:tc>
                <w:tcPr/>
                <w:p>
                  <w:pPr>
                    <w:pStyle w:val="Compact"/>
                    <w:jc w:val="center"/>
                  </w:pPr>
                  <w:r>
                    <w:t xml:space="preserve">3</w:t>
                  </w:r>
                </w:p>
              </w:tc>
            </w:tr>
            <w:tr>
              <w:tc>
                <w:tcPr/>
                <w:p>
                  <w:pPr>
                    <w:pStyle w:val="Compact"/>
                    <w:jc w:val="center"/>
                  </w:pPr>
                  <w:r>
                    <w:t xml:space="preserve">Diesel Gen</w:t>
                  </w:r>
                </w:p>
              </w:tc>
              <w:tc>
                <w:tcPr/>
                <w:p>
                  <w:pPr>
                    <w:pStyle w:val="Compact"/>
                    <w:jc w:val="center"/>
                  </w:pPr>
                  <w:r>
                    <w:t xml:space="preserve">3</w:t>
                  </w:r>
                </w:p>
              </w:tc>
            </w:tr>
            <w:tr>
              <w:tc>
                <w:tcPr/>
                <w:p>
                  <w:pPr>
                    <w:pStyle w:val="Compact"/>
                    <w:jc w:val="center"/>
                  </w:pPr>
                  <w:r>
                    <w:t xml:space="preserve">MCA Scores IG</w:t>
                  </w:r>
                </w:p>
              </w:tc>
              <w:tc>
                <w:tcPr/>
                <w:p>
                  <w:pPr>
                    <w:pStyle w:val="Compact"/>
                    <w:jc w:val="center"/>
                  </w:pPr>
                  <w:r>
                    <w:t xml:space="preserve">3</w:t>
                  </w:r>
                </w:p>
              </w:tc>
            </w:tr>
            <w:tr>
              <w:tc>
                <w:tcPr/>
                <w:p>
                  <w:pPr>
                    <w:pStyle w:val="Compact"/>
                    <w:jc w:val="center"/>
                  </w:pPr>
                  <w:r>
                    <w:t xml:space="preserve">MCA Scores FI</w:t>
                  </w:r>
                </w:p>
              </w:tc>
              <w:tc>
                <w:tcPr/>
                <w:p>
                  <w:pPr>
                    <w:pStyle w:val="Compact"/>
                    <w:jc w:val="center"/>
                  </w:pPr>
                  <w:r>
                    <w:t xml:space="preserve">3</w:t>
                  </w:r>
                </w:p>
              </w:tc>
            </w:tr>
            <w:tr>
              <w:tc>
                <w:tcPr/>
                <w:p>
                  <w:pPr>
                    <w:pStyle w:val="Compact"/>
                    <w:jc w:val="center"/>
                  </w:pPr>
                  <w:r>
                    <w:t xml:space="preserve">MCA Scores LNG</w:t>
                  </w:r>
                </w:p>
              </w:tc>
              <w:tc>
                <w:tcPr/>
                <w:p>
                  <w:pPr>
                    <w:pStyle w:val="Compact"/>
                    <w:jc w:val="center"/>
                  </w:pPr>
                  <w:r>
                    <w:t xml:space="preserve">3</w:t>
                  </w:r>
                </w:p>
              </w:tc>
            </w:tr>
            <w:tr>
              <w:tc>
                <w:tcPr/>
                <w:p>
                  <w:pPr>
                    <w:pStyle w:val="Compact"/>
                    <w:jc w:val="center"/>
                  </w:pPr>
                  <w:r>
                    <w:t xml:space="preserve">MCA Scores NS</w:t>
                  </w:r>
                </w:p>
              </w:tc>
              <w:tc>
                <w:tcPr/>
                <w:p>
                  <w:pPr>
                    <w:pStyle w:val="Compact"/>
                    <w:jc w:val="center"/>
                  </w:pPr>
                  <w:r>
                    <w:t xml:space="preserve">3</w:t>
                  </w:r>
                </w:p>
              </w:tc>
            </w:tr>
            <w:tr>
              <w:tc>
                <w:tcPr/>
                <w:p>
                  <w:pPr>
                    <w:pStyle w:val="Compact"/>
                    <w:jc w:val="center"/>
                  </w:pPr>
                  <w:r>
                    <w:t xml:space="preserve">Transport Health</w:t>
                  </w:r>
                </w:p>
              </w:tc>
              <w:tc>
                <w:tcPr/>
                <w:p>
                  <w:pPr>
                    <w:pStyle w:val="Compact"/>
                    <w:jc w:val="center"/>
                  </w:pPr>
                  <w:r>
                    <w:t xml:space="preserve">3</w:t>
                  </w:r>
                </w:p>
              </w:tc>
            </w:tr>
            <w:tr>
              <w:tc>
                <w:tcPr/>
                <w:p>
                  <w:pPr>
                    <w:pStyle w:val="Compact"/>
                    <w:jc w:val="center"/>
                  </w:pPr>
                  <w:r>
                    <w:t xml:space="preserve">MCA Scores MX</w:t>
                  </w:r>
                </w:p>
              </w:tc>
              <w:tc>
                <w:tcPr/>
                <w:p>
                  <w:pPr>
                    <w:pStyle w:val="Compact"/>
                    <w:jc w:val="center"/>
                  </w:pPr>
                  <w:r>
                    <w:t xml:space="preserve">3</w:t>
                  </w:r>
                </w:p>
              </w:tc>
            </w:tr>
            <w:tr>
              <w:tc>
                <w:tcPr/>
                <w:p>
                  <w:pPr>
                    <w:pStyle w:val="Compact"/>
                    <w:jc w:val="center"/>
                  </w:pPr>
                  <w:r>
                    <w:t xml:space="preserve">MCA Scores NG</w:t>
                  </w:r>
                </w:p>
              </w:tc>
              <w:tc>
                <w:tcPr/>
                <w:p>
                  <w:pPr>
                    <w:pStyle w:val="Compact"/>
                    <w:jc w:val="center"/>
                  </w:pPr>
                  <w:r>
                    <w:t xml:space="preserve">3</w:t>
                  </w:r>
                </w:p>
              </w:tc>
            </w:tr>
            <w:tr>
              <w:tc>
                <w:tcPr/>
                <w:p>
                  <w:pPr>
                    <w:pStyle w:val="Compact"/>
                    <w:jc w:val="center"/>
                  </w:pPr>
                  <w:r>
                    <w:t xml:space="preserve">Operations</w:t>
                  </w:r>
                </w:p>
              </w:tc>
              <w:tc>
                <w:tcPr/>
                <w:p>
                  <w:pPr>
                    <w:pStyle w:val="Compact"/>
                    <w:jc w:val="center"/>
                  </w:pPr>
                  <w:r>
                    <w:t xml:space="preserve">3</w:t>
                  </w:r>
                </w:p>
              </w:tc>
            </w:tr>
            <w:tr>
              <w:tc>
                <w:tcPr/>
                <w:p>
                  <w:pPr>
                    <w:pStyle w:val="Compact"/>
                    <w:jc w:val="center"/>
                  </w:pPr>
                  <w:r>
                    <w:t xml:space="preserve">Supply Security</w:t>
                  </w:r>
                </w:p>
              </w:tc>
              <w:tc>
                <w:tcPr/>
                <w:p>
                  <w:pPr>
                    <w:pStyle w:val="Compact"/>
                    <w:jc w:val="center"/>
                  </w:pPr>
                  <w:r>
                    <w:t xml:space="preserve">2</w:t>
                  </w:r>
                </w:p>
              </w:tc>
            </w:tr>
            <w:tr>
              <w:tc>
                <w:tcPr/>
                <w:p>
                  <w:pPr>
                    <w:pStyle w:val="Compact"/>
                    <w:jc w:val="center"/>
                  </w:pPr>
                  <w:r>
                    <w:t xml:space="preserve">Reliability</w:t>
                  </w:r>
                </w:p>
              </w:tc>
              <w:tc>
                <w:tcPr/>
                <w:p>
                  <w:pPr>
                    <w:pStyle w:val="Compact"/>
                    <w:jc w:val="center"/>
                  </w:pPr>
                  <w:r>
                    <w:t xml:space="preserve">2</w:t>
                  </w:r>
                </w:p>
              </w:tc>
            </w:tr>
            <w:tr>
              <w:tc>
                <w:tcPr/>
                <w:p>
                  <w:pPr>
                    <w:pStyle w:val="Compact"/>
                    <w:jc w:val="center"/>
                  </w:pPr>
                  <w:r>
                    <w:t xml:space="preserve">Network</w:t>
                  </w:r>
                </w:p>
              </w:tc>
              <w:tc>
                <w:tcPr/>
                <w:p>
                  <w:pPr>
                    <w:pStyle w:val="Compact"/>
                    <w:jc w:val="center"/>
                  </w:pPr>
                  <w:r>
                    <w:t xml:space="preserve">1</w:t>
                  </w:r>
                </w:p>
              </w:tc>
            </w:tr>
            <w:tr>
              <w:tc>
                <w:tcPr/>
                <w:p>
                  <w:pPr>
                    <w:pStyle w:val="Compact"/>
                    <w:jc w:val="center"/>
                  </w:pPr>
                  <w:r>
                    <w:t xml:space="preserve">Transport CO2</w:t>
                  </w:r>
                </w:p>
              </w:tc>
              <w:tc>
                <w:tcPr/>
                <w:p>
                  <w:pPr>
                    <w:pStyle w:val="Compact"/>
                    <w:jc w:val="center"/>
                  </w:pPr>
                  <w:r>
                    <w:t xml:space="preserve">1</w:t>
                  </w:r>
                </w:p>
              </w:tc>
            </w:tr>
            <w:tr>
              <w:tc>
                <w:tcPr/>
                <w:p>
                  <w:pPr>
                    <w:pStyle w:val="Compact"/>
                    <w:jc w:val="center"/>
                  </w:pPr>
                  <w:r>
                    <w:rPr>
                      <w:b/>
                      <w:bCs/>
                    </w:rPr>
                    <w:t xml:space="preserve">Total</w:t>
                  </w:r>
                </w:p>
              </w:tc>
              <w:tc>
                <w:tcPr/>
                <w:p>
                  <w:pPr>
                    <w:pStyle w:val="Compact"/>
                    <w:jc w:val="center"/>
                  </w:pPr>
                  <w:r>
                    <w:rPr>
                      <w:b/>
                      <w:bCs/>
                    </w:rPr>
                    <w:t xml:space="preserve">307</w:t>
                  </w:r>
                </w:p>
              </w:tc>
            </w:tr>
          </w:tbl>
          <w:bookmarkEnd w:id="340"/>
          <w:p/>
        </w:tc>
      </w:tr>
    </w:tbl>
    <w:p>
      <w:pPr>
        <w:pStyle w:val="BodyText"/>
      </w:pPr>
      <w:r>
        <w:t xml:space="preserve">Every parameter in the table above flows through the same pipeline:</w:t>
      </w:r>
      <w:r>
        <w:t xml:space="preserve"> </w:t>
      </w:r>
      <w:r>
        <w:rPr>
          <w:rStyle w:val="VerbatimChar"/>
        </w:rPr>
        <w:t xml:space="preserve">parameters.csv → config.py (load_parameters_from_csv) → get_config() → consuming module</w:t>
      </w:r>
      <w:r>
        <w:t xml:space="preserve">. No exceptions. This ensures that sensitivity analysis and Monte Carlo automatically capture every parameter — there are no</w:t>
      </w:r>
      <w:r>
        <w:t xml:space="preserve"> </w:t>
      </w:r>
      <w:r>
        <w:t xml:space="preserve">“hidden”</w:t>
      </w:r>
      <w:r>
        <w:t xml:space="preserve"> </w:t>
      </w:r>
      <w:r>
        <w:t xml:space="preserve">values in the code.</w:t>
      </w:r>
    </w:p>
    <w:bookmarkEnd w:id="341"/>
    <w:bookmarkEnd w:id="342"/>
    <w:bookmarkStart w:id="410" w:name="appendix-b-complete-parameter-table"/>
    <w:p>
      <w:pPr>
        <w:pStyle w:val="Heading1"/>
      </w:pPr>
      <w:r>
        <w:t xml:space="preserve">14. Appendix B — Complete Parameter Table</w:t>
      </w:r>
    </w:p>
    <w:p>
      <w:pPr>
        <w:pStyle w:val="FirstParagraph"/>
      </w:pPr>
      <w:r>
        <w:t xml:space="preserve">This appendix lists every parameter in the CBA model. All values come from</w:t>
      </w:r>
      <w:r>
        <w:t xml:space="preserve"> </w:t>
      </w:r>
      <w:r>
        <w:rPr>
          <w:rStyle w:val="VerbatimChar"/>
        </w:rPr>
        <w:t xml:space="preserve">parameters.csv</w:t>
      </w:r>
      <w:r>
        <w:t xml:space="preserve">, the single source of truth. Low and High columns define sensitivity and Monte Carlo ranges, derived from the literature rather than arbitrary percentage bands.</w:t>
      </w:r>
    </w:p>
    <w:p>
      <w:pPr>
        <w:pStyle w:val="BodyText"/>
      </w:pPr>
      <w:r>
        <w:t xml:space="preserve">Parameters are grouped by category (demand, technology, economics, etc.). Each carries a source citation.</w:t>
      </w:r>
    </w:p>
    <w:bookmarkStart w:id="393" w:name="parameter-table"/>
    <w:p>
      <w:pPr>
        <w:pStyle w:val="Heading2"/>
      </w:pPr>
      <w:r>
        <w:t xml:space="preserve">14.1 Parameter Table</w:t>
      </w:r>
    </w:p>
    <w:tbl>
      <w:tblPr>
        <w:tblStyle w:val="Table"/>
        <w:tblW w:type="pct" w:w="5000"/>
        <w:tblLayout w:type="fixed"/>
        <w:tblLook w:firstRow="0" w:lastRow="0" w:firstColumn="0" w:lastColumn="0" w:noHBand="0" w:noVBand="0" w:val="0000"/>
      </w:tblPr>
      <w:tblGrid>
        <w:gridCol w:w="7920"/>
      </w:tblGrid>
      <w:tr>
        <w:tc>
          <w:tcPr/>
          <w:bookmarkStart w:id="392" w:name="tbl-all-params"/>
          <w:p>
            <w:pPr>
              <w:jc w:val="center"/>
            </w:pPr>
            <w:pPr>
              <w:jc w:val="start"/>
              <w:spacing w:before="200"/>
              <w:pStyle w:val="ImageCaption"/>
            </w:pPr>
            <w:r>
              <w:t xml:space="preserve">Table 14.1: Complete model parameters</w:t>
            </w:r>
          </w:p>
          <w:p>
            <w:pPr>
              <w:pStyle w:val="Heading3"/>
              <w:jc w:val="center"/>
            </w:pPr>
            <w:bookmarkStart w:id="343" w:name="time"/>
            <w:r>
              <w:t xml:space="preserve">14.1.1 Time</w:t>
            </w:r>
            <w:bookmarkEnd w:id="343"/>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Parameter</w:t>
                  </w:r>
                </w:p>
              </w:tc>
              <w:tc>
                <w:tcPr/>
                <w:p>
                  <w:pPr>
                    <w:pStyle w:val="Compact"/>
                    <w:jc w:val="right"/>
                    <w:jc w:val="center"/>
                  </w:pPr>
                  <w:r>
                    <w:t xml:space="preserve">Value</w:t>
                  </w:r>
                </w:p>
              </w:tc>
              <w:tc>
                <w:tcPr/>
                <w:p>
                  <w:pPr>
                    <w:pStyle w:val="Compact"/>
                    <w:jc w:val="left"/>
                    <w:jc w:val="center"/>
                  </w:pPr>
                  <w:r>
                    <w:t xml:space="preserve">Low</w:t>
                  </w:r>
                </w:p>
              </w:tc>
              <w:tc>
                <w:tcPr/>
                <w:p>
                  <w:pPr>
                    <w:pStyle w:val="Compact"/>
                    <w:jc w:val="left"/>
                    <w:jc w:val="center"/>
                  </w:pPr>
                  <w:r>
                    <w:t xml:space="preserve">High</w:t>
                  </w:r>
                </w:p>
              </w:tc>
              <w:tc>
                <w:tcPr/>
                <w:p>
                  <w:pPr>
                    <w:pStyle w:val="Compact"/>
                    <w:jc w:val="left"/>
                    <w:jc w:val="center"/>
                  </w:pPr>
                  <w:r>
                    <w:t xml:space="preserve">Unit</w:t>
                  </w:r>
                </w:p>
              </w:tc>
              <w:tc>
                <w:tcPr/>
                <w:p>
                  <w:pPr>
                    <w:pStyle w:val="Compact"/>
                    <w:jc w:val="left"/>
                    <w:jc w:val="center"/>
                  </w:pPr>
                  <w:r>
                    <w:t xml:space="preserve">Source</w:t>
                  </w:r>
                </w:p>
              </w:tc>
            </w:tr>
            <w:tr>
              <w:tc>
                <w:tcPr/>
                <w:p>
                  <w:pPr>
                    <w:pStyle w:val="Compact"/>
                    <w:jc w:val="left"/>
                    <w:jc w:val="center"/>
                  </w:pPr>
                  <w:r>
                    <w:t xml:space="preserve">Base Year</w:t>
                  </w:r>
                </w:p>
              </w:tc>
              <w:tc>
                <w:tcPr/>
                <w:p>
                  <w:pPr>
                    <w:pStyle w:val="Compact"/>
                    <w:jc w:val="right"/>
                    <w:jc w:val="center"/>
                  </w:pPr>
                  <w:r>
                    <w:t xml:space="preserve">2026</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year</w:t>
                  </w:r>
                </w:p>
              </w:tc>
              <w:tc>
                <w:tcPr/>
                <w:p>
                  <w:pPr>
                    <w:pStyle w:val="Compact"/>
                    <w:jc w:val="left"/>
                    <w:jc w:val="center"/>
                  </w:pPr>
                  <w:r>
                    <w:t xml:space="preserve">—</w:t>
                  </w:r>
                </w:p>
              </w:tc>
            </w:tr>
            <w:tr>
              <w:tc>
                <w:tcPr/>
                <w:p>
                  <w:pPr>
                    <w:pStyle w:val="Compact"/>
                    <w:jc w:val="left"/>
                    <w:jc w:val="center"/>
                  </w:pPr>
                  <w:r>
                    <w:t xml:space="preserve">Horizon 20yr</w:t>
                  </w:r>
                </w:p>
              </w:tc>
              <w:tc>
                <w:tcPr/>
                <w:p>
                  <w:pPr>
                    <w:pStyle w:val="Compact"/>
                    <w:jc w:val="right"/>
                    <w:jc w:val="center"/>
                  </w:pPr>
                  <w:r>
                    <w:t xml:space="preserve">2046</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year</w:t>
                  </w:r>
                </w:p>
              </w:tc>
              <w:tc>
                <w:tcPr/>
                <w:p>
                  <w:pPr>
                    <w:pStyle w:val="Compact"/>
                    <w:jc w:val="left"/>
                    <w:jc w:val="center"/>
                  </w:pPr>
                  <w:r>
                    <w:t xml:space="preserve">—</w:t>
                  </w:r>
                </w:p>
              </w:tc>
            </w:tr>
            <w:tr>
              <w:tc>
                <w:tcPr/>
                <w:p>
                  <w:pPr>
                    <w:pStyle w:val="Compact"/>
                    <w:jc w:val="left"/>
                    <w:jc w:val="center"/>
                  </w:pPr>
                  <w:r>
                    <w:t xml:space="preserve">Horizon 30yr</w:t>
                  </w:r>
                </w:p>
              </w:tc>
              <w:tc>
                <w:tcPr/>
                <w:p>
                  <w:pPr>
                    <w:pStyle w:val="Compact"/>
                    <w:jc w:val="right"/>
                    <w:jc w:val="center"/>
                  </w:pPr>
                  <w:r>
                    <w:t xml:space="preserve">2056</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year</w:t>
                  </w:r>
                </w:p>
              </w:tc>
              <w:tc>
                <w:tcPr/>
                <w:p>
                  <w:pPr>
                    <w:pStyle w:val="Compact"/>
                    <w:jc w:val="left"/>
                    <w:jc w:val="center"/>
                  </w:pPr>
                  <w:r>
                    <w:t xml:space="preserve">—</w:t>
                  </w:r>
                </w:p>
              </w:tc>
            </w:tr>
            <w:tr>
              <w:tc>
                <w:tcPr/>
                <w:p>
                  <w:pPr>
                    <w:pStyle w:val="Compact"/>
                    <w:jc w:val="left"/>
                    <w:jc w:val="center"/>
                  </w:pPr>
                  <w:r>
                    <w:t xml:space="preserve">Horizon 50yr</w:t>
                  </w:r>
                </w:p>
              </w:tc>
              <w:tc>
                <w:tcPr/>
                <w:p>
                  <w:pPr>
                    <w:pStyle w:val="Compact"/>
                    <w:jc w:val="right"/>
                    <w:jc w:val="center"/>
                  </w:pPr>
                  <w:r>
                    <w:t xml:space="preserve">2076</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year</w:t>
                  </w:r>
                </w:p>
              </w:tc>
              <w:tc>
                <w:tcPr/>
                <w:p>
                  <w:pPr>
                    <w:pStyle w:val="Compact"/>
                    <w:jc w:val="left"/>
                    <w:jc w:val="center"/>
                  </w:pPr>
                  <w:r>
                    <w:t xml:space="preserve">—</w:t>
                  </w:r>
                </w:p>
              </w:tc>
            </w:tr>
          </w:tbl>
          <w:p>
            <w:pPr>
              <w:pStyle w:val="Heading3"/>
              <w:jc w:val="center"/>
            </w:pPr>
            <w:bookmarkStart w:id="344" w:name="current-system"/>
            <w:r>
              <w:t xml:space="preserve">14.1.2 Current System</w:t>
            </w:r>
            <w:bookmarkEnd w:id="344"/>
          </w:p>
          <w:tbl>
            <w:tblPr>
              <w:tblStyle w:val="Table"/>
              <w:tblW w:type="pct" w:w="5000"/>
              <w:tblLayout w:type="fixed"/>
              <w:tblLook w:firstRow="1" w:lastRow="0" w:firstColumn="0" w:lastColumn="0" w:noHBand="0" w:noVBand="0" w:val="0020"/>
            </w:tblPr>
            <w:tblGrid>
              <w:gridCol w:w="1980"/>
              <w:gridCol w:w="685"/>
              <w:gridCol w:w="533"/>
              <w:gridCol w:w="609"/>
              <w:gridCol w:w="609"/>
              <w:gridCol w:w="3503"/>
            </w:tblGrid>
            <w:tr>
              <w:trPr>
                <w:tblHeader w:val="on"/>
              </w:trPr>
              <w:tc>
                <w:tcPr/>
                <w:p>
                  <w:pPr>
                    <w:pStyle w:val="Compact"/>
                    <w:jc w:val="left"/>
                    <w:jc w:val="center"/>
                  </w:pPr>
                  <w:r>
                    <w:t xml:space="preserve">Parameter</w:t>
                  </w:r>
                </w:p>
              </w:tc>
              <w:tc>
                <w:tcPr/>
                <w:p>
                  <w:pPr>
                    <w:pStyle w:val="Compact"/>
                    <w:jc w:val="right"/>
                    <w:jc w:val="center"/>
                  </w:pPr>
                  <w:r>
                    <w:t xml:space="preserve">Value</w:t>
                  </w:r>
                </w:p>
              </w:tc>
              <w:tc>
                <w:tcPr/>
                <w:p>
                  <w:pPr>
                    <w:pStyle w:val="Compact"/>
                    <w:jc w:val="left"/>
                    <w:jc w:val="center"/>
                  </w:pPr>
                  <w:r>
                    <w:t xml:space="preserve">Low</w:t>
                  </w:r>
                </w:p>
              </w:tc>
              <w:tc>
                <w:tcPr/>
                <w:p>
                  <w:pPr>
                    <w:pStyle w:val="Compact"/>
                    <w:jc w:val="left"/>
                    <w:jc w:val="center"/>
                  </w:pPr>
                  <w:r>
                    <w:t xml:space="preserve">High</w:t>
                  </w:r>
                </w:p>
              </w:tc>
              <w:tc>
                <w:tcPr/>
                <w:p>
                  <w:pPr>
                    <w:pStyle w:val="Compact"/>
                    <w:jc w:val="left"/>
                    <w:jc w:val="center"/>
                  </w:pPr>
                  <w:r>
                    <w:t xml:space="preserve">Unit</w:t>
                  </w:r>
                </w:p>
              </w:tc>
              <w:tc>
                <w:tcPr/>
                <w:p>
                  <w:pPr>
                    <w:pStyle w:val="Compact"/>
                    <w:jc w:val="left"/>
                    <w:jc w:val="center"/>
                  </w:pPr>
                  <w:r>
                    <w:t xml:space="preserve">Source</w:t>
                  </w:r>
                </w:p>
              </w:tc>
            </w:tr>
            <w:tr>
              <w:tc>
                <w:tcPr/>
                <w:p>
                  <w:pPr>
                    <w:pStyle w:val="Compact"/>
                    <w:jc w:val="left"/>
                    <w:jc w:val="center"/>
                  </w:pPr>
                  <w:r>
                    <w:t xml:space="preserve">Total Installed Capacity</w:t>
                  </w:r>
                </w:p>
              </w:tc>
              <w:tc>
                <w:tcPr/>
                <w:p>
                  <w:pPr>
                    <w:pStyle w:val="Compact"/>
                    <w:jc w:val="right"/>
                    <w:jc w:val="center"/>
                  </w:pPr>
                  <w:r>
                    <w:t xml:space="preserve">600</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MW</w:t>
                  </w:r>
                </w:p>
              </w:tc>
              <w:tc>
                <w:tcPr/>
                <w:p>
                  <w:pPr>
                    <w:pStyle w:val="Compact"/>
                    <w:jc w:val="left"/>
                    <w:jc w:val="center"/>
                  </w:pPr>
                  <w:r>
                    <w:t xml:space="preserve">GoM Energy Roadmap Nov 2024</w:t>
                  </w:r>
                </w:p>
              </w:tc>
            </w:tr>
            <w:tr>
              <w:tc>
                <w:tcPr/>
                <w:p>
                  <w:pPr>
                    <w:pStyle w:val="Compact"/>
                    <w:jc w:val="left"/>
                    <w:jc w:val="center"/>
                  </w:pPr>
                  <w:r>
                    <w:t xml:space="preserve">Diesel Capacity</w:t>
                  </w:r>
                </w:p>
              </w:tc>
              <w:tc>
                <w:tcPr/>
                <w:p>
                  <w:pPr>
                    <w:pStyle w:val="Compact"/>
                    <w:jc w:val="right"/>
                    <w:jc w:val="center"/>
                  </w:pPr>
                  <w:r>
                    <w:t xml:space="preserve">531.5</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MW</w:t>
                  </w:r>
                </w:p>
              </w:tc>
              <w:tc>
                <w:tcPr/>
                <w:p>
                  <w:pPr>
                    <w:pStyle w:val="Compact"/>
                    <w:jc w:val="left"/>
                    <w:jc w:val="center"/>
                  </w:pPr>
                  <w:r>
                    <w:t xml:space="preserve">Derived (600 - 68.5 solar)</w:t>
                  </w:r>
                </w:p>
              </w:tc>
            </w:tr>
            <w:tr>
              <w:tc>
                <w:tcPr/>
                <w:p>
                  <w:pPr>
                    <w:pStyle w:val="Compact"/>
                    <w:jc w:val="left"/>
                    <w:jc w:val="center"/>
                  </w:pPr>
                  <w:r>
                    <w:t xml:space="preserve">Solar PV Capacity</w:t>
                  </w:r>
                </w:p>
              </w:tc>
              <w:tc>
                <w:tcPr/>
                <w:p>
                  <w:pPr>
                    <w:pStyle w:val="Compact"/>
                    <w:jc w:val="right"/>
                    <w:jc w:val="center"/>
                  </w:pPr>
                  <w:r>
                    <w:t xml:space="preserve">68.5</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MW</w:t>
                  </w:r>
                </w:p>
              </w:tc>
              <w:tc>
                <w:tcPr/>
                <w:p>
                  <w:pPr>
                    <w:pStyle w:val="Compact"/>
                    <w:jc w:val="left"/>
                    <w:jc w:val="center"/>
                  </w:pPr>
                  <w:r>
                    <w:t xml:space="preserve">GoM Energy Roadmap 2024</w:t>
                  </w:r>
                </w:p>
              </w:tc>
            </w:tr>
            <w:tr>
              <w:tc>
                <w:tcPr/>
                <w:p>
                  <w:pPr>
                    <w:pStyle w:val="Compact"/>
                    <w:jc w:val="left"/>
                    <w:jc w:val="center"/>
                  </w:pPr>
                  <w:r>
                    <w:t xml:space="preserve">Battery Storage</w:t>
                  </w:r>
                </w:p>
              </w:tc>
              <w:tc>
                <w:tcPr/>
                <w:p>
                  <w:pPr>
                    <w:pStyle w:val="Compact"/>
                    <w:jc w:val="right"/>
                    <w:jc w:val="center"/>
                  </w:pPr>
                  <w:r>
                    <w:t xml:space="preserve">8</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MWh</w:t>
                  </w:r>
                </w:p>
              </w:tc>
              <w:tc>
                <w:tcPr/>
                <w:p>
                  <w:pPr>
                    <w:pStyle w:val="Compact"/>
                    <w:jc w:val="left"/>
                    <w:jc w:val="center"/>
                  </w:pPr>
                  <w:r>
                    <w:t xml:space="preserve">GoM Energy Roadmap 2024; ADB POISED PCR 2023</w:t>
                  </w:r>
                </w:p>
              </w:tc>
            </w:tr>
            <w:tr>
              <w:tc>
                <w:tcPr/>
                <w:p>
                  <w:pPr>
                    <w:pStyle w:val="Compact"/>
                    <w:jc w:val="left"/>
                    <w:jc w:val="center"/>
                  </w:pPr>
                  <w:r>
                    <w:t xml:space="preserve">Diesel Generation Share</w:t>
                  </w:r>
                </w:p>
              </w:tc>
              <w:tc>
                <w:tcPr/>
                <w:p>
                  <w:pPr>
                    <w:pStyle w:val="Compact"/>
                    <w:jc w:val="right"/>
                    <w:jc w:val="center"/>
                  </w:pPr>
                  <w:r>
                    <w:t xml:space="preserve">0.93</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IRENA/Ember 2023</w:t>
                  </w:r>
                </w:p>
              </w:tc>
            </w:tr>
            <w:tr>
              <w:tc>
                <w:tcPr/>
                <w:p>
                  <w:pPr>
                    <w:pStyle w:val="Compact"/>
                    <w:jc w:val="left"/>
                    <w:jc w:val="center"/>
                  </w:pPr>
                  <w:r>
                    <w:t xml:space="preserve">RE Generation Share</w:t>
                  </w:r>
                </w:p>
              </w:tc>
              <w:tc>
                <w:tcPr/>
                <w:p>
                  <w:pPr>
                    <w:pStyle w:val="Compact"/>
                    <w:jc w:val="right"/>
                    <w:jc w:val="center"/>
                  </w:pPr>
                  <w:r>
                    <w:t xml:space="preserve">0.06</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GoM Energy Roadmap 2024</w:t>
                  </w:r>
                </w:p>
              </w:tc>
            </w:tr>
          </w:tbl>
          <w:p>
            <w:pPr>
              <w:pStyle w:val="Heading3"/>
              <w:jc w:val="center"/>
            </w:pPr>
            <w:bookmarkStart w:id="345" w:name="demand"/>
            <w:r>
              <w:t xml:space="preserve">14.1.3 Demand</w:t>
            </w:r>
            <w:bookmarkEnd w:id="345"/>
          </w:p>
          <w:tbl>
            <w:tblPr>
              <w:tblStyle w:val="Table"/>
              <w:tblW w:type="pct" w:w="5000"/>
              <w:tblLayout w:type="fixed"/>
              <w:tblLook w:firstRow="1" w:lastRow="0" w:firstColumn="0" w:lastColumn="0" w:noHBand="0" w:noVBand="0" w:val="0020"/>
            </w:tblPr>
            <w:tblGrid>
              <w:gridCol w:w="1683"/>
              <w:gridCol w:w="544"/>
              <w:gridCol w:w="346"/>
              <w:gridCol w:w="396"/>
              <w:gridCol w:w="841"/>
              <w:gridCol w:w="4108"/>
            </w:tblGrid>
            <w:tr>
              <w:trPr>
                <w:tblHeader w:val="on"/>
              </w:trPr>
              <w:tc>
                <w:tcPr/>
                <w:p>
                  <w:pPr>
                    <w:pStyle w:val="Compact"/>
                    <w:jc w:val="left"/>
                    <w:jc w:val="center"/>
                  </w:pPr>
                  <w:r>
                    <w:t xml:space="preserve">Parameter</w:t>
                  </w:r>
                </w:p>
              </w:tc>
              <w:tc>
                <w:tcPr/>
                <w:p>
                  <w:pPr>
                    <w:pStyle w:val="Compact"/>
                    <w:jc w:val="right"/>
                    <w:jc w:val="center"/>
                  </w:pPr>
                  <w:r>
                    <w:t xml:space="preserve">Value</w:t>
                  </w:r>
                </w:p>
              </w:tc>
              <w:tc>
                <w:tcPr/>
                <w:p>
                  <w:pPr>
                    <w:pStyle w:val="Compact"/>
                    <w:jc w:val="left"/>
                    <w:jc w:val="center"/>
                  </w:pPr>
                  <w:r>
                    <w:t xml:space="preserve">Low</w:t>
                  </w:r>
                </w:p>
              </w:tc>
              <w:tc>
                <w:tcPr/>
                <w:p>
                  <w:pPr>
                    <w:pStyle w:val="Compact"/>
                    <w:jc w:val="left"/>
                    <w:jc w:val="center"/>
                  </w:pPr>
                  <w:r>
                    <w:t xml:space="preserve">High</w:t>
                  </w:r>
                </w:p>
              </w:tc>
              <w:tc>
                <w:tcPr/>
                <w:p>
                  <w:pPr>
                    <w:pStyle w:val="Compact"/>
                    <w:jc w:val="left"/>
                    <w:jc w:val="center"/>
                  </w:pPr>
                  <w:r>
                    <w:t xml:space="preserve">Unit</w:t>
                  </w:r>
                </w:p>
              </w:tc>
              <w:tc>
                <w:tcPr/>
                <w:p>
                  <w:pPr>
                    <w:pStyle w:val="Compact"/>
                    <w:jc w:val="left"/>
                    <w:jc w:val="center"/>
                  </w:pPr>
                  <w:r>
                    <w:t xml:space="preserve">Source</w:t>
                  </w:r>
                </w:p>
              </w:tc>
            </w:tr>
            <w:tr>
              <w:tc>
                <w:tcPr/>
                <w:p>
                  <w:pPr>
                    <w:pStyle w:val="Compact"/>
                    <w:jc w:val="left"/>
                    <w:jc w:val="center"/>
                  </w:pPr>
                  <w:r>
                    <w:t xml:space="preserve">Base Demand 2026</w:t>
                  </w:r>
                </w:p>
              </w:tc>
              <w:tc>
                <w:tcPr/>
                <w:p>
                  <w:pPr>
                    <w:pStyle w:val="Compact"/>
                    <w:jc w:val="right"/>
                    <w:jc w:val="center"/>
                  </w:pPr>
                  <w:r>
                    <w:t xml:space="preserve">1200</w:t>
                  </w:r>
                </w:p>
              </w:tc>
              <w:tc>
                <w:tcPr/>
                <w:p>
                  <w:pPr>
                    <w:pStyle w:val="Compact"/>
                    <w:jc w:val="left"/>
                    <w:jc w:val="center"/>
                  </w:pPr>
                  <w:r>
                    <w:t xml:space="preserve">1050</w:t>
                  </w:r>
                </w:p>
              </w:tc>
              <w:tc>
                <w:tcPr/>
                <w:p>
                  <w:pPr>
                    <w:pStyle w:val="Compact"/>
                    <w:jc w:val="left"/>
                    <w:jc w:val="center"/>
                  </w:pPr>
                  <w:r>
                    <w:t xml:space="preserve">1350</w:t>
                  </w:r>
                </w:p>
              </w:tc>
              <w:tc>
                <w:tcPr/>
                <w:p>
                  <w:pPr>
                    <w:pStyle w:val="Compact"/>
                    <w:jc w:val="left"/>
                    <w:jc w:val="center"/>
                  </w:pPr>
                  <w:r>
                    <w:t xml:space="preserve">GWh/year</w:t>
                  </w:r>
                </w:p>
              </w:tc>
              <w:tc>
                <w:tcPr/>
                <w:p>
                  <w:pPr>
                    <w:pStyle w:val="Compact"/>
                    <w:jc w:val="left"/>
                    <w:jc w:val="center"/>
                  </w:pPr>
                  <w:r>
                    <w:t xml:space="preserve">IRENA 2022 (1025 GWh) Ã— 1.05^4; validated against 2018 Island Electricity Data …</w:t>
                  </w:r>
                </w:p>
              </w:tc>
            </w:tr>
            <w:tr>
              <w:tc>
                <w:tcPr/>
                <w:p>
                  <w:pPr>
                    <w:pStyle w:val="Compact"/>
                    <w:jc w:val="left"/>
                    <w:jc w:val="center"/>
                  </w:pPr>
                  <w:r>
                    <w:t xml:space="preserve">Base Peak 2026</w:t>
                  </w:r>
                </w:p>
              </w:tc>
              <w:tc>
                <w:tcPr/>
                <w:p>
                  <w:pPr>
                    <w:pStyle w:val="Compact"/>
                    <w:jc w:val="right"/>
                    <w:jc w:val="center"/>
                  </w:pPr>
                  <w:r>
                    <w:t xml:space="preserve">200</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MW</w:t>
                  </w:r>
                </w:p>
              </w:tc>
              <w:tc>
                <w:tcPr/>
                <w:p>
                  <w:pPr>
                    <w:pStyle w:val="Compact"/>
                    <w:jc w:val="left"/>
                    <w:jc w:val="center"/>
                  </w:pPr>
                  <w:r>
                    <w:t xml:space="preserve">STELCO MD (edition.mv Aug 2025): Greater MalÃ© +50 MW/5yr; PNG data: MalÃ©+Hulhu…</w:t>
                  </w:r>
                </w:p>
              </w:tc>
            </w:tr>
            <w:tr>
              <w:tc>
                <w:tcPr/>
                <w:p>
                  <w:pPr>
                    <w:pStyle w:val="Compact"/>
                    <w:jc w:val="left"/>
                    <w:jc w:val="center"/>
                  </w:pPr>
                  <w:r>
                    <w:t xml:space="preserve">Load Factor</w:t>
                  </w:r>
                </w:p>
              </w:tc>
              <w:tc>
                <w:tcPr/>
                <w:p>
                  <w:pPr>
                    <w:pStyle w:val="Compact"/>
                    <w:jc w:val="right"/>
                    <w:jc w:val="center"/>
                  </w:pPr>
                  <w:r>
                    <w:t xml:space="preserve">0.68</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ratio</w:t>
                  </w:r>
                </w:p>
              </w:tc>
              <w:tc>
                <w:tcPr/>
                <w:p>
                  <w:pPr>
                    <w:pStyle w:val="Compact"/>
                    <w:jc w:val="left"/>
                    <w:jc w:val="center"/>
                  </w:pPr>
                  <w:r>
                    <w:t xml:space="preserve">2018 Island Electricity Data Book (115 islands: 585 GWh / 97.6 MW peak / 8760h =…</w:t>
                  </w:r>
                </w:p>
              </w:tc>
            </w:tr>
            <w:tr>
              <w:tc>
                <w:tcPr/>
                <w:p>
                  <w:pPr>
                    <w:pStyle w:val="Compact"/>
                    <w:jc w:val="left"/>
                    <w:jc w:val="center"/>
                  </w:pPr>
                  <w:r>
                    <w:t xml:space="preserve">Growth Rate - BAU</w:t>
                  </w:r>
                </w:p>
              </w:tc>
              <w:tc>
                <w:tcPr/>
                <w:p>
                  <w:pPr>
                    <w:pStyle w:val="Compact"/>
                    <w:jc w:val="right"/>
                    <w:jc w:val="center"/>
                  </w:pPr>
                  <w:r>
                    <w:t xml:space="preserve">0.05</w:t>
                  </w:r>
                </w:p>
              </w:tc>
              <w:tc>
                <w:tcPr/>
                <w:p>
                  <w:pPr>
                    <w:pStyle w:val="Compact"/>
                    <w:jc w:val="left"/>
                    <w:jc w:val="center"/>
                  </w:pPr>
                  <w:r>
                    <w:t xml:space="preserve">0.035</w:t>
                  </w:r>
                </w:p>
              </w:tc>
              <w:tc>
                <w:tcPr/>
                <w:p>
                  <w:pPr>
                    <w:pStyle w:val="Compact"/>
                    <w:jc w:val="left"/>
                    <w:jc w:val="center"/>
                  </w:pPr>
                  <w:r>
                    <w:t xml:space="preserve">0.065</w:t>
                  </w:r>
                </w:p>
              </w:tc>
              <w:tc>
                <w:tcPr/>
                <w:p>
                  <w:pPr>
                    <w:pStyle w:val="Compact"/>
                    <w:jc w:val="left"/>
                    <w:jc w:val="center"/>
                  </w:pPr>
                  <w:r>
                    <w:t xml:space="preserve">%/year</w:t>
                  </w:r>
                </w:p>
              </w:tc>
              <w:tc>
                <w:tcPr/>
                <w:p>
                  <w:pPr>
                    <w:pStyle w:val="Compact"/>
                    <w:jc w:val="left"/>
                    <w:jc w:val="center"/>
                  </w:pPr>
                  <w:r>
                    <w:t xml:space="preserve">IRENA 2018-2022: 840â†’1025 GWh = 5.1%/yr; STELCO MD (edition.mv Aug 2025): MalÃ…</w:t>
                  </w:r>
                </w:p>
              </w:tc>
            </w:tr>
            <w:tr>
              <w:tc>
                <w:tcPr/>
                <w:p>
                  <w:pPr>
                    <w:pStyle w:val="Compact"/>
                    <w:jc w:val="left"/>
                    <w:jc w:val="center"/>
                  </w:pPr>
                  <w:r>
                    <w:t xml:space="preserve">Growth Rate - National Grid</w:t>
                  </w:r>
                </w:p>
              </w:tc>
              <w:tc>
                <w:tcPr/>
                <w:p>
                  <w:pPr>
                    <w:pStyle w:val="Compact"/>
                    <w:jc w:val="right"/>
                    <w:jc w:val="center"/>
                  </w:pPr>
                  <w:r>
                    <w:t xml:space="preserve">0.04</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%/year</w:t>
                  </w:r>
                </w:p>
              </w:tc>
              <w:tc>
                <w:tcPr/>
                <w:p>
                  <w:pPr>
                    <w:pStyle w:val="Compact"/>
                    <w:jc w:val="left"/>
                    <w:jc w:val="center"/>
                  </w:pPr>
                  <w:r>
                    <w:t xml:space="preserve">With efficiency gains</w:t>
                  </w:r>
                </w:p>
              </w:tc>
            </w:tr>
            <w:tr>
              <w:tc>
                <w:tcPr/>
                <w:p>
                  <w:pPr>
                    <w:pStyle w:val="Compact"/>
                    <w:jc w:val="left"/>
                    <w:jc w:val="center"/>
                  </w:pPr>
                  <w:r>
                    <w:t xml:space="preserve">Growth Rate - Full Integration</w:t>
                  </w:r>
                </w:p>
              </w:tc>
              <w:tc>
                <w:tcPr/>
                <w:p>
                  <w:pPr>
                    <w:pStyle w:val="Compact"/>
                    <w:jc w:val="right"/>
                    <w:jc w:val="center"/>
                  </w:pPr>
                  <w:r>
                    <w:t xml:space="preserve">0.05</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%/year</w:t>
                  </w:r>
                </w:p>
              </w:tc>
              <w:tc>
                <w:tcPr/>
                <w:p>
                  <w:pPr>
                    <w:pStyle w:val="Compact"/>
                    <w:jc w:val="left"/>
                    <w:jc w:val="center"/>
                  </w:pPr>
                  <w:r>
                    <w:t xml:space="preserve">Same as BAU; induced demand now modelled via price elasticity (L8)</w:t>
                  </w:r>
                </w:p>
              </w:tc>
            </w:tr>
            <w:tr>
              <w:tc>
                <w:tcPr/>
                <w:p>
                  <w:pPr>
                    <w:pStyle w:val="Compact"/>
                    <w:jc w:val="left"/>
                    <w:jc w:val="center"/>
                  </w:pPr>
                  <w:r>
                    <w:t xml:space="preserve">Price Elasticity of Demand</w:t>
                  </w:r>
                </w:p>
              </w:tc>
              <w:tc>
                <w:tcPr/>
                <w:p>
                  <w:pPr>
                    <w:pStyle w:val="Compact"/>
                    <w:jc w:val="right"/>
                    <w:jc w:val="center"/>
                  </w:pPr>
                  <w:r>
                    <w:t xml:space="preserve">-0.3</w:t>
                  </w:r>
                </w:p>
              </w:tc>
              <w:tc>
                <w:tcPr/>
                <w:p>
                  <w:pPr>
                    <w:pStyle w:val="Compact"/>
                    <w:jc w:val="left"/>
                    <w:jc w:val="center"/>
                  </w:pPr>
                  <w:r>
                    <w:t xml:space="preserve">-0.5</w:t>
                  </w:r>
                </w:p>
              </w:tc>
              <w:tc>
                <w:tcPr/>
                <w:p>
                  <w:pPr>
                    <w:pStyle w:val="Compact"/>
                    <w:jc w:val="left"/>
                    <w:jc w:val="center"/>
                  </w:pPr>
                  <w:r>
                    <w:t xml:space="preserve">-0.1</w:t>
                  </w:r>
                </w:p>
              </w:tc>
              <w:tc>
                <w:tcPr/>
                <w:p>
                  <w:pPr>
                    <w:pStyle w:val="Compact"/>
                    <w:jc w:val="left"/>
                    <w:jc w:val="center"/>
                  </w:pPr>
                  <w:r>
                    <w:t xml:space="preserve">ratio</w:t>
                  </w:r>
                </w:p>
              </w:tc>
              <w:tc>
                <w:tcPr/>
                <w:p>
                  <w:pPr>
                    <w:pStyle w:val="Compact"/>
                    <w:jc w:val="left"/>
                    <w:jc w:val="center"/>
                  </w:pPr>
                  <w:r>
                    <w:t xml:space="preserve">Wolfram et al. (2012)</w:t>
                  </w:r>
                  <w:r>
                    <w:t xml:space="preserve"> </w:t>
                  </w:r>
                  <w:r>
                    <w:t xml:space="preserve">‘Modelling Electricity Demand in Developing Countries’</w:t>
                  </w:r>
                  <w:r>
                    <w:t xml:space="preserve">; Bu…</w:t>
                  </w:r>
                </w:p>
              </w:tc>
            </w:tr>
            <w:tr>
              <w:tc>
                <w:tcPr/>
                <w:p>
                  <w:pPr>
                    <w:pStyle w:val="Compact"/>
                    <w:jc w:val="left"/>
                    <w:jc w:val="center"/>
                  </w:pPr>
                  <w:r>
                    <w:t xml:space="preserve">Male Growth Near Term</w:t>
                  </w:r>
                </w:p>
              </w:tc>
              <w:tc>
                <w:tcPr/>
                <w:p>
                  <w:pPr>
                    <w:pStyle w:val="Compact"/>
                    <w:jc w:val="right"/>
                    <w:jc w:val="center"/>
                  </w:pPr>
                  <w:r>
                    <w:t xml:space="preserve">0.1</w:t>
                  </w:r>
                </w:p>
              </w:tc>
              <w:tc>
                <w:tcPr/>
                <w:p>
                  <w:pPr>
                    <w:pStyle w:val="Compact"/>
                    <w:jc w:val="left"/>
                    <w:jc w:val="center"/>
                  </w:pPr>
                  <w:r>
                    <w:t xml:space="preserve">0.08</w:t>
                  </w:r>
                </w:p>
              </w:tc>
              <w:tc>
                <w:tcPr/>
                <w:p>
                  <w:pPr>
                    <w:pStyle w:val="Compact"/>
                    <w:jc w:val="left"/>
                    <w:jc w:val="center"/>
                  </w:pPr>
                  <w:r>
                    <w:t xml:space="preserve">0.12</w:t>
                  </w:r>
                </w:p>
              </w:tc>
              <w:tc>
                <w:tcPr/>
                <w:p>
                  <w:pPr>
                    <w:pStyle w:val="Compact"/>
                    <w:jc w:val="left"/>
                    <w:jc w:val="center"/>
                  </w:pPr>
                  <w:r>
                    <w:t xml:space="preserve">%/year</w:t>
                  </w:r>
                </w:p>
              </w:tc>
              <w:tc>
                <w:tcPr/>
                <w:p>
                  <w:pPr>
                    <w:pStyle w:val="Compact"/>
                    <w:jc w:val="left"/>
                    <w:jc w:val="center"/>
                  </w:pPr>
                  <w:r>
                    <w:t xml:space="preserve">STELCO Master Plan via Roadmap Â§4.1.1: Greater MalÃ© 7.9%â€“9.6%/yr (HulhumalÃ©…</w:t>
                  </w:r>
                </w:p>
              </w:tc>
            </w:tr>
            <w:tr>
              <w:tc>
                <w:tcPr/>
                <w:p>
                  <w:pPr>
                    <w:pStyle w:val="Compact"/>
                    <w:jc w:val="left"/>
                    <w:jc w:val="center"/>
                  </w:pPr>
                  <w:r>
                    <w:t xml:space="preserve">Male Growth Long Term</w:t>
                  </w:r>
                </w:p>
              </w:tc>
              <w:tc>
                <w:tcPr/>
                <w:p>
                  <w:pPr>
                    <w:pStyle w:val="Compact"/>
                    <w:jc w:val="right"/>
                    <w:jc w:val="center"/>
                  </w:pPr>
                  <w:r>
                    <w:t xml:space="preserve">0.06</w:t>
                  </w:r>
                </w:p>
              </w:tc>
              <w:tc>
                <w:tcPr/>
                <w:p>
                  <w:pPr>
                    <w:pStyle w:val="Compact"/>
                    <w:jc w:val="left"/>
                    <w:jc w:val="center"/>
                  </w:pPr>
                  <w:r>
                    <w:t xml:space="preserve">0.05</w:t>
                  </w:r>
                </w:p>
              </w:tc>
              <w:tc>
                <w:tcPr/>
                <w:p>
                  <w:pPr>
                    <w:pStyle w:val="Compact"/>
                    <w:jc w:val="left"/>
                    <w:jc w:val="center"/>
                  </w:pPr>
                  <w:r>
                    <w:t xml:space="preserve">0.07</w:t>
                  </w:r>
                </w:p>
              </w:tc>
              <w:tc>
                <w:tcPr/>
                <w:p>
                  <w:pPr>
                    <w:pStyle w:val="Compact"/>
                    <w:jc w:val="left"/>
                    <w:jc w:val="center"/>
                  </w:pPr>
                  <w:r>
                    <w:t xml:space="preserve">%/year</w:t>
                  </w:r>
                </w:p>
              </w:tc>
              <w:tc>
                <w:tcPr/>
                <w:p>
                  <w:pPr>
                    <w:pStyle w:val="Compact"/>
                    <w:jc w:val="left"/>
                    <w:jc w:val="center"/>
                  </w:pPr>
                  <w:r>
                    <w:t xml:space="preserve">Rate at saturation year (2035) before post-peak deceleration. Higher than nation…</w:t>
                  </w:r>
                </w:p>
              </w:tc>
            </w:tr>
            <w:tr>
              <w:tc>
                <w:tcPr/>
                <w:p>
                  <w:pPr>
                    <w:pStyle w:val="Compact"/>
                    <w:jc w:val="left"/>
                    <w:jc w:val="center"/>
                  </w:pPr>
                  <w:r>
                    <w:t xml:space="preserve">Male Demand Min Share</w:t>
                  </w:r>
                </w:p>
              </w:tc>
              <w:tc>
                <w:tcPr/>
                <w:p>
                  <w:pPr>
                    <w:pStyle w:val="Compact"/>
                    <w:jc w:val="right"/>
                    <w:jc w:val="center"/>
                  </w:pPr>
                  <w:r>
                    <w:t xml:space="preserve">0.45</w:t>
                  </w:r>
                </w:p>
              </w:tc>
              <w:tc>
                <w:tcPr/>
                <w:p>
                  <w:pPr>
                    <w:pStyle w:val="Compact"/>
                    <w:jc w:val="left"/>
                    <w:jc w:val="center"/>
                  </w:pPr>
                  <w:r>
                    <w:t xml:space="preserve">0.4</w:t>
                  </w:r>
                </w:p>
              </w:tc>
              <w:tc>
                <w:tcPr/>
                <w:p>
                  <w:pPr>
                    <w:pStyle w:val="Compact"/>
                    <w:jc w:val="left"/>
                    <w:jc w:val="center"/>
                  </w:pPr>
                  <w:r>
                    <w:t xml:space="preserve">0.55</w:t>
                  </w:r>
                </w:p>
              </w:tc>
              <w:tc>
                <w:tcPr/>
                <w:p>
                  <w:pPr>
                    <w:pStyle w:val="Compact"/>
                    <w:jc w:val="left"/>
                    <w:jc w:val="center"/>
                  </w:pPr>
                  <w:r>
                    <w:t xml:space="preserve">fraction</w:t>
                  </w:r>
                </w:p>
              </w:tc>
              <w:tc>
                <w:tcPr/>
                <w:p>
                  <w:pPr>
                    <w:pStyle w:val="Compact"/>
                    <w:jc w:val="left"/>
                    <w:jc w:val="center"/>
                  </w:pPr>
                  <w:r>
                    <w:t xml:space="preserve">Census 2022 (NBS): Greater MalÃ© 43% of national pop (MalÃ© 38.6% + HulhumalÃ© 4…</w:t>
                  </w:r>
                </w:p>
              </w:tc>
            </w:tr>
            <w:tr>
              <w:tc>
                <w:tcPr/>
                <w:p>
                  <w:pPr>
                    <w:pStyle w:val="Compact"/>
                    <w:jc w:val="left"/>
                    <w:jc w:val="center"/>
                  </w:pPr>
                  <w:r>
                    <w:t xml:space="preserve">Male Demand Saturation Year</w:t>
                  </w:r>
                </w:p>
              </w:tc>
              <w:tc>
                <w:tcPr/>
                <w:p>
                  <w:pPr>
                    <w:pStyle w:val="Compact"/>
                    <w:jc w:val="right"/>
                    <w:jc w:val="center"/>
                  </w:pPr>
                  <w:r>
                    <w:t xml:space="preserve">2035</w:t>
                  </w:r>
                </w:p>
              </w:tc>
              <w:tc>
                <w:tcPr/>
                <w:p>
                  <w:pPr>
                    <w:pStyle w:val="Compact"/>
                    <w:jc w:val="left"/>
                    <w:jc w:val="center"/>
                  </w:pPr>
                  <w:r>
                    <w:t xml:space="preserve">2032</w:t>
                  </w:r>
                </w:p>
              </w:tc>
              <w:tc>
                <w:tcPr/>
                <w:p>
                  <w:pPr>
                    <w:pStyle w:val="Compact"/>
                    <w:jc w:val="left"/>
                    <w:jc w:val="center"/>
                  </w:pPr>
                  <w:r>
                    <w:t xml:space="preserve">2040</w:t>
                  </w:r>
                </w:p>
              </w:tc>
              <w:tc>
                <w:tcPr/>
                <w:p>
                  <w:pPr>
                    <w:pStyle w:val="Compact"/>
                    <w:jc w:val="left"/>
                    <w:jc w:val="center"/>
                  </w:pPr>
                  <w:r>
                    <w:t xml:space="preserve">year</w:t>
                  </w:r>
                </w:p>
              </w:tc>
              <w:tc>
                <w:tcPr/>
                <w:p>
                  <w:pPr>
                    <w:pStyle w:val="Compact"/>
                    <w:jc w:val="left"/>
                    <w:jc w:val="center"/>
                  </w:pPr>
                  <w:r>
                    <w:t xml:space="preserve">HulhumalÃ© Phase 2 completion ~2030; Phase 3 ~2035. HDC timeline. R1: Changed fr…</w:t>
                  </w:r>
                </w:p>
              </w:tc>
            </w:tr>
            <w:tr>
              <w:tc>
                <w:tcPr/>
                <w:p>
                  <w:pPr>
                    <w:pStyle w:val="Compact"/>
                    <w:jc w:val="left"/>
                    <w:jc w:val="center"/>
                  </w:pPr>
                  <w:r>
                    <w:t xml:space="preserve">Male Post-Peak Growth Rate</w:t>
                  </w:r>
                </w:p>
              </w:tc>
              <w:tc>
                <w:tcPr/>
                <w:p>
                  <w:pPr>
                    <w:pStyle w:val="Compact"/>
                    <w:jc w:val="right"/>
                    <w:jc w:val="center"/>
                  </w:pPr>
                  <w:r>
                    <w:t xml:space="preserve">0.035</w:t>
                  </w:r>
                </w:p>
              </w:tc>
              <w:tc>
                <w:tcPr/>
                <w:p>
                  <w:pPr>
                    <w:pStyle w:val="Compact"/>
                    <w:jc w:val="left"/>
                    <w:jc w:val="center"/>
                  </w:pPr>
                  <w:r>
                    <w:t xml:space="preserve">0.025</w:t>
                  </w:r>
                </w:p>
              </w:tc>
              <w:tc>
                <w:tcPr/>
                <w:p>
                  <w:pPr>
                    <w:pStyle w:val="Compact"/>
                    <w:jc w:val="left"/>
                    <w:jc w:val="center"/>
                  </w:pPr>
                  <w:r>
                    <w:t xml:space="preserve">0.045</w:t>
                  </w:r>
                </w:p>
              </w:tc>
              <w:tc>
                <w:tcPr/>
                <w:p>
                  <w:pPr>
                    <w:pStyle w:val="Compact"/>
                    <w:jc w:val="left"/>
                    <w:jc w:val="center"/>
                  </w:pPr>
                  <w:r>
                    <w:t xml:space="preserve">%/year</w:t>
                  </w:r>
                </w:p>
              </w:tc>
              <w:tc>
                <w:tcPr/>
                <w:p>
                  <w:pPr>
                    <w:pStyle w:val="Compact"/>
                    <w:jc w:val="left"/>
                    <w:jc w:val="center"/>
                  </w:pPr>
                  <w:r>
                    <w:t xml:space="preserve">Post-construction-boom deceleration: density saturation (Bertaud 2019), water/po…</w:t>
                  </w:r>
                </w:p>
              </w:tc>
            </w:tr>
            <w:tr>
              <w:tc>
                <w:tcPr/>
                <w:p>
                  <w:pPr>
                    <w:pStyle w:val="Compact"/>
                    <w:jc w:val="left"/>
                    <w:jc w:val="center"/>
                  </w:pPr>
                  <w:r>
                    <w:t xml:space="preserve">Outer Growth Near Term</w:t>
                  </w:r>
                </w:p>
              </w:tc>
              <w:tc>
                <w:tcPr/>
                <w:p>
                  <w:pPr>
                    <w:pStyle w:val="Compact"/>
                    <w:jc w:val="right"/>
                    <w:jc w:val="center"/>
                  </w:pPr>
                  <w:r>
                    <w:t xml:space="preserve">0.09</w:t>
                  </w:r>
                </w:p>
              </w:tc>
              <w:tc>
                <w:tcPr/>
                <w:p>
                  <w:pPr>
                    <w:pStyle w:val="Compact"/>
                    <w:jc w:val="left"/>
                    <w:jc w:val="center"/>
                  </w:pPr>
                  <w:r>
                    <w:t xml:space="preserve">0.07</w:t>
                  </w:r>
                </w:p>
              </w:tc>
              <w:tc>
                <w:tcPr/>
                <w:p>
                  <w:pPr>
                    <w:pStyle w:val="Compact"/>
                    <w:jc w:val="left"/>
                    <w:jc w:val="center"/>
                  </w:pPr>
                  <w:r>
                    <w:t xml:space="preserve">0.12</w:t>
                  </w:r>
                </w:p>
              </w:tc>
              <w:tc>
                <w:tcPr/>
                <w:p>
                  <w:pPr>
                    <w:pStyle w:val="Compact"/>
                    <w:jc w:val="left"/>
                    <w:jc w:val="center"/>
                  </w:pPr>
                  <w:r>
                    <w:t xml:space="preserve">%/year</w:t>
                  </w:r>
                </w:p>
              </w:tc>
              <w:tc>
                <w:tcPr/>
                <w:p>
                  <w:pPr>
                    <w:pStyle w:val="Compact"/>
                    <w:jc w:val="left"/>
                    <w:jc w:val="center"/>
                  </w:pPr>
                  <w:r>
                    <w:t xml:space="preserve">ADB/MCCEE Energy Roadmap 2024-2033 Â§4.1.2: outer island demand growth 9% for ne…</w:t>
                  </w:r>
                </w:p>
              </w:tc>
            </w:tr>
            <w:tr>
              <w:tc>
                <w:tcPr/>
                <w:p>
                  <w:pPr>
                    <w:pStyle w:val="Compact"/>
                    <w:jc w:val="left"/>
                    <w:jc w:val="center"/>
                  </w:pPr>
                  <w:r>
                    <w:t xml:space="preserve">Outer Growth Long Term</w:t>
                  </w:r>
                </w:p>
              </w:tc>
              <w:tc>
                <w:tcPr/>
                <w:p>
                  <w:pPr>
                    <w:pStyle w:val="Compact"/>
                    <w:jc w:val="right"/>
                    <w:jc w:val="center"/>
                  </w:pPr>
                  <w:r>
                    <w:t xml:space="preserve">0.05</w:t>
                  </w:r>
                </w:p>
              </w:tc>
              <w:tc>
                <w:tcPr/>
                <w:p>
                  <w:pPr>
                    <w:pStyle w:val="Compact"/>
                    <w:jc w:val="left"/>
                    <w:jc w:val="center"/>
                  </w:pPr>
                  <w:r>
                    <w:t xml:space="preserve">0.04</w:t>
                  </w:r>
                </w:p>
              </w:tc>
              <w:tc>
                <w:tcPr/>
                <w:p>
                  <w:pPr>
                    <w:pStyle w:val="Compact"/>
                    <w:jc w:val="left"/>
                    <w:jc w:val="center"/>
                  </w:pPr>
                  <w:r>
                    <w:t xml:space="preserve">0.06</w:t>
                  </w:r>
                </w:p>
              </w:tc>
              <w:tc>
                <w:tcPr/>
                <w:p>
                  <w:pPr>
                    <w:pStyle w:val="Compact"/>
                    <w:jc w:val="left"/>
                    <w:jc w:val="center"/>
                  </w:pPr>
                  <w:r>
                    <w:t xml:space="preserve">%/year</w:t>
                  </w:r>
                </w:p>
              </w:tc>
              <w:tc>
                <w:tcPr/>
                <w:p>
                  <w:pPr>
                    <w:pStyle w:val="Compact"/>
                    <w:jc w:val="left"/>
                    <w:jc w:val="center"/>
                  </w:pPr>
                  <w:r>
                    <w:t xml:space="preserve">Converges to national BAU rate once guesthouse expansion saturates (~2030). Tour…</w:t>
                  </w:r>
                </w:p>
              </w:tc>
            </w:tr>
            <w:tr>
              <w:tc>
                <w:tcPr/>
                <w:p>
                  <w:pPr>
                    <w:pStyle w:val="Compact"/>
                    <w:jc w:val="left"/>
                    <w:jc w:val="center"/>
                  </w:pPr>
                  <w:r>
                    <w:t xml:space="preserve">Outer Growth Taper Year</w:t>
                  </w:r>
                </w:p>
              </w:tc>
              <w:tc>
                <w:tcPr/>
                <w:p>
                  <w:pPr>
                    <w:pStyle w:val="Compact"/>
                    <w:jc w:val="right"/>
                    <w:jc w:val="center"/>
                  </w:pPr>
                  <w:r>
                    <w:t xml:space="preserve">2030</w:t>
                  </w:r>
                </w:p>
              </w:tc>
              <w:tc>
                <w:tcPr/>
                <w:p>
                  <w:pPr>
                    <w:pStyle w:val="Compact"/>
                    <w:jc w:val="left"/>
                    <w:jc w:val="center"/>
                  </w:pPr>
                  <w:r>
                    <w:t xml:space="preserve">2028</w:t>
                  </w:r>
                </w:p>
              </w:tc>
              <w:tc>
                <w:tcPr/>
                <w:p>
                  <w:pPr>
                    <w:pStyle w:val="Compact"/>
                    <w:jc w:val="left"/>
                    <w:jc w:val="center"/>
                  </w:pPr>
                  <w:r>
                    <w:t xml:space="preserve">2032</w:t>
                  </w:r>
                </w:p>
              </w:tc>
              <w:tc>
                <w:tcPr/>
                <w:p>
                  <w:pPr>
                    <w:pStyle w:val="Compact"/>
                    <w:jc w:val="left"/>
                    <w:jc w:val="center"/>
                  </w:pPr>
                  <w:r>
                    <w:t xml:space="preserve">year</w:t>
                  </w:r>
                </w:p>
              </w:tc>
              <w:tc>
                <w:tcPr/>
                <w:p>
                  <w:pPr>
                    <w:pStyle w:val="Compact"/>
                    <w:jc w:val="left"/>
                    <w:jc w:val="center"/>
                  </w:pPr>
                  <w:r>
                    <w:t xml:space="preserve">Guesthouse boom peaks ~2028-2030; tourism capacity constraints bind. Roadmap imp…</w:t>
                  </w:r>
                </w:p>
              </w:tc>
            </w:tr>
            <w:tr>
              <w:tc>
                <w:tcPr/>
                <w:p>
                  <w:pPr>
                    <w:pStyle w:val="Compact"/>
                    <w:jc w:val="left"/>
                    <w:jc w:val="center"/>
                  </w:pPr>
                  <w:r>
                    <w:t xml:space="preserve">Outer Post-Peak Growth Rate</w:t>
                  </w:r>
                </w:p>
              </w:tc>
              <w:tc>
                <w:tcPr/>
                <w:p>
                  <w:pPr>
                    <w:pStyle w:val="Compact"/>
                    <w:jc w:val="right"/>
                    <w:jc w:val="center"/>
                  </w:pPr>
                  <w:r>
                    <w:t xml:space="preserve">0.06</w:t>
                  </w:r>
                </w:p>
              </w:tc>
              <w:tc>
                <w:tcPr/>
                <w:p>
                  <w:pPr>
                    <w:pStyle w:val="Compact"/>
                    <w:jc w:val="left"/>
                    <w:jc w:val="center"/>
                  </w:pPr>
                  <w:r>
                    <w:t xml:space="preserve">0.05</w:t>
                  </w:r>
                </w:p>
              </w:tc>
              <w:tc>
                <w:tcPr/>
                <w:p>
                  <w:pPr>
                    <w:pStyle w:val="Compact"/>
                    <w:jc w:val="left"/>
                    <w:jc w:val="center"/>
                  </w:pPr>
                  <w:r>
                    <w:t xml:space="preserve">0.07</w:t>
                  </w:r>
                </w:p>
              </w:tc>
              <w:tc>
                <w:tcPr/>
                <w:p>
                  <w:pPr>
                    <w:pStyle w:val="Compact"/>
                    <w:jc w:val="left"/>
                    <w:jc w:val="center"/>
                  </w:pPr>
                  <w:r>
                    <w:t xml:space="preserve">%/year</w:t>
                  </w:r>
                </w:p>
              </w:tc>
              <w:tc>
                <w:tcPr/>
                <w:p>
                  <w:pPr>
                    <w:pStyle w:val="Compact"/>
                    <w:jc w:val="left"/>
                    <w:jc w:val="center"/>
                  </w:pPr>
                  <w:r>
                    <w:t xml:space="preserve">Post-2035 outer island electrification acceleration: ARISE Strategic Action Plan…</w:t>
                  </w:r>
                </w:p>
              </w:tc>
            </w:tr>
            <w:tr>
              <w:tc>
                <w:tcPr/>
                <w:p>
                  <w:pPr>
                    <w:pStyle w:val="Compact"/>
                    <w:jc w:val="left"/>
                    <w:jc w:val="center"/>
                  </w:pPr>
                  <w:r>
                    <w:t xml:space="preserve">Resort Growth Rate</w:t>
                  </w:r>
                </w:p>
              </w:tc>
              <w:tc>
                <w:tcPr/>
                <w:p>
                  <w:pPr>
                    <w:pStyle w:val="Compact"/>
                    <w:jc w:val="right"/>
                    <w:jc w:val="center"/>
                  </w:pPr>
                  <w:r>
                    <w:t xml:space="preserve">0.02</w:t>
                  </w:r>
                </w:p>
              </w:tc>
              <w:tc>
                <w:tcPr/>
                <w:p>
                  <w:pPr>
                    <w:pStyle w:val="Compact"/>
                    <w:jc w:val="left"/>
                    <w:jc w:val="center"/>
                  </w:pPr>
                  <w:r>
                    <w:t xml:space="preserve">0.01</w:t>
                  </w:r>
                </w:p>
              </w:tc>
              <w:tc>
                <w:tcPr/>
                <w:p>
                  <w:pPr>
                    <w:pStyle w:val="Compact"/>
                    <w:jc w:val="left"/>
                    <w:jc w:val="center"/>
                  </w:pPr>
                  <w:r>
                    <w:t xml:space="preserve">0.03</w:t>
                  </w:r>
                </w:p>
              </w:tc>
              <w:tc>
                <w:tcPr/>
                <w:p>
                  <w:pPr>
                    <w:pStyle w:val="Compact"/>
                    <w:jc w:val="left"/>
                    <w:jc w:val="center"/>
                  </w:pPr>
                  <w:r>
                    <w:t xml:space="preserve">%/year</w:t>
                  </w:r>
                </w:p>
              </w:tc>
              <w:tc>
                <w:tcPr/>
                <w:p>
                  <w:pPr>
                    <w:pStyle w:val="Compact"/>
                    <w:jc w:val="left"/>
                    <w:jc w:val="center"/>
                  </w:pPr>
                  <w:r>
                    <w:t xml:space="preserve">Roadmap Â§4.1.3: fixed guest capacity (bed licenses); growth only from renovatio…</w:t>
                  </w:r>
                </w:p>
              </w:tc>
            </w:tr>
            <w:tr>
              <w:tc>
                <w:tcPr/>
                <w:p>
                  <w:pPr>
                    <w:pStyle w:val="Compact"/>
                    <w:jc w:val="left"/>
                    <w:jc w:val="center"/>
                  </w:pPr>
                  <w:r>
                    <w:t xml:space="preserve">Intensity Urban</w:t>
                  </w:r>
                </w:p>
              </w:tc>
              <w:tc>
                <w:tcPr/>
                <w:p>
                  <w:pPr>
                    <w:pStyle w:val="Compact"/>
                    <w:jc w:val="right"/>
                    <w:jc w:val="center"/>
                  </w:pPr>
                  <w:r>
                    <w:t xml:space="preserve">1.8</w:t>
                  </w:r>
                </w:p>
              </w:tc>
              <w:tc>
                <w:tcPr/>
                <w:p>
                  <w:pPr>
                    <w:pStyle w:val="Compact"/>
                    <w:jc w:val="left"/>
                    <w:jc w:val="center"/>
                  </w:pPr>
                  <w:r>
                    <w:t xml:space="preserve">1.4</w:t>
                  </w:r>
                </w:p>
              </w:tc>
              <w:tc>
                <w:tcPr/>
                <w:p>
                  <w:pPr>
                    <w:pStyle w:val="Compact"/>
                    <w:jc w:val="left"/>
                    <w:jc w:val="center"/>
                  </w:pPr>
                  <w:r>
                    <w:t xml:space="preserve">2.2</w:t>
                  </w:r>
                </w:p>
              </w:tc>
              <w:tc>
                <w:tcPr/>
                <w:p>
                  <w:pPr>
                    <w:pStyle w:val="Compact"/>
                    <w:jc w:val="left"/>
                    <w:jc w:val="center"/>
                  </w:pPr>
                  <w:r>
                    <w:t xml:space="preserve">multiplier</w:t>
                  </w:r>
                </w:p>
              </w:tc>
              <w:tc>
                <w:tcPr/>
                <w:p>
                  <w:pPr>
                    <w:pStyle w:val="Compact"/>
                    <w:jc w:val="left"/>
                    <w:jc w:val="center"/>
                  </w:pPr>
                  <w:r>
                    <w:t xml:space="preserve">Derived from 2018 Island Electricity Data Book: MalÃ©/HulhumalÃ© per-capita dema…</w:t>
                  </w:r>
                </w:p>
              </w:tc>
            </w:tr>
            <w:tr>
              <w:tc>
                <w:tcPr/>
                <w:p>
                  <w:pPr>
                    <w:pStyle w:val="Compact"/>
                    <w:jc w:val="left"/>
                    <w:jc w:val="center"/>
                  </w:pPr>
                  <w:r>
                    <w:t xml:space="preserve">Intensity Secondary</w:t>
                  </w:r>
                </w:p>
              </w:tc>
              <w:tc>
                <w:tcPr/>
                <w:p>
                  <w:pPr>
                    <w:pStyle w:val="Compact"/>
                    <w:jc w:val="right"/>
                    <w:jc w:val="center"/>
                  </w:pPr>
                  <w:r>
                    <w:t xml:space="preserve">1.2</w:t>
                  </w:r>
                </w:p>
              </w:tc>
              <w:tc>
                <w:tcPr/>
                <w:p>
                  <w:pPr>
                    <w:pStyle w:val="Compact"/>
                    <w:jc w:val="left"/>
                    <w:jc w:val="center"/>
                  </w:pPr>
                  <w:r>
                    <w:t xml:space="preserve">0.9</w:t>
                  </w:r>
                </w:p>
              </w:tc>
              <w:tc>
                <w:tcPr/>
                <w:p>
                  <w:pPr>
                    <w:pStyle w:val="Compact"/>
                    <w:jc w:val="left"/>
                    <w:jc w:val="center"/>
                  </w:pPr>
                  <w:r>
                    <w:t xml:space="preserve">1.5</w:t>
                  </w:r>
                </w:p>
              </w:tc>
              <w:tc>
                <w:tcPr/>
                <w:p>
                  <w:pPr>
                    <w:pStyle w:val="Compact"/>
                    <w:jc w:val="left"/>
                    <w:jc w:val="center"/>
                  </w:pPr>
                  <w:r>
                    <w:t xml:space="preserve">multiplier</w:t>
                  </w:r>
                </w:p>
              </w:tc>
              <w:tc>
                <w:tcPr/>
                <w:p>
                  <w:pPr>
                    <w:pStyle w:val="Compact"/>
                    <w:jc w:val="left"/>
                    <w:jc w:val="center"/>
                  </w:pPr>
                  <w:r>
                    <w:t xml:space="preserve">Derived from 2018 Island Electricity Data Book: mid-size islands per-capita ~1.2…</w:t>
                  </w:r>
                </w:p>
              </w:tc>
            </w:tr>
            <w:tr>
              <w:tc>
                <w:tcPr/>
                <w:p>
                  <w:pPr>
                    <w:pStyle w:val="Compact"/>
                    <w:jc w:val="left"/>
                    <w:jc w:val="center"/>
                  </w:pPr>
                  <w:r>
                    <w:t xml:space="preserve">Intensity Rural</w:t>
                  </w:r>
                </w:p>
              </w:tc>
              <w:tc>
                <w:tcPr/>
                <w:p>
                  <w:pPr>
                    <w:pStyle w:val="Compact"/>
                    <w:jc w:val="right"/>
                    <w:jc w:val="center"/>
                  </w:pPr>
                  <w:r>
                    <w:t xml:space="preserve">0.6</w:t>
                  </w:r>
                </w:p>
              </w:tc>
              <w:tc>
                <w:tcPr/>
                <w:p>
                  <w:pPr>
                    <w:pStyle w:val="Compact"/>
                    <w:jc w:val="left"/>
                    <w:jc w:val="center"/>
                  </w:pPr>
                  <w:r>
                    <w:t xml:space="preserve">0.4</w:t>
                  </w:r>
                </w:p>
              </w:tc>
              <w:tc>
                <w:tcPr/>
                <w:p>
                  <w:pPr>
                    <w:pStyle w:val="Compact"/>
                    <w:jc w:val="left"/>
                    <w:jc w:val="center"/>
                  </w:pPr>
                  <w:r>
                    <w:t xml:space="preserve">0.8</w:t>
                  </w:r>
                </w:p>
              </w:tc>
              <w:tc>
                <w:tcPr/>
                <w:p>
                  <w:pPr>
                    <w:pStyle w:val="Compact"/>
                    <w:jc w:val="left"/>
                    <w:jc w:val="center"/>
                  </w:pPr>
                  <w:r>
                    <w:t xml:space="preserve">multiplier</w:t>
                  </w:r>
                </w:p>
              </w:tc>
              <w:tc>
                <w:tcPr/>
                <w:p>
                  <w:pPr>
                    <w:pStyle w:val="Compact"/>
                    <w:jc w:val="left"/>
                    <w:jc w:val="center"/>
                  </w:pPr>
                  <w:r>
                    <w:t xml:space="preserve">Derived from 2018 Island Electricity Data Book: small outer islands per-capita ~…</w:t>
                  </w:r>
                </w:p>
              </w:tc>
            </w:tr>
            <w:tr>
              <w:tc>
                <w:tcPr/>
                <w:p>
                  <w:pPr>
                    <w:pStyle w:val="Compact"/>
                    <w:jc w:val="left"/>
                    <w:jc w:val="center"/>
                  </w:pPr>
                  <w:r>
                    <w:t xml:space="preserve">Urban Population Threshold</w:t>
                  </w:r>
                </w:p>
              </w:tc>
              <w:tc>
                <w:tcPr/>
                <w:p>
                  <w:pPr>
                    <w:pStyle w:val="Compact"/>
                    <w:jc w:val="right"/>
                    <w:jc w:val="center"/>
                  </w:pPr>
                  <w:r>
                    <w:t xml:space="preserve">15000</w:t>
                  </w:r>
                </w:p>
              </w:tc>
              <w:tc>
                <w:tcPr/>
                <w:p>
                  <w:pPr>
                    <w:pStyle w:val="Compact"/>
                    <w:jc w:val="left"/>
                    <w:jc w:val="center"/>
                  </w:pPr>
                  <w:r>
                    <w:t xml:space="preserve">10000</w:t>
                  </w:r>
                </w:p>
              </w:tc>
              <w:tc>
                <w:tcPr/>
                <w:p>
                  <w:pPr>
                    <w:pStyle w:val="Compact"/>
                    <w:jc w:val="left"/>
                    <w:jc w:val="center"/>
                  </w:pPr>
                  <w:r>
                    <w:t xml:space="preserve">20000</w:t>
                  </w:r>
                </w:p>
              </w:tc>
              <w:tc>
                <w:tcPr/>
                <w:p>
                  <w:pPr>
                    <w:pStyle w:val="Compact"/>
                    <w:jc w:val="left"/>
                    <w:jc w:val="center"/>
                  </w:pPr>
                  <w:r>
                    <w:t xml:space="preserve">persons</w:t>
                  </w:r>
                </w:p>
              </w:tc>
              <w:tc>
                <w:tcPr/>
                <w:p>
                  <w:pPr>
                    <w:pStyle w:val="Compact"/>
                    <w:jc w:val="left"/>
                    <w:jc w:val="center"/>
                  </w:pPr>
                  <w:r>
                    <w:t xml:space="preserve">Census 2022 â€” MalÃ©/HulhumalÃ©/Addu exceed 15k</w:t>
                  </w:r>
                </w:p>
              </w:tc>
            </w:tr>
            <w:tr>
              <w:tc>
                <w:tcPr/>
                <w:p>
                  <w:pPr>
                    <w:pStyle w:val="Compact"/>
                    <w:jc w:val="left"/>
                    <w:jc w:val="center"/>
                  </w:pPr>
                  <w:r>
                    <w:t xml:space="preserve">Secondary Population Threshold</w:t>
                  </w:r>
                </w:p>
              </w:tc>
              <w:tc>
                <w:tcPr/>
                <w:p>
                  <w:pPr>
                    <w:pStyle w:val="Compact"/>
                    <w:jc w:val="right"/>
                    <w:jc w:val="center"/>
                  </w:pPr>
                  <w:r>
                    <w:t xml:space="preserve">2000</w:t>
                  </w:r>
                </w:p>
              </w:tc>
              <w:tc>
                <w:tcPr/>
                <w:p>
                  <w:pPr>
                    <w:pStyle w:val="Compact"/>
                    <w:jc w:val="left"/>
                    <w:jc w:val="center"/>
                  </w:pPr>
                  <w:r>
                    <w:t xml:space="preserve">1000</w:t>
                  </w:r>
                </w:p>
              </w:tc>
              <w:tc>
                <w:tcPr/>
                <w:p>
                  <w:pPr>
                    <w:pStyle w:val="Compact"/>
                    <w:jc w:val="left"/>
                    <w:jc w:val="center"/>
                  </w:pPr>
                  <w:r>
                    <w:t xml:space="preserve">3000</w:t>
                  </w:r>
                </w:p>
              </w:tc>
              <w:tc>
                <w:tcPr/>
                <w:p>
                  <w:pPr>
                    <w:pStyle w:val="Compact"/>
                    <w:jc w:val="left"/>
                    <w:jc w:val="center"/>
                  </w:pPr>
                  <w:r>
                    <w:t xml:space="preserve">persons</w:t>
                  </w:r>
                </w:p>
              </w:tc>
              <w:tc>
                <w:tcPr/>
                <w:p>
                  <w:pPr>
                    <w:pStyle w:val="Compact"/>
                    <w:jc w:val="left"/>
                    <w:jc w:val="center"/>
                  </w:pPr>
                  <w:r>
                    <w:t xml:space="preserve">Census 2022 â€” distinguishes mid-size from small islands</w:t>
                  </w:r>
                </w:p>
              </w:tc>
            </w:tr>
            <w:tr>
              <w:tc>
                <w:tcPr/>
                <w:p>
                  <w:pPr>
                    <w:pStyle w:val="Compact"/>
                    <w:jc w:val="left"/>
                    <w:jc w:val="center"/>
                  </w:pPr>
                  <w:r>
                    <w:t xml:space="preserve">Demand Saturation kWh per Capita</w:t>
                  </w:r>
                </w:p>
              </w:tc>
              <w:tc>
                <w:tcPr/>
                <w:p>
                  <w:pPr>
                    <w:pStyle w:val="Compact"/>
                    <w:jc w:val="right"/>
                    <w:jc w:val="center"/>
                  </w:pPr>
                  <w:r>
                    <w:t xml:space="preserve">7000</w:t>
                  </w:r>
                </w:p>
              </w:tc>
              <w:tc>
                <w:tcPr/>
                <w:p>
                  <w:pPr>
                    <w:pStyle w:val="Compact"/>
                    <w:jc w:val="left"/>
                    <w:jc w:val="center"/>
                  </w:pPr>
                  <w:r>
                    <w:t xml:space="preserve">5000</w:t>
                  </w:r>
                </w:p>
              </w:tc>
              <w:tc>
                <w:tcPr/>
                <w:p>
                  <w:pPr>
                    <w:pStyle w:val="Compact"/>
                    <w:jc w:val="left"/>
                    <w:jc w:val="center"/>
                  </w:pPr>
                  <w:r>
                    <w:t xml:space="preserve">9000</w:t>
                  </w:r>
                </w:p>
              </w:tc>
              <w:tc>
                <w:tcPr/>
                <w:p>
                  <w:pPr>
                    <w:pStyle w:val="Compact"/>
                    <w:jc w:val="left"/>
                    <w:jc w:val="center"/>
                  </w:pPr>
                  <w:r>
                    <w:t xml:space="preserve">kWh/capita/year</w:t>
                  </w:r>
                </w:p>
              </w:tc>
              <w:tc>
                <w:tcPr/>
                <w:p>
                  <w:pPr>
                    <w:pStyle w:val="Compact"/>
                    <w:jc w:val="left"/>
                    <w:jc w:val="center"/>
                  </w:pPr>
                  <w:r>
                    <w:t xml:space="preserve">IEA World Energy Outlook 2024: Singapore ~8,800; Malaysia ~5,000; Thailand ~3,00…</w:t>
                  </w:r>
                </w:p>
              </w:tc>
            </w:tr>
          </w:tbl>
          <w:p>
            <w:pPr>
              <w:pStyle w:val="Heading3"/>
              <w:jc w:val="center"/>
            </w:pPr>
            <w:bookmarkStart w:id="346" w:name="fuel"/>
            <w:r>
              <w:t xml:space="preserve">14.1.4 Fuel</w:t>
            </w:r>
            <w:bookmarkEnd w:id="346"/>
          </w:p>
          <w:tbl>
            <w:tblPr>
              <w:tblStyle w:val="Table"/>
              <w:tblW w:type="pct" w:w="5000"/>
              <w:tblLayout w:type="fixed"/>
              <w:tblLook w:firstRow="1" w:lastRow="0" w:firstColumn="0" w:lastColumn="0" w:noHBand="0" w:noVBand="0" w:val="0020"/>
            </w:tblPr>
            <w:tblGrid>
              <w:gridCol w:w="1384"/>
              <w:gridCol w:w="498"/>
              <w:gridCol w:w="387"/>
              <w:gridCol w:w="443"/>
              <w:gridCol w:w="609"/>
              <w:gridCol w:w="4596"/>
            </w:tblGrid>
            <w:tr>
              <w:trPr>
                <w:tblHeader w:val="on"/>
              </w:trPr>
              <w:tc>
                <w:tcPr/>
                <w:p>
                  <w:pPr>
                    <w:pStyle w:val="Compact"/>
                    <w:jc w:val="left"/>
                    <w:jc w:val="center"/>
                  </w:pPr>
                  <w:r>
                    <w:t xml:space="preserve">Parameter</w:t>
                  </w:r>
                </w:p>
              </w:tc>
              <w:tc>
                <w:tcPr/>
                <w:p>
                  <w:pPr>
                    <w:pStyle w:val="Compact"/>
                    <w:jc w:val="right"/>
                    <w:jc w:val="center"/>
                  </w:pPr>
                  <w:r>
                    <w:t xml:space="preserve">Value</w:t>
                  </w:r>
                </w:p>
              </w:tc>
              <w:tc>
                <w:tcPr/>
                <w:p>
                  <w:pPr>
                    <w:pStyle w:val="Compact"/>
                    <w:jc w:val="left"/>
                    <w:jc w:val="center"/>
                  </w:pPr>
                  <w:r>
                    <w:t xml:space="preserve">Low</w:t>
                  </w:r>
                </w:p>
              </w:tc>
              <w:tc>
                <w:tcPr/>
                <w:p>
                  <w:pPr>
                    <w:pStyle w:val="Compact"/>
                    <w:jc w:val="left"/>
                    <w:jc w:val="center"/>
                  </w:pPr>
                  <w:r>
                    <w:t xml:space="preserve">High</w:t>
                  </w:r>
                </w:p>
              </w:tc>
              <w:tc>
                <w:tcPr/>
                <w:p>
                  <w:pPr>
                    <w:pStyle w:val="Compact"/>
                    <w:jc w:val="left"/>
                    <w:jc w:val="center"/>
                  </w:pPr>
                  <w:r>
                    <w:t xml:space="preserve">Unit</w:t>
                  </w:r>
                </w:p>
              </w:tc>
              <w:tc>
                <w:tcPr/>
                <w:p>
                  <w:pPr>
                    <w:pStyle w:val="Compact"/>
                    <w:jc w:val="left"/>
                    <w:jc w:val="center"/>
                  </w:pPr>
                  <w:r>
                    <w:t xml:space="preserve">Source</w:t>
                  </w:r>
                </w:p>
              </w:tc>
            </w:tr>
            <w:tr>
              <w:tc>
                <w:tcPr/>
                <w:p>
                  <w:pPr>
                    <w:pStyle w:val="Compact"/>
                    <w:jc w:val="left"/>
                    <w:jc w:val="center"/>
                  </w:pPr>
                  <w:r>
                    <w:t xml:space="preserve">Diesel Price 2026</w:t>
                  </w:r>
                </w:p>
              </w:tc>
              <w:tc>
                <w:tcPr/>
                <w:p>
                  <w:pPr>
                    <w:pStyle w:val="Compact"/>
                    <w:jc w:val="right"/>
                    <w:jc w:val="center"/>
                  </w:pPr>
                  <w:r>
                    <w:t xml:space="preserve">0.85</w:t>
                  </w:r>
                </w:p>
              </w:tc>
              <w:tc>
                <w:tcPr/>
                <w:p>
                  <w:pPr>
                    <w:pStyle w:val="Compact"/>
                    <w:jc w:val="left"/>
                    <w:jc w:val="center"/>
                  </w:pPr>
                  <w:r>
                    <w:t xml:space="preserve">0.6</w:t>
                  </w:r>
                </w:p>
              </w:tc>
              <w:tc>
                <w:tcPr/>
                <w:p>
                  <w:pPr>
                    <w:pStyle w:val="Compact"/>
                    <w:jc w:val="left"/>
                    <w:jc w:val="center"/>
                  </w:pPr>
                  <w:r>
                    <w:t xml:space="preserve">1.1</w:t>
                  </w:r>
                </w:p>
              </w:tc>
              <w:tc>
                <w:tcPr/>
                <w:p>
                  <w:pPr>
                    <w:pStyle w:val="Compact"/>
                    <w:jc w:val="left"/>
                    <w:jc w:val="center"/>
                  </w:pPr>
                  <w:r>
                    <w:t xml:space="preserve">USD/liter</w:t>
                  </w:r>
                </w:p>
              </w:tc>
              <w:tc>
                <w:tcPr/>
                <w:p>
                  <w:pPr>
                    <w:pStyle w:val="Compact"/>
                    <w:jc w:val="left"/>
                    <w:jc w:val="center"/>
                  </w:pPr>
                  <w:r>
                    <w:t xml:space="preserve">Platts Dec 2025; STO import data 2023-24</w:t>
                  </w:r>
                </w:p>
              </w:tc>
            </w:tr>
            <w:tr>
              <w:tc>
                <w:tcPr/>
                <w:p>
                  <w:pPr>
                    <w:pStyle w:val="Compact"/>
                    <w:jc w:val="left"/>
                    <w:jc w:val="center"/>
                  </w:pPr>
                  <w:r>
                    <w:t xml:space="preserve">Diesel Price Escalation</w:t>
                  </w:r>
                </w:p>
              </w:tc>
              <w:tc>
                <w:tcPr/>
                <w:p>
                  <w:pPr>
                    <w:pStyle w:val="Compact"/>
                    <w:jc w:val="right"/>
                    <w:jc w:val="center"/>
                  </w:pPr>
                  <w:r>
                    <w:t xml:space="preserve">0.02</w:t>
                  </w:r>
                </w:p>
              </w:tc>
              <w:tc>
                <w:tcPr/>
                <w:p>
                  <w:pPr>
                    <w:pStyle w:val="Compact"/>
                    <w:jc w:val="left"/>
                    <w:jc w:val="center"/>
                  </w:pPr>
                  <w:r>
                    <w:t xml:space="preserve">0</w:t>
                  </w:r>
                </w:p>
              </w:tc>
              <w:tc>
                <w:tcPr/>
                <w:p>
                  <w:pPr>
                    <w:pStyle w:val="Compact"/>
                    <w:jc w:val="left"/>
                    <w:jc w:val="center"/>
                  </w:pPr>
                  <w:r>
                    <w:t xml:space="preserve">0.05</w:t>
                  </w:r>
                </w:p>
              </w:tc>
              <w:tc>
                <w:tcPr/>
                <w:p>
                  <w:pPr>
                    <w:pStyle w:val="Compact"/>
                    <w:jc w:val="left"/>
                    <w:jc w:val="center"/>
                  </w:pPr>
                  <w:r>
                    <w:t xml:space="preserve">%/year</w:t>
                  </w:r>
                </w:p>
              </w:tc>
              <w:tc>
                <w:tcPr/>
                <w:p>
                  <w:pPr>
                    <w:pStyle w:val="Compact"/>
                    <w:jc w:val="left"/>
                    <w:jc w:val="center"/>
                  </w:pPr>
                  <w:r>
                    <w:t xml:space="preserve">IEA WEO projection</w:t>
                  </w:r>
                </w:p>
              </w:tc>
            </w:tr>
            <w:tr>
              <w:tc>
                <w:tcPr/>
                <w:p>
                  <w:pPr>
                    <w:pStyle w:val="Compact"/>
                    <w:jc w:val="left"/>
                    <w:jc w:val="center"/>
                  </w:pPr>
                  <w:r>
                    <w:t xml:space="preserve">Fuel Efficiency</w:t>
                  </w:r>
                </w:p>
              </w:tc>
              <w:tc>
                <w:tcPr/>
                <w:p>
                  <w:pPr>
                    <w:pStyle w:val="Compact"/>
                    <w:jc w:val="right"/>
                    <w:jc w:val="center"/>
                  </w:pPr>
                  <w:r>
                    <w:t xml:space="preserve">3.3</w:t>
                  </w:r>
                </w:p>
              </w:tc>
              <w:tc>
                <w:tcPr/>
                <w:p>
                  <w:pPr>
                    <w:pStyle w:val="Compact"/>
                    <w:jc w:val="left"/>
                    <w:jc w:val="center"/>
                  </w:pPr>
                  <w:r>
                    <w:t xml:space="preserve">2.8</w:t>
                  </w:r>
                </w:p>
              </w:tc>
              <w:tc>
                <w:tcPr/>
                <w:p>
                  <w:pPr>
                    <w:pStyle w:val="Compact"/>
                    <w:jc w:val="left"/>
                    <w:jc w:val="center"/>
                  </w:pPr>
                  <w:r>
                    <w:t xml:space="preserve">3.8</w:t>
                  </w:r>
                </w:p>
              </w:tc>
              <w:tc>
                <w:tcPr/>
                <w:p>
                  <w:pPr>
                    <w:pStyle w:val="Compact"/>
                    <w:jc w:val="left"/>
                    <w:jc w:val="center"/>
                  </w:pPr>
                  <w:r>
                    <w:t xml:space="preserve">kWh/liter</w:t>
                  </w:r>
                </w:p>
              </w:tc>
              <w:tc>
                <w:tcPr/>
                <w:p>
                  <w:pPr>
                    <w:pStyle w:val="Compact"/>
                    <w:jc w:val="left"/>
                    <w:jc w:val="center"/>
                  </w:pPr>
                  <w:r>
                    <w:t xml:space="preserve">2018 Island Electricity Data Book (115 islands: mean 3.31 kWh/L, median 3.15 kWh…</w:t>
                  </w:r>
                </w:p>
              </w:tc>
            </w:tr>
            <w:tr>
              <w:tc>
                <w:tcPr/>
                <w:p>
                  <w:pPr>
                    <w:pStyle w:val="Compact"/>
                    <w:jc w:val="left"/>
                    <w:jc w:val="center"/>
                  </w:pPr>
                  <w:r>
                    <w:t xml:space="preserve">Male Diesel Efficiency</w:t>
                  </w:r>
                </w:p>
              </w:tc>
              <w:tc>
                <w:tcPr/>
                <w:p>
                  <w:pPr>
                    <w:pStyle w:val="Compact"/>
                    <w:jc w:val="right"/>
                    <w:jc w:val="center"/>
                  </w:pPr>
                  <w:r>
                    <w:t xml:space="preserve">3.3</w:t>
                  </w:r>
                </w:p>
              </w:tc>
              <w:tc>
                <w:tcPr/>
                <w:p>
                  <w:pPr>
                    <w:pStyle w:val="Compact"/>
                    <w:jc w:val="left"/>
                    <w:jc w:val="center"/>
                  </w:pPr>
                  <w:r>
                    <w:t xml:space="preserve">3</w:t>
                  </w:r>
                </w:p>
              </w:tc>
              <w:tc>
                <w:tcPr/>
                <w:p>
                  <w:pPr>
                    <w:pStyle w:val="Compact"/>
                    <w:jc w:val="left"/>
                    <w:jc w:val="center"/>
                  </w:pPr>
                  <w:r>
                    <w:t xml:space="preserve">3.5</w:t>
                  </w:r>
                </w:p>
              </w:tc>
              <w:tc>
                <w:tcPr/>
                <w:p>
                  <w:pPr>
                    <w:pStyle w:val="Compact"/>
                    <w:jc w:val="left"/>
                    <w:jc w:val="center"/>
                  </w:pPr>
                  <w:r>
                    <w:t xml:space="preserve">kWh/liter</w:t>
                  </w:r>
                </w:p>
              </w:tc>
              <w:tc>
                <w:tcPr/>
                <w:p>
                  <w:pPr>
                    <w:pStyle w:val="Compact"/>
                    <w:jc w:val="left"/>
                    <w:jc w:val="center"/>
                  </w:pPr>
                  <w:r>
                    <w:t xml:space="preserve">2018 Island Electricity Data Book: Greater MalÃ© large gensets (&gt;5 MW). STELCO f…</w:t>
                  </w:r>
                </w:p>
              </w:tc>
            </w:tr>
            <w:tr>
              <w:tc>
                <w:tcPr/>
                <w:p>
                  <w:pPr>
                    <w:pStyle w:val="Compact"/>
                    <w:jc w:val="left"/>
                    <w:jc w:val="center"/>
                  </w:pPr>
                  <w:r>
                    <w:t xml:space="preserve">Outer Diesel Efficiency</w:t>
                  </w:r>
                </w:p>
              </w:tc>
              <w:tc>
                <w:tcPr/>
                <w:p>
                  <w:pPr>
                    <w:pStyle w:val="Compact"/>
                    <w:jc w:val="right"/>
                    <w:jc w:val="center"/>
                  </w:pPr>
                  <w:r>
                    <w:t xml:space="preserve">2.38</w:t>
                  </w:r>
                </w:p>
              </w:tc>
              <w:tc>
                <w:tcPr/>
                <w:p>
                  <w:pPr>
                    <w:pStyle w:val="Compact"/>
                    <w:jc w:val="left"/>
                    <w:jc w:val="center"/>
                  </w:pPr>
                  <w:r>
                    <w:t xml:space="preserve">2</w:t>
                  </w:r>
                </w:p>
              </w:tc>
              <w:tc>
                <w:tcPr/>
                <w:p>
                  <w:pPr>
                    <w:pStyle w:val="Compact"/>
                    <w:jc w:val="left"/>
                    <w:jc w:val="center"/>
                  </w:pPr>
                  <w:r>
                    <w:t xml:space="preserve">2.8</w:t>
                  </w:r>
                </w:p>
              </w:tc>
              <w:tc>
                <w:tcPr/>
                <w:p>
                  <w:pPr>
                    <w:pStyle w:val="Compact"/>
                    <w:jc w:val="left"/>
                    <w:jc w:val="center"/>
                  </w:pPr>
                  <w:r>
                    <w:t xml:space="preserve">kWh/liter</w:t>
                  </w:r>
                </w:p>
              </w:tc>
              <w:tc>
                <w:tcPr/>
                <w:p>
                  <w:pPr>
                    <w:pStyle w:val="Compact"/>
                    <w:jc w:val="left"/>
                    <w:jc w:val="center"/>
                  </w:pPr>
                  <w:r>
                    <w:t xml:space="preserve">Roadmap Â§4.1.2: outer islands avg 0.42 L/kWh = 2.38 kWh/L. Small gensets (&lt;500 …</w:t>
                  </w:r>
                </w:p>
              </w:tc>
            </w:tr>
            <w:tr>
              <w:tc>
                <w:tcPr/>
                <w:p>
                  <w:pPr>
                    <w:pStyle w:val="Compact"/>
                    <w:jc w:val="left"/>
                    <w:jc w:val="center"/>
                  </w:pPr>
                  <w:r>
                    <w:t xml:space="preserve">CO2 Emission Factor</w:t>
                  </w:r>
                </w:p>
              </w:tc>
              <w:tc>
                <w:tcPr/>
                <w:p>
                  <w:pPr>
                    <w:pStyle w:val="Compact"/>
                    <w:jc w:val="right"/>
                    <w:jc w:val="center"/>
                  </w:pPr>
                  <w:r>
                    <w:t xml:space="preserve">0.72</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kgCO2/kWh</w:t>
                  </w:r>
                </w:p>
              </w:tc>
              <w:tc>
                <w:tcPr/>
                <w:p>
                  <w:pPr>
                    <w:pStyle w:val="Compact"/>
                    <w:jc w:val="left"/>
                    <w:jc w:val="center"/>
                  </w:pPr>
                  <w:r>
                    <w:t xml:space="preserve">IPCC 2006 Guidelines</w:t>
                  </w:r>
                </w:p>
              </w:tc>
            </w:tr>
          </w:tbl>
          <w:p>
            <w:pPr>
              <w:pStyle w:val="Heading3"/>
              <w:jc w:val="center"/>
            </w:pPr>
            <w:bookmarkStart w:id="347" w:name="solar"/>
            <w:r>
              <w:t xml:space="preserve">14.1.5 Solar</w:t>
            </w:r>
            <w:bookmarkEnd w:id="347"/>
          </w:p>
          <w:tbl>
            <w:tblPr>
              <w:tblStyle w:val="Table"/>
              <w:tblW w:type="pct" w:w="5000"/>
              <w:tblLayout w:type="fixed"/>
              <w:tblLook w:firstRow="1" w:lastRow="0" w:firstColumn="0" w:lastColumn="0" w:noHBand="0" w:noVBand="0" w:val="0020"/>
            </w:tblPr>
            <w:tblGrid>
              <w:gridCol w:w="1501"/>
              <w:gridCol w:w="517"/>
              <w:gridCol w:w="362"/>
              <w:gridCol w:w="414"/>
              <w:gridCol w:w="828"/>
              <w:gridCol w:w="4296"/>
            </w:tblGrid>
            <w:tr>
              <w:trPr>
                <w:tblHeader w:val="on"/>
              </w:trPr>
              <w:tc>
                <w:tcPr/>
                <w:p>
                  <w:pPr>
                    <w:pStyle w:val="Compact"/>
                    <w:jc w:val="left"/>
                    <w:jc w:val="center"/>
                  </w:pPr>
                  <w:r>
                    <w:t xml:space="preserve">Parameter</w:t>
                  </w:r>
                </w:p>
              </w:tc>
              <w:tc>
                <w:tcPr/>
                <w:p>
                  <w:pPr>
                    <w:pStyle w:val="Compact"/>
                    <w:jc w:val="right"/>
                    <w:jc w:val="center"/>
                  </w:pPr>
                  <w:r>
                    <w:t xml:space="preserve">Value</w:t>
                  </w:r>
                </w:p>
              </w:tc>
              <w:tc>
                <w:tcPr/>
                <w:p>
                  <w:pPr>
                    <w:pStyle w:val="Compact"/>
                    <w:jc w:val="left"/>
                    <w:jc w:val="center"/>
                  </w:pPr>
                  <w:r>
                    <w:t xml:space="preserve">Low</w:t>
                  </w:r>
                </w:p>
              </w:tc>
              <w:tc>
                <w:tcPr/>
                <w:p>
                  <w:pPr>
                    <w:pStyle w:val="Compact"/>
                    <w:jc w:val="left"/>
                    <w:jc w:val="center"/>
                  </w:pPr>
                  <w:r>
                    <w:t xml:space="preserve">High</w:t>
                  </w:r>
                </w:p>
              </w:tc>
              <w:tc>
                <w:tcPr/>
                <w:p>
                  <w:pPr>
                    <w:pStyle w:val="Compact"/>
                    <w:jc w:val="left"/>
                    <w:jc w:val="center"/>
                  </w:pPr>
                  <w:r>
                    <w:t xml:space="preserve">Unit</w:t>
                  </w:r>
                </w:p>
              </w:tc>
              <w:tc>
                <w:tcPr/>
                <w:p>
                  <w:pPr>
                    <w:pStyle w:val="Compact"/>
                    <w:jc w:val="left"/>
                    <w:jc w:val="center"/>
                  </w:pPr>
                  <w:r>
                    <w:t xml:space="preserve">Source</w:t>
                  </w:r>
                </w:p>
              </w:tc>
            </w:tr>
            <w:tr>
              <w:tc>
                <w:tcPr/>
                <w:p>
                  <w:pPr>
                    <w:pStyle w:val="Compact"/>
                    <w:jc w:val="left"/>
                    <w:jc w:val="center"/>
                  </w:pPr>
                  <w:r>
                    <w:t xml:space="preserve">CAPEX 2026</w:t>
                  </w:r>
                </w:p>
              </w:tc>
              <w:tc>
                <w:tcPr/>
                <w:p>
                  <w:pPr>
                    <w:pStyle w:val="Compact"/>
                    <w:jc w:val="right"/>
                    <w:jc w:val="center"/>
                  </w:pPr>
                  <w:r>
                    <w:t xml:space="preserve">1500</w:t>
                  </w:r>
                </w:p>
              </w:tc>
              <w:tc>
                <w:tcPr/>
                <w:p>
                  <w:pPr>
                    <w:pStyle w:val="Compact"/>
                    <w:jc w:val="left"/>
                    <w:jc w:val="center"/>
                  </w:pPr>
                  <w:r>
                    <w:t xml:space="preserve">900</w:t>
                  </w:r>
                </w:p>
              </w:tc>
              <w:tc>
                <w:tcPr/>
                <w:p>
                  <w:pPr>
                    <w:pStyle w:val="Compact"/>
                    <w:jc w:val="left"/>
                    <w:jc w:val="center"/>
                  </w:pPr>
                  <w:r>
                    <w:t xml:space="preserve">2200</w:t>
                  </w:r>
                </w:p>
              </w:tc>
              <w:tc>
                <w:tcPr/>
                <w:p>
                  <w:pPr>
                    <w:pStyle w:val="Compact"/>
                    <w:jc w:val="left"/>
                    <w:jc w:val="center"/>
                  </w:pPr>
                  <w:r>
                    <w:t xml:space="preserve">USD/kW</w:t>
                  </w:r>
                </w:p>
              </w:tc>
              <w:tc>
                <w:tcPr/>
                <w:p>
                  <w:pPr>
                    <w:pStyle w:val="Compact"/>
                    <w:jc w:val="left"/>
                    <w:jc w:val="center"/>
                  </w:pPr>
                  <w:r>
                    <w:t xml:space="preserve">AIIB (2021) Maldives Solar Power Development P000377: $107.4M/36MW total project…</w:t>
                  </w:r>
                </w:p>
              </w:tc>
            </w:tr>
            <w:tr>
              <w:tc>
                <w:tcPr/>
                <w:p>
                  <w:pPr>
                    <w:pStyle w:val="Compact"/>
                    <w:jc w:val="left"/>
                    <w:jc w:val="center"/>
                  </w:pPr>
                  <w:r>
                    <w:t xml:space="preserve">CAPEX Annual Decline</w:t>
                  </w:r>
                </w:p>
              </w:tc>
              <w:tc>
                <w:tcPr/>
                <w:p>
                  <w:pPr>
                    <w:pStyle w:val="Compact"/>
                    <w:jc w:val="right"/>
                    <w:jc w:val="center"/>
                  </w:pPr>
                  <w:r>
                    <w:t xml:space="preserve">0.04</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%/year</w:t>
                  </w:r>
                </w:p>
              </w:tc>
              <w:tc>
                <w:tcPr/>
                <w:p>
                  <w:pPr>
                    <w:pStyle w:val="Compact"/>
                    <w:jc w:val="left"/>
                    <w:jc w:val="center"/>
                  </w:pPr>
                  <w:r>
                    <w:t xml:space="preserve">IRENA learning rates</w:t>
                  </w:r>
                </w:p>
              </w:tc>
            </w:tr>
            <w:tr>
              <w:tc>
                <w:tcPr/>
                <w:p>
                  <w:pPr>
                    <w:pStyle w:val="Compact"/>
                    <w:jc w:val="left"/>
                    <w:jc w:val="center"/>
                  </w:pPr>
                  <w:r>
                    <w:t xml:space="preserve">Learning Rate</w:t>
                  </w:r>
                </w:p>
              </w:tc>
              <w:tc>
                <w:tcPr/>
                <w:p>
                  <w:pPr>
                    <w:pStyle w:val="Compact"/>
                    <w:jc w:val="right"/>
                    <w:jc w:val="center"/>
                  </w:pPr>
                  <w:r>
                    <w:t xml:space="preserve">0.2</w:t>
                  </w:r>
                </w:p>
              </w:tc>
              <w:tc>
                <w:tcPr/>
                <w:p>
                  <w:pPr>
                    <w:pStyle w:val="Compact"/>
                    <w:jc w:val="left"/>
                    <w:jc w:val="center"/>
                  </w:pPr>
                  <w:r>
                    <w:t xml:space="preserve">0.15</w:t>
                  </w:r>
                </w:p>
              </w:tc>
              <w:tc>
                <w:tcPr/>
                <w:p>
                  <w:pPr>
                    <w:pStyle w:val="Compact"/>
                    <w:jc w:val="left"/>
                    <w:jc w:val="center"/>
                  </w:pPr>
                  <w:r>
                    <w:t xml:space="preserve">0.25</w:t>
                  </w:r>
                </w:p>
              </w:tc>
              <w:tc>
                <w:tcPr/>
                <w:p>
                  <w:pPr>
                    <w:pStyle w:val="Compact"/>
                    <w:jc w:val="left"/>
                    <w:jc w:val="center"/>
                  </w:pPr>
                  <w:r>
                    <w:t xml:space="preserve">ratio</w:t>
                  </w:r>
                </w:p>
              </w:tc>
              <w:tc>
                <w:tcPr/>
                <w:p>
                  <w:pPr>
                    <w:pStyle w:val="Compact"/>
                    <w:jc w:val="left"/>
                    <w:jc w:val="center"/>
                  </w:pPr>
                  <w:r>
                    <w:t xml:space="preserve">Wright (1936); Rubin et al. (2015) EEEP 3(2); IRENA (2024) RPGC Fig 3.1: solar 2…</w:t>
                  </w:r>
                </w:p>
              </w:tc>
            </w:tr>
            <w:tr>
              <w:tc>
                <w:tcPr/>
                <w:p>
                  <w:pPr>
                    <w:pStyle w:val="Compact"/>
                    <w:jc w:val="left"/>
                    <w:jc w:val="center"/>
                  </w:pPr>
                  <w:r>
                    <w:t xml:space="preserve">Global Cumulative GW 2026</w:t>
                  </w:r>
                </w:p>
              </w:tc>
              <w:tc>
                <w:tcPr/>
                <w:p>
                  <w:pPr>
                    <w:pStyle w:val="Compact"/>
                    <w:jc w:val="right"/>
                    <w:jc w:val="center"/>
                  </w:pPr>
                  <w:r>
                    <w:t xml:space="preserve">1500</w:t>
                  </w:r>
                </w:p>
              </w:tc>
              <w:tc>
                <w:tcPr/>
                <w:p>
                  <w:pPr>
                    <w:pStyle w:val="Compact"/>
                    <w:jc w:val="left"/>
                    <w:jc w:val="center"/>
                  </w:pPr>
                  <w:r>
                    <w:t xml:space="preserve">1200</w:t>
                  </w:r>
                </w:p>
              </w:tc>
              <w:tc>
                <w:tcPr/>
                <w:p>
                  <w:pPr>
                    <w:pStyle w:val="Compact"/>
                    <w:jc w:val="left"/>
                    <w:jc w:val="center"/>
                  </w:pPr>
                  <w:r>
                    <w:t xml:space="preserve">1800</w:t>
                  </w:r>
                </w:p>
              </w:tc>
              <w:tc>
                <w:tcPr/>
                <w:p>
                  <w:pPr>
                    <w:pStyle w:val="Compact"/>
                    <w:jc w:val="left"/>
                    <w:jc w:val="center"/>
                  </w:pPr>
                  <w:r>
                    <w:t xml:space="preserve">GW</w:t>
                  </w:r>
                </w:p>
              </w:tc>
              <w:tc>
                <w:tcPr/>
                <w:p>
                  <w:pPr>
                    <w:pStyle w:val="Compact"/>
                    <w:jc w:val="left"/>
                    <w:jc w:val="center"/>
                  </w:pPr>
                  <w:r>
                    <w:t xml:space="preserve">IRENA (2024) Renewable Capacity Statistics: 1419 GW end-2023 + ~300 GW/yr additi…</w:t>
                  </w:r>
                </w:p>
              </w:tc>
            </w:tr>
            <w:tr>
              <w:tc>
                <w:tcPr/>
                <w:p>
                  <w:pPr>
                    <w:pStyle w:val="Compact"/>
                    <w:jc w:val="left"/>
                    <w:jc w:val="center"/>
                  </w:pPr>
                  <w:r>
                    <w:t xml:space="preserve">Global Annual Addition GW</w:t>
                  </w:r>
                </w:p>
              </w:tc>
              <w:tc>
                <w:tcPr/>
                <w:p>
                  <w:pPr>
                    <w:pStyle w:val="Compact"/>
                    <w:jc w:val="right"/>
                    <w:jc w:val="center"/>
                  </w:pPr>
                  <w:r>
                    <w:t xml:space="preserve">350</w:t>
                  </w:r>
                </w:p>
              </w:tc>
              <w:tc>
                <w:tcPr/>
                <w:p>
                  <w:pPr>
                    <w:pStyle w:val="Compact"/>
                    <w:jc w:val="left"/>
                    <w:jc w:val="center"/>
                  </w:pPr>
                  <w:r>
                    <w:t xml:space="preserve">250</w:t>
                  </w:r>
                </w:p>
              </w:tc>
              <w:tc>
                <w:tcPr/>
                <w:p>
                  <w:pPr>
                    <w:pStyle w:val="Compact"/>
                    <w:jc w:val="left"/>
                    <w:jc w:val="center"/>
                  </w:pPr>
                  <w:r>
                    <w:t xml:space="preserve">450</w:t>
                  </w:r>
                </w:p>
              </w:tc>
              <w:tc>
                <w:tcPr/>
                <w:p>
                  <w:pPr>
                    <w:pStyle w:val="Compact"/>
                    <w:jc w:val="left"/>
                    <w:jc w:val="center"/>
                  </w:pPr>
                  <w:r>
                    <w:t xml:space="preserve">GW/year</w:t>
                  </w:r>
                </w:p>
              </w:tc>
              <w:tc>
                <w:tcPr/>
                <w:p>
                  <w:pPr>
                    <w:pStyle w:val="Compact"/>
                    <w:jc w:val="left"/>
                    <w:jc w:val="center"/>
                  </w:pPr>
                  <w:r>
                    <w:t xml:space="preserve">IRENA (2024); IEA WEO 2024: 420 GW in 2023, ~350 GW/yr forward trend</w:t>
                  </w:r>
                </w:p>
              </w:tc>
            </w:tr>
            <w:tr>
              <w:tc>
                <w:tcPr/>
                <w:p>
                  <w:pPr>
                    <w:pStyle w:val="Compact"/>
                    <w:jc w:val="left"/>
                    <w:jc w:val="center"/>
                  </w:pPr>
                  <w:r>
                    <w:t xml:space="preserve">OPEX (% of CAPEX)</w:t>
                  </w:r>
                </w:p>
              </w:tc>
              <w:tc>
                <w:tcPr/>
                <w:p>
                  <w:pPr>
                    <w:pStyle w:val="Compact"/>
                    <w:jc w:val="right"/>
                    <w:jc w:val="center"/>
                  </w:pPr>
                  <w:r>
                    <w:t xml:space="preserve">0.015</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IRENA RPGC 2024 Â§3.3: utility PV O&amp;M 1-2% of CAPEX/yr globally; NREL ATB 2024: …</w:t>
                  </w:r>
                </w:p>
              </w:tc>
            </w:tr>
            <w:tr>
              <w:tc>
                <w:tcPr/>
                <w:p>
                  <w:pPr>
                    <w:pStyle w:val="Compact"/>
                    <w:jc w:val="left"/>
                    <w:jc w:val="center"/>
                  </w:pPr>
                  <w:r>
                    <w:t xml:space="preserve">Capacity Factor</w:t>
                  </w:r>
                </w:p>
              </w:tc>
              <w:tc>
                <w:tcPr/>
                <w:p>
                  <w:pPr>
                    <w:pStyle w:val="Compact"/>
                    <w:jc w:val="right"/>
                    <w:jc w:val="center"/>
                  </w:pPr>
                  <w:r>
                    <w:t xml:space="preserve">0.175</w:t>
                  </w:r>
                </w:p>
              </w:tc>
              <w:tc>
                <w:tcPr/>
                <w:p>
                  <w:pPr>
                    <w:pStyle w:val="Compact"/>
                    <w:jc w:val="left"/>
                    <w:jc w:val="center"/>
                  </w:pPr>
                  <w:r>
                    <w:t xml:space="preserve">0.15</w:t>
                  </w:r>
                </w:p>
              </w:tc>
              <w:tc>
                <w:tcPr/>
                <w:p>
                  <w:pPr>
                    <w:pStyle w:val="Compact"/>
                    <w:jc w:val="left"/>
                    <w:jc w:val="center"/>
                  </w:pPr>
                  <w:r>
                    <w:t xml:space="preserve">0.22</w:t>
                  </w:r>
                </w:p>
              </w:tc>
              <w:tc>
                <w:tcPr/>
                <w:p>
                  <w:pPr>
                    <w:pStyle w:val="Compact"/>
                    <w:jc w:val="left"/>
                    <w:jc w:val="center"/>
                  </w:pPr>
                  <w:r>
                    <w:t xml:space="preserve">ratio</w:t>
                  </w:r>
                </w:p>
              </w:tc>
              <w:tc>
                <w:tcPr/>
                <w:p>
                  <w:pPr>
                    <w:pStyle w:val="Compact"/>
                    <w:jc w:val="left"/>
                    <w:jc w:val="center"/>
                  </w:pPr>
                  <w:r>
                    <w:t xml:space="preserve">World Bank/Solargis Maldives Atlas</w:t>
                  </w:r>
                </w:p>
              </w:tc>
            </w:tr>
            <w:tr>
              <w:tc>
                <w:tcPr/>
                <w:p>
                  <w:pPr>
                    <w:pStyle w:val="Compact"/>
                    <w:jc w:val="left"/>
                    <w:jc w:val="center"/>
                  </w:pPr>
                  <w:r>
                    <w:t xml:space="preserve">Lifetime</w:t>
                  </w:r>
                </w:p>
              </w:tc>
              <w:tc>
                <w:tcPr/>
                <w:p>
                  <w:pPr>
                    <w:pStyle w:val="Compact"/>
                    <w:jc w:val="right"/>
                    <w:jc w:val="center"/>
                  </w:pPr>
                  <w:r>
                    <w:t xml:space="preserve">30</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years</w:t>
                  </w:r>
                </w:p>
              </w:tc>
              <w:tc>
                <w:tcPr/>
                <w:p>
                  <w:pPr>
                    <w:pStyle w:val="Compact"/>
                    <w:jc w:val="left"/>
                    <w:jc w:val="center"/>
                  </w:pPr>
                  <w:r>
                    <w:t xml:space="preserve">IRENA RPGC 2024 Â§3.2: modern crystalline Si modules 25-30yr economic lifetime; …</w:t>
                  </w:r>
                </w:p>
              </w:tc>
            </w:tr>
            <w:tr>
              <w:tc>
                <w:tcPr/>
                <w:p>
                  <w:pPr>
                    <w:pStyle w:val="Compact"/>
                    <w:jc w:val="left"/>
                    <w:jc w:val="center"/>
                  </w:pPr>
                  <w:r>
                    <w:t xml:space="preserve">Degradation Rate</w:t>
                  </w:r>
                </w:p>
              </w:tc>
              <w:tc>
                <w:tcPr/>
                <w:p>
                  <w:pPr>
                    <w:pStyle w:val="Compact"/>
                    <w:jc w:val="right"/>
                    <w:jc w:val="center"/>
                  </w:pPr>
                  <w:r>
                    <w:t xml:space="preserve">0.005</w:t>
                  </w:r>
                </w:p>
              </w:tc>
              <w:tc>
                <w:tcPr/>
                <w:p>
                  <w:pPr>
                    <w:pStyle w:val="Compact"/>
                    <w:jc w:val="left"/>
                    <w:jc w:val="center"/>
                  </w:pPr>
                  <w:r>
                    <w:t xml:space="preserve">0.003</w:t>
                  </w:r>
                </w:p>
              </w:tc>
              <w:tc>
                <w:tcPr/>
                <w:p>
                  <w:pPr>
                    <w:pStyle w:val="Compact"/>
                    <w:jc w:val="left"/>
                    <w:jc w:val="center"/>
                  </w:pPr>
                  <w:r>
                    <w:t xml:space="preserve">0.008</w:t>
                  </w:r>
                </w:p>
              </w:tc>
              <w:tc>
                <w:tcPr/>
                <w:p>
                  <w:pPr>
                    <w:pStyle w:val="Compact"/>
                    <w:jc w:val="left"/>
                    <w:jc w:val="center"/>
                  </w:pPr>
                  <w:r>
                    <w:t xml:space="preserve">%/year</w:t>
                  </w:r>
                </w:p>
              </w:tc>
              <w:tc>
                <w:tcPr/>
                <w:p>
                  <w:pPr>
                    <w:pStyle w:val="Compact"/>
                    <w:jc w:val="left"/>
                    <w:jc w:val="center"/>
                  </w:pPr>
                  <w:r>
                    <w:t xml:space="preserve">Jordan &amp; Kurtz 2013 (NREL); IRENA RPGC 2024</w:t>
                  </w:r>
                </w:p>
              </w:tc>
            </w:tr>
            <w:tr>
              <w:tc>
                <w:tcPr/>
                <w:p>
                  <w:pPr>
                    <w:pStyle w:val="Compact"/>
                    <w:jc w:val="left"/>
                    <w:jc w:val="center"/>
                  </w:pPr>
                  <w:r>
                    <w:t xml:space="preserve">Lifecycle Emission Factor</w:t>
                  </w:r>
                </w:p>
              </w:tc>
              <w:tc>
                <w:tcPr/>
                <w:p>
                  <w:pPr>
                    <w:pStyle w:val="Compact"/>
                    <w:jc w:val="right"/>
                    <w:jc w:val="center"/>
                  </w:pPr>
                  <w:r>
                    <w:t xml:space="preserve">0.04</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kgCO2/kWh</w:t>
                  </w:r>
                </w:p>
              </w:tc>
              <w:tc>
                <w:tcPr/>
                <w:p>
                  <w:pPr>
                    <w:pStyle w:val="Compact"/>
                    <w:jc w:val="left"/>
                    <w:jc w:val="center"/>
                  </w:pPr>
                  <w:r>
                    <w:t xml:space="preserve">IPCC AR5 median for utility PV</w:t>
                  </w:r>
                </w:p>
              </w:tc>
            </w:tr>
            <w:tr>
              <w:tc>
                <w:tcPr/>
                <w:p>
                  <w:pPr>
                    <w:pStyle w:val="Compact"/>
                    <w:jc w:val="left"/>
                    <w:jc w:val="center"/>
                  </w:pPr>
                  <w:r>
                    <w:t xml:space="preserve">Temp Derating Coeff</w:t>
                  </w:r>
                </w:p>
              </w:tc>
              <w:tc>
                <w:tcPr/>
                <w:p>
                  <w:pPr>
                    <w:pStyle w:val="Compact"/>
                    <w:jc w:val="right"/>
                    <w:jc w:val="center"/>
                  </w:pPr>
                  <w:r>
                    <w:t xml:space="preserve">0.005</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/degC</w:t>
                  </w:r>
                </w:p>
              </w:tc>
              <w:tc>
                <w:tcPr/>
                <w:p>
                  <w:pPr>
                    <w:pStyle w:val="Compact"/>
                    <w:jc w:val="left"/>
                    <w:jc w:val="center"/>
                  </w:pPr>
                  <w:r>
                    <w:t xml:space="preserve">IEC 61215; GEP-OnSSET onsset.py L186</w:t>
                  </w:r>
                </w:p>
              </w:tc>
            </w:tr>
            <w:tr>
              <w:tc>
                <w:tcPr/>
                <w:p>
                  <w:pPr>
                    <w:pStyle w:val="Compact"/>
                    <w:jc w:val="left"/>
                    <w:jc w:val="center"/>
                  </w:pPr>
                  <w:r>
                    <w:t xml:space="preserve">NOCT Coeff</w:t>
                  </w:r>
                </w:p>
              </w:tc>
              <w:tc>
                <w:tcPr/>
                <w:p>
                  <w:pPr>
                    <w:pStyle w:val="Compact"/>
                    <w:jc w:val="right"/>
                    <w:jc w:val="center"/>
                  </w:pPr>
                  <w:r>
                    <w:t xml:space="preserve">25.6</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degC per kW/m2</w:t>
                  </w:r>
                </w:p>
              </w:tc>
              <w:tc>
                <w:tcPr/>
                <w:p>
                  <w:pPr>
                    <w:pStyle w:val="Compact"/>
                    <w:jc w:val="left"/>
                    <w:jc w:val="center"/>
                  </w:pPr>
                  <w:r>
                    <w:t xml:space="preserve">GEP-OnSSET onsset.py L247: t_cell = temp + 0.0256*ghi</w:t>
                  </w:r>
                </w:p>
              </w:tc>
            </w:tr>
            <w:tr>
              <w:tc>
                <w:tcPr/>
                <w:p>
                  <w:pPr>
                    <w:pStyle w:val="Compact"/>
                    <w:jc w:val="left"/>
                    <w:jc w:val="center"/>
                  </w:pPr>
                  <w:r>
                    <w:t xml:space="preserve">Default Ambient Temp</w:t>
                  </w:r>
                </w:p>
              </w:tc>
              <w:tc>
                <w:tcPr/>
                <w:p>
                  <w:pPr>
                    <w:pStyle w:val="Compact"/>
                    <w:jc w:val="right"/>
                    <w:jc w:val="center"/>
                  </w:pPr>
                  <w:r>
                    <w:t xml:space="preserve">28</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degC</w:t>
                  </w:r>
                </w:p>
              </w:tc>
              <w:tc>
                <w:tcPr/>
                <w:p>
                  <w:pPr>
                    <w:pStyle w:val="Compact"/>
                    <w:jc w:val="left"/>
                    <w:jc w:val="center"/>
                  </w:pPr>
                  <w:r>
                    <w:t xml:space="preserve">Maldives Meteorological Service: annual avg ~28Â°C; Global Solar Atlas confirms</w:t>
                  </w:r>
                </w:p>
              </w:tc>
            </w:tr>
            <w:tr>
              <w:tc>
                <w:tcPr/>
                <w:p>
                  <w:pPr>
                    <w:pStyle w:val="Compact"/>
                    <w:jc w:val="left"/>
                    <w:jc w:val="center"/>
                  </w:pPr>
                  <w:r>
                    <w:t xml:space="preserve">Default GHI</w:t>
                  </w:r>
                </w:p>
              </w:tc>
              <w:tc>
                <w:tcPr/>
                <w:p>
                  <w:pPr>
                    <w:pStyle w:val="Compact"/>
                    <w:jc w:val="right"/>
                    <w:jc w:val="center"/>
                  </w:pPr>
                  <w:r>
                    <w:t xml:space="preserve">5.55</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kWh/m2/day</w:t>
                  </w:r>
                </w:p>
              </w:tc>
              <w:tc>
                <w:tcPr/>
                <w:p>
                  <w:pPr>
                    <w:pStyle w:val="Compact"/>
                    <w:jc w:val="left"/>
                    <w:jc w:val="center"/>
                  </w:pPr>
                  <w:r>
                    <w:t xml:space="preserve">Global Solar Atlas: Maldives national avg GHI 5.49-5.60 kWh/mÂ²/day</w:t>
                  </w:r>
                </w:p>
              </w:tc>
            </w:tr>
            <w:tr>
              <w:tc>
                <w:tcPr/>
                <w:p>
                  <w:pPr>
                    <w:pStyle w:val="Compact"/>
                    <w:jc w:val="left"/>
                    <w:jc w:val="center"/>
                  </w:pPr>
                  <w:r>
                    <w:t xml:space="preserve">Max Land Fraction</w:t>
                  </w:r>
                </w:p>
              </w:tc>
              <w:tc>
                <w:tcPr/>
                <w:p>
                  <w:pPr>
                    <w:pStyle w:val="Compact"/>
                    <w:jc w:val="right"/>
                    <w:jc w:val="center"/>
                  </w:pPr>
                  <w:r>
                    <w:t xml:space="preserve">0.15</w:t>
                  </w:r>
                </w:p>
              </w:tc>
              <w:tc>
                <w:tcPr/>
                <w:p>
                  <w:pPr>
                    <w:pStyle w:val="Compact"/>
                    <w:jc w:val="left"/>
                    <w:jc w:val="center"/>
                  </w:pPr>
                  <w:r>
                    <w:t xml:space="preserve">0.1</w:t>
                  </w:r>
                </w:p>
              </w:tc>
              <w:tc>
                <w:tcPr/>
                <w:p>
                  <w:pPr>
                    <w:pStyle w:val="Compact"/>
                    <w:jc w:val="left"/>
                    <w:jc w:val="center"/>
                  </w:pPr>
                  <w:r>
                    <w:t xml:space="preserve">0.25</w:t>
                  </w:r>
                </w:p>
              </w:tc>
              <w:tc>
                <w:tcPr/>
                <w:p>
                  <w:pPr>
                    <w:pStyle w:val="Compact"/>
                    <w:jc w:val="left"/>
                    <w:jc w:val="center"/>
                  </w:pPr>
                  <w:r>
                    <w:t xml:space="preserve">fraction</w:t>
                  </w:r>
                </w:p>
              </w:tc>
              <w:tc>
                <w:tcPr/>
                <w:p>
                  <w:pPr>
                    <w:pStyle w:val="Compact"/>
                    <w:jc w:val="left"/>
                    <w:jc w:val="center"/>
                  </w:pPr>
                  <w:r>
                    <w:t xml:space="preserve">IMPROVEMENT_PLAN D20 analysis; typical urban planning 10-15%</w:t>
                  </w:r>
                </w:p>
              </w:tc>
            </w:tr>
            <w:tr>
              <w:tc>
                <w:tcPr/>
                <w:p>
                  <w:pPr>
                    <w:pStyle w:val="Compact"/>
                    <w:jc w:val="left"/>
                    <w:jc w:val="center"/>
                  </w:pPr>
                  <w:r>
                    <w:t xml:space="preserve">Area Per kW</w:t>
                  </w:r>
                </w:p>
              </w:tc>
              <w:tc>
                <w:tcPr/>
                <w:p>
                  <w:pPr>
                    <w:pStyle w:val="Compact"/>
                    <w:jc w:val="right"/>
                    <w:jc w:val="center"/>
                  </w:pPr>
                  <w:r>
                    <w:t xml:space="preserve">7</w:t>
                  </w:r>
                </w:p>
              </w:tc>
              <w:tc>
                <w:tcPr/>
                <w:p>
                  <w:pPr>
                    <w:pStyle w:val="Compact"/>
                    <w:jc w:val="left"/>
                    <w:jc w:val="center"/>
                  </w:pPr>
                  <w:r>
                    <w:t xml:space="preserve">5</w:t>
                  </w:r>
                </w:p>
              </w:tc>
              <w:tc>
                <w:tcPr/>
                <w:p>
                  <w:pPr>
                    <w:pStyle w:val="Compact"/>
                    <w:jc w:val="left"/>
                    <w:jc w:val="center"/>
                  </w:pPr>
                  <w:r>
                    <w:t xml:space="preserve">10</w:t>
                  </w:r>
                </w:p>
              </w:tc>
              <w:tc>
                <w:tcPr/>
                <w:p>
                  <w:pPr>
                    <w:pStyle w:val="Compact"/>
                    <w:jc w:val="left"/>
                    <w:jc w:val="center"/>
                  </w:pPr>
                  <w:r>
                    <w:t xml:space="preserve">m2/kW</w:t>
                  </w:r>
                </w:p>
              </w:tc>
              <w:tc>
                <w:tcPr/>
                <w:p>
                  <w:pPr>
                    <w:pStyle w:val="Compact"/>
                    <w:jc w:val="left"/>
                    <w:jc w:val="center"/>
                  </w:pPr>
                  <w:r>
                    <w:t xml:space="preserve">IRENA RPGC 2024; standard utility-scale ground-mount spacing</w:t>
                  </w:r>
                </w:p>
              </w:tc>
            </w:tr>
            <w:tr>
              <w:tc>
                <w:tcPr/>
                <w:p>
                  <w:pPr>
                    <w:pStyle w:val="Compact"/>
                    <w:jc w:val="left"/>
                    <w:jc w:val="center"/>
                  </w:pPr>
                  <w:r>
                    <w:t xml:space="preserve">Total Inhabited Island Area</w:t>
                  </w:r>
                </w:p>
              </w:tc>
              <w:tc>
                <w:tcPr/>
                <w:p>
                  <w:pPr>
                    <w:pStyle w:val="Compact"/>
                    <w:jc w:val="right"/>
                    <w:jc w:val="center"/>
                  </w:pPr>
                  <w:r>
                    <w:t xml:space="preserve">134.09</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km2</w:t>
                  </w:r>
                </w:p>
              </w:tc>
              <w:tc>
                <w:tcPr/>
                <w:p>
                  <w:pPr>
                    <w:pStyle w:val="Compact"/>
                    <w:jc w:val="left"/>
                    <w:jc w:val="center"/>
                  </w:pPr>
                  <w:r>
                    <w:t xml:space="preserve">islands_master.csv (176 inhabited islands; COD-AB + Census 2022)</w:t>
                  </w:r>
                </w:p>
              </w:tc>
            </w:tr>
          </w:tbl>
          <w:p>
            <w:pPr>
              <w:pStyle w:val="Heading3"/>
              <w:jc w:val="center"/>
            </w:pPr>
            <w:bookmarkStart w:id="348" w:name="battery"/>
            <w:r>
              <w:t xml:space="preserve">14.1.6 Battery</w:t>
            </w:r>
            <w:bookmarkEnd w:id="348"/>
          </w:p>
          <w:tbl>
            <w:tblPr>
              <w:tblStyle w:val="Table"/>
              <w:tblW w:type="pct" w:w="5000"/>
              <w:tblLayout w:type="fixed"/>
              <w:tblLook w:firstRow="1" w:lastRow="0" w:firstColumn="0" w:lastColumn="0" w:noHBand="0" w:noVBand="0" w:val="0020"/>
            </w:tblPr>
            <w:tblGrid>
              <w:gridCol w:w="1488"/>
              <w:gridCol w:w="478"/>
              <w:gridCol w:w="372"/>
              <w:gridCol w:w="425"/>
              <w:gridCol w:w="744"/>
              <w:gridCol w:w="4411"/>
            </w:tblGrid>
            <w:tr>
              <w:trPr>
                <w:tblHeader w:val="on"/>
              </w:trPr>
              <w:tc>
                <w:tcPr/>
                <w:p>
                  <w:pPr>
                    <w:pStyle w:val="Compact"/>
                    <w:jc w:val="left"/>
                    <w:jc w:val="center"/>
                  </w:pPr>
                  <w:r>
                    <w:t xml:space="preserve">Parameter</w:t>
                  </w:r>
                </w:p>
              </w:tc>
              <w:tc>
                <w:tcPr/>
                <w:p>
                  <w:pPr>
                    <w:pStyle w:val="Compact"/>
                    <w:jc w:val="right"/>
                    <w:jc w:val="center"/>
                  </w:pPr>
                  <w:r>
                    <w:t xml:space="preserve">Value</w:t>
                  </w:r>
                </w:p>
              </w:tc>
              <w:tc>
                <w:tcPr/>
                <w:p>
                  <w:pPr>
                    <w:pStyle w:val="Compact"/>
                    <w:jc w:val="left"/>
                    <w:jc w:val="center"/>
                  </w:pPr>
                  <w:r>
                    <w:t xml:space="preserve">Low</w:t>
                  </w:r>
                </w:p>
              </w:tc>
              <w:tc>
                <w:tcPr/>
                <w:p>
                  <w:pPr>
                    <w:pStyle w:val="Compact"/>
                    <w:jc w:val="left"/>
                    <w:jc w:val="center"/>
                  </w:pPr>
                  <w:r>
                    <w:t xml:space="preserve">High</w:t>
                  </w:r>
                </w:p>
              </w:tc>
              <w:tc>
                <w:tcPr/>
                <w:p>
                  <w:pPr>
                    <w:pStyle w:val="Compact"/>
                    <w:jc w:val="left"/>
                    <w:jc w:val="center"/>
                  </w:pPr>
                  <w:r>
                    <w:t xml:space="preserve">Unit</w:t>
                  </w:r>
                </w:p>
              </w:tc>
              <w:tc>
                <w:tcPr/>
                <w:p>
                  <w:pPr>
                    <w:pStyle w:val="Compact"/>
                    <w:jc w:val="left"/>
                    <w:jc w:val="center"/>
                  </w:pPr>
                  <w:r>
                    <w:t xml:space="preserve">Source</w:t>
                  </w:r>
                </w:p>
              </w:tc>
            </w:tr>
            <w:tr>
              <w:tc>
                <w:tcPr/>
                <w:p>
                  <w:pPr>
                    <w:pStyle w:val="Compact"/>
                    <w:jc w:val="left"/>
                    <w:jc w:val="center"/>
                  </w:pPr>
                  <w:r>
                    <w:t xml:space="preserve">CAPEX 2026</w:t>
                  </w:r>
                </w:p>
              </w:tc>
              <w:tc>
                <w:tcPr/>
                <w:p>
                  <w:pPr>
                    <w:pStyle w:val="Compact"/>
                    <w:jc w:val="right"/>
                    <w:jc w:val="center"/>
                  </w:pPr>
                  <w:r>
                    <w:t xml:space="preserve">350</w:t>
                  </w:r>
                </w:p>
              </w:tc>
              <w:tc>
                <w:tcPr/>
                <w:p>
                  <w:pPr>
                    <w:pStyle w:val="Compact"/>
                    <w:jc w:val="left"/>
                    <w:jc w:val="center"/>
                  </w:pPr>
                  <w:r>
                    <w:t xml:space="preserve">200</w:t>
                  </w:r>
                </w:p>
              </w:tc>
              <w:tc>
                <w:tcPr/>
                <w:p>
                  <w:pPr>
                    <w:pStyle w:val="Compact"/>
                    <w:jc w:val="left"/>
                    <w:jc w:val="center"/>
                  </w:pPr>
                  <w:r>
                    <w:t xml:space="preserve">500</w:t>
                  </w:r>
                </w:p>
              </w:tc>
              <w:tc>
                <w:tcPr/>
                <w:p>
                  <w:pPr>
                    <w:pStyle w:val="Compact"/>
                    <w:jc w:val="left"/>
                    <w:jc w:val="center"/>
                  </w:pPr>
                  <w:r>
                    <w:t xml:space="preserve">USD/kWh</w:t>
                  </w:r>
                </w:p>
              </w:tc>
              <w:tc>
                <w:tcPr/>
                <w:p>
                  <w:pPr>
                    <w:pStyle w:val="Compact"/>
                    <w:jc w:val="left"/>
                    <w:jc w:val="center"/>
                  </w:pPr>
                  <w:r>
                    <w:t xml:space="preserve">AIIB (2021) Maldives Solar P000377: $23-25M CTF for 50 MWh BESS = $460-500/kWh t…</w:t>
                  </w:r>
                </w:p>
              </w:tc>
            </w:tr>
            <w:tr>
              <w:tc>
                <w:tcPr/>
                <w:p>
                  <w:pPr>
                    <w:pStyle w:val="Compact"/>
                    <w:jc w:val="left"/>
                    <w:jc w:val="center"/>
                  </w:pPr>
                  <w:r>
                    <w:t xml:space="preserve">CAPEX Annual Decline</w:t>
                  </w:r>
                </w:p>
              </w:tc>
              <w:tc>
                <w:tcPr/>
                <w:p>
                  <w:pPr>
                    <w:pStyle w:val="Compact"/>
                    <w:jc w:val="right"/>
                    <w:jc w:val="center"/>
                  </w:pPr>
                  <w:r>
                    <w:t xml:space="preserve">0.06</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%/year</w:t>
                  </w:r>
                </w:p>
              </w:tc>
              <w:tc>
                <w:tcPr/>
                <w:p>
                  <w:pPr>
                    <w:pStyle w:val="Compact"/>
                    <w:jc w:val="left"/>
                    <w:jc w:val="center"/>
                  </w:pPr>
                  <w:r>
                    <w:t xml:space="preserve">BNEF/NREL 2025 projections</w:t>
                  </w:r>
                </w:p>
              </w:tc>
            </w:tr>
            <w:tr>
              <w:tc>
                <w:tcPr/>
                <w:p>
                  <w:pPr>
                    <w:pStyle w:val="Compact"/>
                    <w:jc w:val="left"/>
                    <w:jc w:val="center"/>
                  </w:pPr>
                  <w:r>
                    <w:t xml:space="preserve">Learning Rate</w:t>
                  </w:r>
                </w:p>
              </w:tc>
              <w:tc>
                <w:tcPr/>
                <w:p>
                  <w:pPr>
                    <w:pStyle w:val="Compact"/>
                    <w:jc w:val="right"/>
                    <w:jc w:val="center"/>
                  </w:pPr>
                  <w:r>
                    <w:t xml:space="preserve">0.18</w:t>
                  </w:r>
                </w:p>
              </w:tc>
              <w:tc>
                <w:tcPr/>
                <w:p>
                  <w:pPr>
                    <w:pStyle w:val="Compact"/>
                    <w:jc w:val="left"/>
                    <w:jc w:val="center"/>
                  </w:pPr>
                  <w:r>
                    <w:t xml:space="preserve">0.12</w:t>
                  </w:r>
                </w:p>
              </w:tc>
              <w:tc>
                <w:tcPr/>
                <w:p>
                  <w:pPr>
                    <w:pStyle w:val="Compact"/>
                    <w:jc w:val="left"/>
                    <w:jc w:val="center"/>
                  </w:pPr>
                  <w:r>
                    <w:t xml:space="preserve">0.22</w:t>
                  </w:r>
                </w:p>
              </w:tc>
              <w:tc>
                <w:tcPr/>
                <w:p>
                  <w:pPr>
                    <w:pStyle w:val="Compact"/>
                    <w:jc w:val="left"/>
                    <w:jc w:val="center"/>
                  </w:pPr>
                  <w:r>
                    <w:t xml:space="preserve">ratio</w:t>
                  </w:r>
                </w:p>
              </w:tc>
              <w:tc>
                <w:tcPr/>
                <w:p>
                  <w:pPr>
                    <w:pStyle w:val="Compact"/>
                    <w:jc w:val="left"/>
                    <w:jc w:val="center"/>
                  </w:pPr>
                  <w:r>
                    <w:t xml:space="preserve">Ziegler &amp; Trancik (2021) Energy Policy 151; BNEF (2023) battery price survey: 18…</w:t>
                  </w:r>
                </w:p>
              </w:tc>
            </w:tr>
            <w:tr>
              <w:tc>
                <w:tcPr/>
                <w:p>
                  <w:pPr>
                    <w:pStyle w:val="Compact"/>
                    <w:jc w:val="left"/>
                    <w:jc w:val="center"/>
                  </w:pPr>
                  <w:r>
                    <w:t xml:space="preserve">Global Cumulative GWh 2026</w:t>
                  </w:r>
                </w:p>
              </w:tc>
              <w:tc>
                <w:tcPr/>
                <w:p>
                  <w:pPr>
                    <w:pStyle w:val="Compact"/>
                    <w:jc w:val="right"/>
                    <w:jc w:val="center"/>
                  </w:pPr>
                  <w:r>
                    <w:t xml:space="preserve">500</w:t>
                  </w:r>
                </w:p>
              </w:tc>
              <w:tc>
                <w:tcPr/>
                <w:p>
                  <w:pPr>
                    <w:pStyle w:val="Compact"/>
                    <w:jc w:val="left"/>
                    <w:jc w:val="center"/>
                  </w:pPr>
                  <w:r>
                    <w:t xml:space="preserve">350</w:t>
                  </w:r>
                </w:p>
              </w:tc>
              <w:tc>
                <w:tcPr/>
                <w:p>
                  <w:pPr>
                    <w:pStyle w:val="Compact"/>
                    <w:jc w:val="left"/>
                    <w:jc w:val="center"/>
                  </w:pPr>
                  <w:r>
                    <w:t xml:space="preserve">700</w:t>
                  </w:r>
                </w:p>
              </w:tc>
              <w:tc>
                <w:tcPr/>
                <w:p>
                  <w:pPr>
                    <w:pStyle w:val="Compact"/>
                    <w:jc w:val="left"/>
                    <w:jc w:val="center"/>
                  </w:pPr>
                  <w:r>
                    <w:t xml:space="preserve">GWh</w:t>
                  </w:r>
                </w:p>
              </w:tc>
              <w:tc>
                <w:tcPr/>
                <w:p>
                  <w:pPr>
                    <w:pStyle w:val="Compact"/>
                    <w:jc w:val="left"/>
                    <w:jc w:val="center"/>
                  </w:pPr>
                  <w:r>
                    <w:t xml:space="preserve">BNEF (2025) Global Energy Storage Outlook: ~450 GWh deployed end-2024 + growth</w:t>
                  </w:r>
                </w:p>
              </w:tc>
            </w:tr>
            <w:tr>
              <w:tc>
                <w:tcPr/>
                <w:p>
                  <w:pPr>
                    <w:pStyle w:val="Compact"/>
                    <w:jc w:val="left"/>
                    <w:jc w:val="center"/>
                  </w:pPr>
                  <w:r>
                    <w:t xml:space="preserve">Global Annual Addition GWh</w:t>
                  </w:r>
                </w:p>
              </w:tc>
              <w:tc>
                <w:tcPr/>
                <w:p>
                  <w:pPr>
                    <w:pStyle w:val="Compact"/>
                    <w:jc w:val="right"/>
                    <w:jc w:val="center"/>
                  </w:pPr>
                  <w:r>
                    <w:t xml:space="preserve">200</w:t>
                  </w:r>
                </w:p>
              </w:tc>
              <w:tc>
                <w:tcPr/>
                <w:p>
                  <w:pPr>
                    <w:pStyle w:val="Compact"/>
                    <w:jc w:val="left"/>
                    <w:jc w:val="center"/>
                  </w:pPr>
                  <w:r>
                    <w:t xml:space="preserve">120</w:t>
                  </w:r>
                </w:p>
              </w:tc>
              <w:tc>
                <w:tcPr/>
                <w:p>
                  <w:pPr>
                    <w:pStyle w:val="Compact"/>
                    <w:jc w:val="left"/>
                    <w:jc w:val="center"/>
                  </w:pPr>
                  <w:r>
                    <w:t xml:space="preserve">300</w:t>
                  </w:r>
                </w:p>
              </w:tc>
              <w:tc>
                <w:tcPr/>
                <w:p>
                  <w:pPr>
                    <w:pStyle w:val="Compact"/>
                    <w:jc w:val="left"/>
                    <w:jc w:val="center"/>
                  </w:pPr>
                  <w:r>
                    <w:t xml:space="preserve">GWh/year</w:t>
                  </w:r>
                </w:p>
              </w:tc>
              <w:tc>
                <w:tcPr/>
                <w:p>
                  <w:pPr>
                    <w:pStyle w:val="Compact"/>
                    <w:jc w:val="left"/>
                    <w:jc w:val="center"/>
                  </w:pPr>
                  <w:r>
                    <w:t xml:space="preserve">BNEF (2025); IEA GEVO 2024: 192 GWh added in 2024</w:t>
                  </w:r>
                </w:p>
              </w:tc>
            </w:tr>
            <w:tr>
              <w:tc>
                <w:tcPr/>
                <w:p>
                  <w:pPr>
                    <w:pStyle w:val="Compact"/>
                    <w:jc w:val="left"/>
                    <w:jc w:val="center"/>
                  </w:pPr>
                  <w:r>
                    <w:t xml:space="preserve">OPEX</w:t>
                  </w:r>
                </w:p>
              </w:tc>
              <w:tc>
                <w:tcPr/>
                <w:p>
                  <w:pPr>
                    <w:pStyle w:val="Compact"/>
                    <w:jc w:val="right"/>
                    <w:jc w:val="center"/>
                  </w:pPr>
                  <w:r>
                    <w:t xml:space="preserve">5</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USD/kWh/year</w:t>
                  </w:r>
                </w:p>
              </w:tc>
              <w:tc>
                <w:tcPr/>
                <w:p>
                  <w:pPr>
                    <w:pStyle w:val="Compact"/>
                    <w:jc w:val="left"/>
                    <w:jc w:val="center"/>
                  </w:pPr>
                  <w:r>
                    <w:t xml:space="preserve">Ember LCOS model 2025</w:t>
                  </w:r>
                </w:p>
              </w:tc>
            </w:tr>
            <w:tr>
              <w:tc>
                <w:tcPr/>
                <w:p>
                  <w:pPr>
                    <w:pStyle w:val="Compact"/>
                    <w:jc w:val="left"/>
                    <w:jc w:val="center"/>
                  </w:pPr>
                  <w:r>
                    <w:t xml:space="preserve">Round-trip Efficiency</w:t>
                  </w:r>
                </w:p>
              </w:tc>
              <w:tc>
                <w:tcPr/>
                <w:p>
                  <w:pPr>
                    <w:pStyle w:val="Compact"/>
                    <w:jc w:val="right"/>
                    <w:jc w:val="center"/>
                  </w:pPr>
                  <w:r>
                    <w:t xml:space="preserve">0.88</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ratio</w:t>
                  </w:r>
                </w:p>
              </w:tc>
              <w:tc>
                <w:tcPr/>
                <w:p>
                  <w:pPr>
                    <w:pStyle w:val="Compact"/>
                    <w:jc w:val="left"/>
                    <w:jc w:val="center"/>
                  </w:pPr>
                  <w:r>
                    <w:t xml:space="preserve">LFP battery specs 2025</w:t>
                  </w:r>
                </w:p>
              </w:tc>
            </w:tr>
            <w:tr>
              <w:tc>
                <w:tcPr/>
                <w:p>
                  <w:pPr>
                    <w:pStyle w:val="Compact"/>
                    <w:jc w:val="left"/>
                    <w:jc w:val="center"/>
                  </w:pPr>
                  <w:r>
                    <w:t xml:space="preserve">Lifetime</w:t>
                  </w:r>
                </w:p>
              </w:tc>
              <w:tc>
                <w:tcPr/>
                <w:p>
                  <w:pPr>
                    <w:pStyle w:val="Compact"/>
                    <w:jc w:val="right"/>
                    <w:jc w:val="center"/>
                  </w:pPr>
                  <w:r>
                    <w:t xml:space="preserve">15</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years</w:t>
                  </w:r>
                </w:p>
              </w:tc>
              <w:tc>
                <w:tcPr/>
                <w:p>
                  <w:pPr>
                    <w:pStyle w:val="Compact"/>
                    <w:jc w:val="left"/>
                    <w:jc w:val="center"/>
                  </w:pPr>
                  <w:r>
                    <w:t xml:space="preserve">BNEF; manufacturer specs</w:t>
                  </w:r>
                </w:p>
              </w:tc>
            </w:tr>
            <w:tr>
              <w:tc>
                <w:tcPr/>
                <w:p>
                  <w:pPr>
                    <w:pStyle w:val="Compact"/>
                    <w:jc w:val="left"/>
                    <w:jc w:val="center"/>
                  </w:pPr>
                  <w:r>
                    <w:t xml:space="preserve">Storage Hours</w:t>
                  </w:r>
                </w:p>
              </w:tc>
              <w:tc>
                <w:tcPr/>
                <w:p>
                  <w:pPr>
                    <w:pStyle w:val="Compact"/>
                    <w:jc w:val="right"/>
                    <w:jc w:val="center"/>
                  </w:pPr>
                  <w:r>
                    <w:t xml:space="preserve">4</w:t>
                  </w:r>
                </w:p>
              </w:tc>
              <w:tc>
                <w:tcPr/>
                <w:p>
                  <w:pPr>
                    <w:pStyle w:val="Compact"/>
                    <w:jc w:val="left"/>
                    <w:jc w:val="center"/>
                  </w:pPr>
                  <w:r>
                    <w:t xml:space="preserve">3</w:t>
                  </w:r>
                </w:p>
              </w:tc>
              <w:tc>
                <w:tcPr/>
                <w:p>
                  <w:pPr>
                    <w:pStyle w:val="Compact"/>
                    <w:jc w:val="left"/>
                    <w:jc w:val="center"/>
                  </w:pPr>
                  <w:r>
                    <w:t xml:space="preserve">6</w:t>
                  </w:r>
                </w:p>
              </w:tc>
              <w:tc>
                <w:tcPr/>
                <w:p>
                  <w:pPr>
                    <w:pStyle w:val="Compact"/>
                    <w:jc w:val="left"/>
                    <w:jc w:val="center"/>
                  </w:pPr>
                  <w:r>
                    <w:t xml:space="preserve">hours</w:t>
                  </w:r>
                </w:p>
              </w:tc>
              <w:tc>
                <w:tcPr/>
                <w:p>
                  <w:pPr>
                    <w:pStyle w:val="Compact"/>
                    <w:jc w:val="left"/>
                    <w:jc w:val="center"/>
                  </w:pPr>
                  <w:r>
                    <w:t xml:space="preserve">IRENA Innovation Outlook BESS 2023; NREL ATB 2024</w:t>
                  </w:r>
                </w:p>
              </w:tc>
            </w:tr>
          </w:tbl>
          <w:p>
            <w:pPr>
              <w:pStyle w:val="Heading3"/>
              <w:jc w:val="center"/>
            </w:pPr>
            <w:bookmarkStart w:id="349" w:name="diesel-gen"/>
            <w:r>
              <w:t xml:space="preserve">14.1.7 Diesel Gen</w:t>
            </w:r>
            <w:bookmarkEnd w:id="349"/>
          </w:p>
          <w:tbl>
            <w:tblPr>
              <w:tblStyle w:val="Table"/>
              <w:tblW w:type="pct" w:w="5000"/>
              <w:tblLayout w:type="fixed"/>
              <w:tblLook w:firstRow="1" w:lastRow="0" w:firstColumn="0" w:lastColumn="0" w:noHBand="0" w:noVBand="0" w:val="0020"/>
            </w:tblPr>
            <w:tblGrid>
              <w:gridCol w:w="780"/>
              <w:gridCol w:w="540"/>
              <w:gridCol w:w="540"/>
              <w:gridCol w:w="540"/>
              <w:gridCol w:w="540"/>
              <w:gridCol w:w="4980"/>
            </w:tblGrid>
            <w:tr>
              <w:trPr>
                <w:tblHeader w:val="on"/>
              </w:trPr>
              <w:tc>
                <w:tcPr/>
                <w:p>
                  <w:pPr>
                    <w:pStyle w:val="Compact"/>
                    <w:jc w:val="left"/>
                    <w:jc w:val="center"/>
                  </w:pPr>
                  <w:r>
                    <w:t xml:space="preserve">Parameter</w:t>
                  </w:r>
                </w:p>
              </w:tc>
              <w:tc>
                <w:tcPr/>
                <w:p>
                  <w:pPr>
                    <w:pStyle w:val="Compact"/>
                    <w:jc w:val="right"/>
                    <w:jc w:val="center"/>
                  </w:pPr>
                  <w:r>
                    <w:t xml:space="preserve">Value</w:t>
                  </w:r>
                </w:p>
              </w:tc>
              <w:tc>
                <w:tcPr/>
                <w:p>
                  <w:pPr>
                    <w:pStyle w:val="Compact"/>
                    <w:jc w:val="right"/>
                    <w:jc w:val="center"/>
                  </w:pPr>
                  <w:r>
                    <w:t xml:space="preserve">Low</w:t>
                  </w:r>
                </w:p>
              </w:tc>
              <w:tc>
                <w:tcPr/>
                <w:p>
                  <w:pPr>
                    <w:pStyle w:val="Compact"/>
                    <w:jc w:val="right"/>
                    <w:jc w:val="center"/>
                  </w:pPr>
                  <w:r>
                    <w:t xml:space="preserve">High</w:t>
                  </w:r>
                </w:p>
              </w:tc>
              <w:tc>
                <w:tcPr/>
                <w:p>
                  <w:pPr>
                    <w:pStyle w:val="Compact"/>
                    <w:jc w:val="left"/>
                    <w:jc w:val="center"/>
                  </w:pPr>
                  <w:r>
                    <w:t xml:space="preserve">Unit</w:t>
                  </w:r>
                </w:p>
              </w:tc>
              <w:tc>
                <w:tcPr/>
                <w:p>
                  <w:pPr>
                    <w:pStyle w:val="Compact"/>
                    <w:jc w:val="left"/>
                    <w:jc w:val="center"/>
                  </w:pPr>
                  <w:r>
                    <w:t xml:space="preserve">Source</w:t>
                  </w:r>
                </w:p>
              </w:tc>
            </w:tr>
            <w:tr>
              <w:tc>
                <w:tcPr/>
                <w:p>
                  <w:pPr>
                    <w:pStyle w:val="Compact"/>
                    <w:jc w:val="left"/>
                    <w:jc w:val="center"/>
                  </w:pPr>
                  <w:r>
                    <w:t xml:space="preserve">CAPEX</w:t>
                  </w:r>
                </w:p>
              </w:tc>
              <w:tc>
                <w:tcPr/>
                <w:p>
                  <w:pPr>
                    <w:pStyle w:val="Compact"/>
                    <w:jc w:val="right"/>
                    <w:jc w:val="center"/>
                  </w:pPr>
                  <w:r>
                    <w:t xml:space="preserve">800</w:t>
                  </w:r>
                </w:p>
              </w:tc>
              <w:tc>
                <w:tcPr/>
                <w:p>
                  <w:pPr>
                    <w:pStyle w:val="Compact"/>
                    <w:jc w:val="right"/>
                    <w:jc w:val="center"/>
                  </w:pPr>
                  <w:r>
                    <w:t xml:space="preserve">600</w:t>
                  </w:r>
                </w:p>
              </w:tc>
              <w:tc>
                <w:tcPr/>
                <w:p>
                  <w:pPr>
                    <w:pStyle w:val="Compact"/>
                    <w:jc w:val="right"/>
                    <w:jc w:val="center"/>
                  </w:pPr>
                  <w:r>
                    <w:t xml:space="preserve">1200</w:t>
                  </w:r>
                </w:p>
              </w:tc>
              <w:tc>
                <w:tcPr/>
                <w:p>
                  <w:pPr>
                    <w:pStyle w:val="Compact"/>
                    <w:jc w:val="left"/>
                    <w:jc w:val="center"/>
                  </w:pPr>
                  <w:r>
                    <w:t xml:space="preserve">USD/kW</w:t>
                  </w:r>
                </w:p>
              </w:tc>
              <w:tc>
                <w:tcPr/>
                <w:p>
                  <w:pPr>
                    <w:pStyle w:val="Compact"/>
                    <w:jc w:val="left"/>
                    <w:jc w:val="center"/>
                  </w:pPr>
                  <w:r>
                    <w:t xml:space="preserve">EIA AEO 2025 Capital Cost &amp; Performance (Table 5: Combustion Turbine/Diesel); US…</w:t>
                  </w:r>
                </w:p>
              </w:tc>
            </w:tr>
            <w:tr>
              <w:tc>
                <w:tcPr/>
                <w:p>
                  <w:pPr>
                    <w:pStyle w:val="Compact"/>
                    <w:jc w:val="left"/>
                    <w:jc w:val="center"/>
                  </w:pPr>
                  <w:r>
                    <w:t xml:space="preserve">OPEX</w:t>
                  </w:r>
                </w:p>
              </w:tc>
              <w:tc>
                <w:tcPr/>
                <w:p>
                  <w:pPr>
                    <w:pStyle w:val="Compact"/>
                    <w:jc w:val="right"/>
                    <w:jc w:val="center"/>
                  </w:pPr>
                  <w:r>
                    <w:t xml:space="preserve">0.025</w:t>
                  </w:r>
                </w:p>
              </w:tc>
              <w:tc>
                <w:tcPr/>
                <w:p>
                  <w:pPr>
                    <w:pStyle w:val="Compact"/>
                    <w:jc w:val="right"/>
                    <w:jc w:val="center"/>
                  </w:pPr>
                  <w:r>
                    <w:t xml:space="preserve">0.015</w:t>
                  </w:r>
                </w:p>
              </w:tc>
              <w:tc>
                <w:tcPr/>
                <w:p>
                  <w:pPr>
                    <w:pStyle w:val="Compact"/>
                    <w:jc w:val="right"/>
                    <w:jc w:val="center"/>
                  </w:pPr>
                  <w:r>
                    <w:t xml:space="preserve">0.04</w:t>
                  </w:r>
                </w:p>
              </w:tc>
              <w:tc>
                <w:tcPr/>
                <w:p>
                  <w:pPr>
                    <w:pStyle w:val="Compact"/>
                    <w:jc w:val="left"/>
                    <w:jc w:val="center"/>
                  </w:pPr>
                  <w:r>
                    <w:t xml:space="preserve">USD/kWh</w:t>
                  </w:r>
                </w:p>
              </w:tc>
              <w:tc>
                <w:tcPr/>
                <w:p>
                  <w:pPr>
                    <w:pStyle w:val="Compact"/>
                    <w:jc w:val="left"/>
                    <w:jc w:val="center"/>
                  </w:pPr>
                  <w:r>
                    <w:t xml:space="preserve">EIA AEO 2025 Capital Cost &amp; Performance: diesel/CT VOM $0.015-0.030/kWh; Lazard …</w:t>
                  </w:r>
                </w:p>
              </w:tc>
            </w:tr>
            <w:tr>
              <w:tc>
                <w:tcPr/>
                <w:p>
                  <w:pPr>
                    <w:pStyle w:val="Compact"/>
                    <w:jc w:val="left"/>
                    <w:jc w:val="center"/>
                  </w:pPr>
                  <w:r>
                    <w:t xml:space="preserve">Lifetime</w:t>
                  </w:r>
                </w:p>
              </w:tc>
              <w:tc>
                <w:tcPr/>
                <w:p>
                  <w:pPr>
                    <w:pStyle w:val="Compact"/>
                    <w:jc w:val="right"/>
                    <w:jc w:val="center"/>
                  </w:pPr>
                  <w:r>
                    <w:t xml:space="preserve">20</w:t>
                  </w:r>
                </w:p>
              </w:tc>
              <w:tc>
                <w:tcPr/>
                <w:p>
                  <w:pPr>
                    <w:pStyle w:val="Compact"/>
                    <w:jc w:val="right"/>
                    <w:jc w:val="center"/>
                  </w:pPr>
                  <w:r>
                    <w:t xml:space="preserve">15</w:t>
                  </w:r>
                </w:p>
              </w:tc>
              <w:tc>
                <w:tcPr/>
                <w:p>
                  <w:pPr>
                    <w:pStyle w:val="Compact"/>
                    <w:jc w:val="right"/>
                    <w:jc w:val="center"/>
                  </w:pPr>
                  <w:r>
                    <w:t xml:space="preserve">25</w:t>
                  </w:r>
                </w:p>
              </w:tc>
              <w:tc>
                <w:tcPr/>
                <w:p>
                  <w:pPr>
                    <w:pStyle w:val="Compact"/>
                    <w:jc w:val="left"/>
                    <w:jc w:val="center"/>
                  </w:pPr>
                  <w:r>
                    <w:t xml:space="preserve">years</w:t>
                  </w:r>
                </w:p>
              </w:tc>
              <w:tc>
                <w:tcPr/>
                <w:p>
                  <w:pPr>
                    <w:pStyle w:val="Compact"/>
                    <w:jc w:val="left"/>
                    <w:jc w:val="center"/>
                  </w:pPr>
                  <w:r>
                    <w:t xml:space="preserve">OEM guidance: WÃ¤rtsilÃ¤ 32/CAT/MAN medium-speed rated 100k-150k hrs; at 6000-75…</w:t>
                  </w:r>
                </w:p>
              </w:tc>
            </w:tr>
          </w:tbl>
          <w:p>
            <w:pPr>
              <w:pStyle w:val="Heading3"/>
              <w:jc w:val="center"/>
            </w:pPr>
            <w:bookmarkStart w:id="350" w:name="cable"/>
            <w:r>
              <w:t xml:space="preserve">14.1.8 Cable</w:t>
            </w:r>
            <w:bookmarkEnd w:id="350"/>
          </w:p>
          <w:tbl>
            <w:tblPr>
              <w:tblStyle w:val="Table"/>
              <w:tblW w:type="pct" w:w="5000"/>
              <w:tblLayout w:type="fixed"/>
              <w:tblLook w:firstRow="1" w:lastRow="0" w:firstColumn="0" w:lastColumn="0" w:noHBand="0" w:noVBand="0" w:val="0020"/>
            </w:tblPr>
            <w:tblGrid>
              <w:gridCol w:w="1604"/>
              <w:gridCol w:w="621"/>
              <w:gridCol w:w="465"/>
              <w:gridCol w:w="414"/>
              <w:gridCol w:w="517"/>
              <w:gridCol w:w="4296"/>
            </w:tblGrid>
            <w:tr>
              <w:trPr>
                <w:tblHeader w:val="on"/>
              </w:trPr>
              <w:tc>
                <w:tcPr/>
                <w:p>
                  <w:pPr>
                    <w:pStyle w:val="Compact"/>
                    <w:jc w:val="left"/>
                    <w:jc w:val="center"/>
                  </w:pPr>
                  <w:r>
                    <w:t xml:space="preserve">Parameter</w:t>
                  </w:r>
                </w:p>
              </w:tc>
              <w:tc>
                <w:tcPr/>
                <w:p>
                  <w:pPr>
                    <w:pStyle w:val="Compact"/>
                    <w:jc w:val="right"/>
                    <w:jc w:val="center"/>
                  </w:pPr>
                  <w:r>
                    <w:t xml:space="preserve">Value</w:t>
                  </w:r>
                </w:p>
              </w:tc>
              <w:tc>
                <w:tcPr/>
                <w:p>
                  <w:pPr>
                    <w:pStyle w:val="Compact"/>
                    <w:jc w:val="left"/>
                    <w:jc w:val="center"/>
                  </w:pPr>
                  <w:r>
                    <w:t xml:space="preserve">Low</w:t>
                  </w:r>
                </w:p>
              </w:tc>
              <w:tc>
                <w:tcPr/>
                <w:p>
                  <w:pPr>
                    <w:pStyle w:val="Compact"/>
                    <w:jc w:val="left"/>
                    <w:jc w:val="center"/>
                  </w:pPr>
                  <w:r>
                    <w:t xml:space="preserve">High</w:t>
                  </w:r>
                </w:p>
              </w:tc>
              <w:tc>
                <w:tcPr/>
                <w:p>
                  <w:pPr>
                    <w:pStyle w:val="Compact"/>
                    <w:jc w:val="left"/>
                    <w:jc w:val="center"/>
                  </w:pPr>
                  <w:r>
                    <w:t xml:space="preserve">Unit</w:t>
                  </w:r>
                </w:p>
              </w:tc>
              <w:tc>
                <w:tcPr/>
                <w:p>
                  <w:pPr>
                    <w:pStyle w:val="Compact"/>
                    <w:jc w:val="left"/>
                    <w:jc w:val="center"/>
                  </w:pPr>
                  <w:r>
                    <w:t xml:space="preserve">Source</w:t>
                  </w:r>
                </w:p>
              </w:tc>
            </w:tr>
            <w:tr>
              <w:tc>
                <w:tcPr/>
                <w:p>
                  <w:pPr>
                    <w:pStyle w:val="Compact"/>
                    <w:jc w:val="left"/>
                    <w:jc w:val="center"/>
                  </w:pPr>
                  <w:r>
                    <w:t xml:space="preserve">Length to India</w:t>
                  </w:r>
                </w:p>
              </w:tc>
              <w:tc>
                <w:tcPr/>
                <w:p>
                  <w:pPr>
                    <w:pStyle w:val="Compact"/>
                    <w:jc w:val="right"/>
                    <w:jc w:val="center"/>
                  </w:pPr>
                  <w:r>
                    <w:t xml:space="preserve">700</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km</w:t>
                  </w:r>
                </w:p>
              </w:tc>
              <w:tc>
                <w:tcPr/>
                <w:p>
                  <w:pPr>
                    <w:pStyle w:val="Compact"/>
                    <w:jc w:val="left"/>
                    <w:jc w:val="center"/>
                  </w:pPr>
                  <w:r>
                    <w:t xml:space="preserve">Geographic + routing premium</w:t>
                  </w:r>
                </w:p>
              </w:tc>
            </w:tr>
            <w:tr>
              <w:tc>
                <w:tcPr/>
                <w:p>
                  <w:pPr>
                    <w:pStyle w:val="Compact"/>
                    <w:jc w:val="left"/>
                    <w:jc w:val="center"/>
                  </w:pPr>
                  <w:r>
                    <w:t xml:space="preserve">CAPEX per km</w:t>
                  </w:r>
                </w:p>
              </w:tc>
              <w:tc>
                <w:tcPr/>
                <w:p>
                  <w:pPr>
                    <w:pStyle w:val="Compact"/>
                    <w:jc w:val="right"/>
                    <w:jc w:val="center"/>
                  </w:pPr>
                  <w:r>
                    <w:t xml:space="preserve">3e+06</w:t>
                  </w:r>
                </w:p>
              </w:tc>
              <w:tc>
                <w:tcPr/>
                <w:p>
                  <w:pPr>
                    <w:pStyle w:val="Compact"/>
                    <w:jc w:val="left"/>
                    <w:jc w:val="center"/>
                  </w:pPr>
                  <w:r>
                    <w:t xml:space="preserve">2e+06</w:t>
                  </w:r>
                </w:p>
              </w:tc>
              <w:tc>
                <w:tcPr/>
                <w:p>
                  <w:pPr>
                    <w:pStyle w:val="Compact"/>
                    <w:jc w:val="left"/>
                    <w:jc w:val="center"/>
                  </w:pPr>
                  <w:r>
                    <w:t xml:space="preserve">5e+06</w:t>
                  </w:r>
                </w:p>
              </w:tc>
              <w:tc>
                <w:tcPr/>
                <w:p>
                  <w:pPr>
                    <w:pStyle w:val="Compact"/>
                    <w:jc w:val="left"/>
                    <w:jc w:val="center"/>
                  </w:pPr>
                  <w:r>
                    <w:t xml:space="preserve">USD/km</w:t>
                  </w:r>
                </w:p>
              </w:tc>
              <w:tc>
                <w:tcPr/>
                <w:p>
                  <w:pPr>
                    <w:pStyle w:val="Compact"/>
                    <w:jc w:val="left"/>
                    <w:jc w:val="center"/>
                  </w:pPr>
                  <w:r>
                    <w:t xml:space="preserve">IRENA; NordLink/NorNed/Basslink benchmarks</w:t>
                  </w:r>
                </w:p>
              </w:tc>
            </w:tr>
            <w:tr>
              <w:tc>
                <w:tcPr/>
                <w:p>
                  <w:pPr>
                    <w:pStyle w:val="Compact"/>
                    <w:jc w:val="left"/>
                    <w:jc w:val="center"/>
                  </w:pPr>
                  <w:r>
                    <w:t xml:space="preserve">Capacity</w:t>
                  </w:r>
                </w:p>
              </w:tc>
              <w:tc>
                <w:tcPr/>
                <w:p>
                  <w:pPr>
                    <w:pStyle w:val="Compact"/>
                    <w:jc w:val="right"/>
                    <w:jc w:val="center"/>
                  </w:pPr>
                  <w:r>
                    <w:t xml:space="preserve">200</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MW</w:t>
                  </w:r>
                </w:p>
              </w:tc>
              <w:tc>
                <w:tcPr/>
                <w:p>
                  <w:pPr>
                    <w:pStyle w:val="Compact"/>
                    <w:jc w:val="left"/>
                    <w:jc w:val="center"/>
                  </w:pPr>
                  <w:r>
                    <w:t xml:space="preserve">OSOWOG proposal</w:t>
                  </w:r>
                </w:p>
              </w:tc>
            </w:tr>
            <w:tr>
              <w:tc>
                <w:tcPr/>
                <w:p>
                  <w:pPr>
                    <w:pStyle w:val="Compact"/>
                    <w:jc w:val="left"/>
                    <w:jc w:val="center"/>
                  </w:pPr>
                  <w:r>
                    <w:t xml:space="preserve">GoM Cost Share</w:t>
                  </w:r>
                </w:p>
              </w:tc>
              <w:tc>
                <w:tcPr/>
                <w:p>
                  <w:pPr>
                    <w:pStyle w:val="Compact"/>
                    <w:jc w:val="right"/>
                    <w:jc w:val="center"/>
                  </w:pPr>
                  <w:r>
                    <w:t xml:space="preserve">1</w:t>
                  </w:r>
                </w:p>
              </w:tc>
              <w:tc>
                <w:tcPr/>
                <w:p>
                  <w:pPr>
                    <w:pStyle w:val="Compact"/>
                    <w:jc w:val="left"/>
                    <w:jc w:val="center"/>
                  </w:pPr>
                  <w:r>
                    <w:t xml:space="preserve">0.5</w:t>
                  </w:r>
                </w:p>
              </w:tc>
              <w:tc>
                <w:tcPr/>
                <w:p>
                  <w:pPr>
                    <w:pStyle w:val="Compact"/>
                    <w:jc w:val="left"/>
                    <w:jc w:val="center"/>
                  </w:pPr>
                  <w:r>
                    <w:t xml:space="preserve">1</w:t>
                  </w:r>
                </w:p>
              </w:tc>
              <w:tc>
                <w:tcPr/>
                <w:p>
                  <w:pPr>
                    <w:pStyle w:val="Compact"/>
                    <w:jc w:val="left"/>
                    <w:jc w:val="center"/>
                  </w:pPr>
                  <w:r>
                    <w:t xml:space="preserve">%</w:t>
                  </w:r>
                </w:p>
              </w:tc>
              <w:tc>
                <w:tcPr/>
                <w:p>
                  <w:pPr>
                    <w:pStyle w:val="Compact"/>
                    <w:jc w:val="left"/>
                    <w:jc w:val="center"/>
                  </w:pPr>
                  <w:r>
                    <w:t xml:space="preserve">No cost-sharing agreement exists; Maldives bears full cost (conservative)</w:t>
                  </w:r>
                </w:p>
              </w:tc>
            </w:tr>
            <w:tr>
              <w:tc>
                <w:tcPr/>
                <w:p>
                  <w:pPr>
                    <w:pStyle w:val="Compact"/>
                    <w:jc w:val="left"/>
                    <w:jc w:val="center"/>
                  </w:pPr>
                  <w:r>
                    <w:t xml:space="preserve">Online Year</w:t>
                  </w:r>
                </w:p>
              </w:tc>
              <w:tc>
                <w:tcPr/>
                <w:p>
                  <w:pPr>
                    <w:pStyle w:val="Compact"/>
                    <w:jc w:val="right"/>
                    <w:jc w:val="center"/>
                  </w:pPr>
                  <w:r>
                    <w:t xml:space="preserve">2032</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year</w:t>
                  </w:r>
                </w:p>
              </w:tc>
              <w:tc>
                <w:tcPr/>
                <w:p>
                  <w:pPr>
                    <w:pStyle w:val="Compact"/>
                    <w:jc w:val="left"/>
                    <w:jc w:val="center"/>
                  </w:pPr>
                  <w:r>
                    <w:t xml:space="preserve">Realistic timeline</w:t>
                  </w:r>
                </w:p>
              </w:tc>
            </w:tr>
            <w:tr>
              <w:tc>
                <w:tcPr/>
                <w:p>
                  <w:pPr>
                    <w:pStyle w:val="Compact"/>
                    <w:jc w:val="left"/>
                    <w:jc w:val="center"/>
                  </w:pPr>
                  <w:r>
                    <w:t xml:space="preserve">O&amp;M Cost</w:t>
                  </w:r>
                </w:p>
              </w:tc>
              <w:tc>
                <w:tcPr/>
                <w:p>
                  <w:pPr>
                    <w:pStyle w:val="Compact"/>
                    <w:jc w:val="right"/>
                    <w:jc w:val="center"/>
                  </w:pPr>
                  <w:r>
                    <w:t xml:space="preserve">0.02</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%/year</w:t>
                  </w:r>
                </w:p>
              </w:tc>
              <w:tc>
                <w:tcPr/>
                <w:p>
                  <w:pPr>
                    <w:pStyle w:val="Compact"/>
                    <w:jc w:val="left"/>
                    <w:jc w:val="center"/>
                  </w:pPr>
                  <w:r>
                    <w:t xml:space="preserve">CIGRÃ‰ TB 852 (2024) Â§6: submarine cable O&amp;M typically 1.5-2.5% of CAPEX/yr; No…</w:t>
                  </w:r>
                </w:p>
              </w:tc>
            </w:tr>
            <w:tr>
              <w:tc>
                <w:tcPr/>
                <w:p>
                  <w:pPr>
                    <w:pStyle w:val="Compact"/>
                    <w:jc w:val="left"/>
                    <w:jc w:val="center"/>
                  </w:pPr>
                  <w:r>
                    <w:t xml:space="preserve">Lifetime</w:t>
                  </w:r>
                </w:p>
              </w:tc>
              <w:tc>
                <w:tcPr/>
                <w:p>
                  <w:pPr>
                    <w:pStyle w:val="Compact"/>
                    <w:jc w:val="right"/>
                    <w:jc w:val="center"/>
                  </w:pPr>
                  <w:r>
                    <w:t xml:space="preserve">40</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years</w:t>
                  </w:r>
                </w:p>
              </w:tc>
              <w:tc>
                <w:tcPr/>
                <w:p>
                  <w:pPr>
                    <w:pStyle w:val="Compact"/>
                    <w:jc w:val="left"/>
                    <w:jc w:val="center"/>
                  </w:pPr>
                  <w:r>
                    <w:t xml:space="preserve">CIGRÃ‰ TB 852 (2024): Recommendations for Testing DC Extruded Cable Systems; 40y…</w:t>
                  </w:r>
                </w:p>
              </w:tc>
            </w:tr>
            <w:tr>
              <w:tc>
                <w:tcPr/>
                <w:p>
                  <w:pPr>
                    <w:pStyle w:val="Compact"/>
                    <w:jc w:val="left"/>
                    <w:jc w:val="center"/>
                  </w:pPr>
                  <w:r>
                    <w:t xml:space="preserve">Converter Station Cost per MW</w:t>
                  </w:r>
                </w:p>
              </w:tc>
              <w:tc>
                <w:tcPr/>
                <w:p>
                  <w:pPr>
                    <w:pStyle w:val="Compact"/>
                    <w:jc w:val="right"/>
                    <w:jc w:val="center"/>
                  </w:pPr>
                  <w:r>
                    <w:t xml:space="preserve">1.6e+06</w:t>
                  </w:r>
                </w:p>
              </w:tc>
              <w:tc>
                <w:tcPr/>
                <w:p>
                  <w:pPr>
                    <w:pStyle w:val="Compact"/>
                    <w:jc w:val="left"/>
                    <w:jc w:val="center"/>
                  </w:pPr>
                  <w:r>
                    <w:t xml:space="preserve">1.2e+06</w:t>
                  </w:r>
                </w:p>
              </w:tc>
              <w:tc>
                <w:tcPr/>
                <w:p>
                  <w:pPr>
                    <w:pStyle w:val="Compact"/>
                    <w:jc w:val="left"/>
                    <w:jc w:val="center"/>
                  </w:pPr>
                  <w:r>
                    <w:t xml:space="preserve">2e+06</w:t>
                  </w:r>
                </w:p>
              </w:tc>
              <w:tc>
                <w:tcPr/>
                <w:p>
                  <w:pPr>
                    <w:pStyle w:val="Compact"/>
                    <w:jc w:val="left"/>
                    <w:jc w:val="center"/>
                  </w:pPr>
                  <w:r>
                    <w:t xml:space="preserve">USD/MW</w:t>
                  </w:r>
                </w:p>
              </w:tc>
              <w:tc>
                <w:tcPr/>
                <w:p>
                  <w:pPr>
                    <w:pStyle w:val="Compact"/>
                    <w:jc w:val="left"/>
                    <w:jc w:val="center"/>
                  </w:pPr>
                  <w:r>
                    <w:t xml:space="preserve">HÃ¤rtel et al. (2017) EPSR 151:419-431; Vrana &amp; HÃ¤rtel (2023) EEM 2023; MISO MT…</w:t>
                  </w:r>
                </w:p>
              </w:tc>
            </w:tr>
            <w:tr>
              <w:tc>
                <w:tcPr/>
                <w:p>
                  <w:pPr>
                    <w:pStyle w:val="Compact"/>
                    <w:jc w:val="left"/>
                    <w:jc w:val="center"/>
                  </w:pPr>
                  <w:r>
                    <w:t xml:space="preserve">Landing Cost per End</w:t>
                  </w:r>
                </w:p>
              </w:tc>
              <w:tc>
                <w:tcPr/>
                <w:p>
                  <w:pPr>
                    <w:pStyle w:val="Compact"/>
                    <w:jc w:val="right"/>
                    <w:jc w:val="center"/>
                  </w:pPr>
                  <w:r>
                    <w:t xml:space="preserve">4e+07</w:t>
                  </w:r>
                </w:p>
              </w:tc>
              <w:tc>
                <w:tcPr/>
                <w:p>
                  <w:pPr>
                    <w:pStyle w:val="Compact"/>
                    <w:jc w:val="left"/>
                    <w:jc w:val="center"/>
                  </w:pPr>
                  <w:r>
                    <w:t xml:space="preserve">3e+07</w:t>
                  </w:r>
                </w:p>
              </w:tc>
              <w:tc>
                <w:tcPr/>
                <w:p>
                  <w:pPr>
                    <w:pStyle w:val="Compact"/>
                    <w:jc w:val="left"/>
                    <w:jc w:val="center"/>
                  </w:pPr>
                  <w:r>
                    <w:t xml:space="preserve">5e+07</w:t>
                  </w:r>
                </w:p>
              </w:tc>
              <w:tc>
                <w:tcPr/>
                <w:p>
                  <w:pPr>
                    <w:pStyle w:val="Compact"/>
                    <w:jc w:val="left"/>
                    <w:jc w:val="center"/>
                  </w:pPr>
                  <w:r>
                    <w:t xml:space="preserve">USD/end</w:t>
                  </w:r>
                </w:p>
              </w:tc>
              <w:tc>
                <w:tcPr/>
                <w:p>
                  <w:pPr>
                    <w:pStyle w:val="Compact"/>
                    <w:jc w:val="left"/>
                    <w:jc w:val="center"/>
                  </w:pPr>
                  <w:r>
                    <w:t xml:space="preserve">CIGRÃ‰ TB 815 (2021): Cable Systems Accessories; Worzyk (2009) Submarine Power C…</w:t>
                  </w:r>
                </w:p>
              </w:tc>
            </w:tr>
            <w:tr>
              <w:tc>
                <w:tcPr/>
                <w:p>
                  <w:pPr>
                    <w:pStyle w:val="Compact"/>
                    <w:jc w:val="left"/>
                    <w:jc w:val="center"/>
                  </w:pPr>
                  <w:r>
                    <w:t xml:space="preserve">Number of Landings</w:t>
                  </w:r>
                </w:p>
              </w:tc>
              <w:tc>
                <w:tcPr/>
                <w:p>
                  <w:pPr>
                    <w:pStyle w:val="Compact"/>
                    <w:jc w:val="right"/>
                    <w:jc w:val="center"/>
                  </w:pPr>
                  <w:r>
                    <w:t xml:space="preserve">2</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count</w:t>
                  </w:r>
                </w:p>
              </w:tc>
              <w:tc>
                <w:tcPr/>
                <w:p>
                  <w:pPr>
                    <w:pStyle w:val="Compact"/>
                    <w:jc w:val="left"/>
                    <w:jc w:val="center"/>
                  </w:pPr>
                  <w:r>
                    <w:t xml:space="preserve">Two-terminal link: India + Maldives</w:t>
                  </w:r>
                </w:p>
              </w:tc>
            </w:tr>
            <w:tr>
              <w:tc>
                <w:tcPr/>
                <w:p>
                  <w:pPr>
                    <w:pStyle w:val="Compact"/>
                    <w:jc w:val="left"/>
                    <w:jc w:val="center"/>
                  </w:pPr>
                  <w:r>
                    <w:t xml:space="preserve">IDC Rate</w:t>
                  </w:r>
                </w:p>
              </w:tc>
              <w:tc>
                <w:tcPr/>
                <w:p>
                  <w:pPr>
                    <w:pStyle w:val="Compact"/>
                    <w:jc w:val="right"/>
                    <w:jc w:val="center"/>
                  </w:pPr>
                  <w:r>
                    <w:t xml:space="preserve">0.15</w:t>
                  </w:r>
                </w:p>
              </w:tc>
              <w:tc>
                <w:tcPr/>
                <w:p>
                  <w:pPr>
                    <w:pStyle w:val="Compact"/>
                    <w:jc w:val="left"/>
                    <w:jc w:val="center"/>
                  </w:pPr>
                  <w:r>
                    <w:t xml:space="preserve">0.1</w:t>
                  </w:r>
                </w:p>
              </w:tc>
              <w:tc>
                <w:tcPr/>
                <w:p>
                  <w:pPr>
                    <w:pStyle w:val="Compact"/>
                    <w:jc w:val="left"/>
                    <w:jc w:val="center"/>
                  </w:pPr>
                  <w:r>
                    <w:t xml:space="preserve">0.2</w:t>
                  </w:r>
                </w:p>
              </w:tc>
              <w:tc>
                <w:tcPr/>
                <w:p>
                  <w:pPr>
                    <w:pStyle w:val="Compact"/>
                    <w:jc w:val="left"/>
                    <w:jc w:val="center"/>
                  </w:pPr>
                  <w:r>
                    <w:t xml:space="preserve">fraction</w:t>
                  </w:r>
                </w:p>
              </w:tc>
              <w:tc>
                <w:tcPr/>
                <w:p>
                  <w:pPr>
                    <w:pStyle w:val="Compact"/>
                    <w:jc w:val="left"/>
                    <w:jc w:val="center"/>
                  </w:pPr>
                  <w:r>
                    <w:t xml:space="preserve">ADB/IFC SIDS project finance norms: 3-5yr construction at 5-8% interest; typical…</w:t>
                  </w:r>
                </w:p>
              </w:tc>
            </w:tr>
            <w:tr>
              <w:tc>
                <w:tcPr/>
                <w:p>
                  <w:pPr>
                    <w:pStyle w:val="Compact"/>
                    <w:jc w:val="left"/>
                    <w:jc w:val="center"/>
                  </w:pPr>
                  <w:r>
                    <w:t xml:space="preserve">Grid Upgrade Cost</w:t>
                  </w:r>
                </w:p>
              </w:tc>
              <w:tc>
                <w:tcPr/>
                <w:p>
                  <w:pPr>
                    <w:pStyle w:val="Compact"/>
                    <w:jc w:val="right"/>
                    <w:jc w:val="center"/>
                  </w:pPr>
                  <w:r>
                    <w:t xml:space="preserve">7.5e+07</w:t>
                  </w:r>
                </w:p>
              </w:tc>
              <w:tc>
                <w:tcPr/>
                <w:p>
                  <w:pPr>
                    <w:pStyle w:val="Compact"/>
                    <w:jc w:val="left"/>
                    <w:jc w:val="center"/>
                  </w:pPr>
                  <w:r>
                    <w:t xml:space="preserve">5e+07</w:t>
                  </w:r>
                </w:p>
              </w:tc>
              <w:tc>
                <w:tcPr/>
                <w:p>
                  <w:pPr>
                    <w:pStyle w:val="Compact"/>
                    <w:jc w:val="left"/>
                    <w:jc w:val="center"/>
                  </w:pPr>
                  <w:r>
                    <w:t xml:space="preserve">1e+08</w:t>
                  </w:r>
                </w:p>
              </w:tc>
              <w:tc>
                <w:tcPr/>
                <w:p>
                  <w:pPr>
                    <w:pStyle w:val="Compact"/>
                    <w:jc w:val="left"/>
                    <w:jc w:val="center"/>
                  </w:pPr>
                  <w:r>
                    <w:t xml:space="preserve">USD</w:t>
                  </w:r>
                </w:p>
              </w:tc>
              <w:tc>
                <w:tcPr/>
                <w:p>
                  <w:pPr>
                    <w:pStyle w:val="Compact"/>
                    <w:jc w:val="left"/>
                    <w:jc w:val="center"/>
                  </w:pPr>
                  <w:r>
                    <w:t xml:space="preserve">STELCO Grid Modernization Plan (via GoM Energy Roadmap Nov 2024); ADB POISED PCR…</w:t>
                  </w:r>
                </w:p>
              </w:tc>
            </w:tr>
          </w:tbl>
          <w:p>
            <w:pPr>
              <w:pStyle w:val="Heading3"/>
              <w:jc w:val="center"/>
            </w:pPr>
            <w:bookmarkStart w:id="351" w:name="network"/>
            <w:r>
              <w:t xml:space="preserve">14.1.9 Network</w:t>
            </w:r>
            <w:bookmarkEnd w:id="351"/>
          </w:p>
          <w:tbl>
            <w:tblPr>
              <w:tblStyle w:val="Table"/>
              <w:tblW w:type="pct" w:w="5000"/>
              <w:tblLayout w:type="fixed"/>
              <w:tblLook w:firstRow="1" w:lastRow="0" w:firstColumn="0" w:lastColumn="0" w:noHBand="0" w:noVBand="0" w:val="0020"/>
            </w:tblPr>
            <w:tblGrid>
              <w:gridCol w:w="1131"/>
              <w:gridCol w:w="598"/>
              <w:gridCol w:w="465"/>
              <w:gridCol w:w="532"/>
              <w:gridCol w:w="798"/>
              <w:gridCol w:w="4392"/>
            </w:tblGrid>
            <w:tr>
              <w:trPr>
                <w:tblHeader w:val="on"/>
              </w:trPr>
              <w:tc>
                <w:tcPr/>
                <w:p>
                  <w:pPr>
                    <w:pStyle w:val="Compact"/>
                    <w:jc w:val="left"/>
                    <w:jc w:val="center"/>
                  </w:pPr>
                  <w:r>
                    <w:t xml:space="preserve">Parameter</w:t>
                  </w:r>
                </w:p>
              </w:tc>
              <w:tc>
                <w:tcPr/>
                <w:p>
                  <w:pPr>
                    <w:pStyle w:val="Compact"/>
                    <w:jc w:val="right"/>
                    <w:jc w:val="center"/>
                  </w:pPr>
                  <w:r>
                    <w:t xml:space="preserve">Value</w:t>
                  </w:r>
                </w:p>
              </w:tc>
              <w:tc>
                <w:tcPr/>
                <w:p>
                  <w:pPr>
                    <w:pStyle w:val="Compact"/>
                    <w:jc w:val="right"/>
                    <w:jc w:val="center"/>
                  </w:pPr>
                  <w:r>
                    <w:t xml:space="preserve">Low</w:t>
                  </w:r>
                </w:p>
              </w:tc>
              <w:tc>
                <w:tcPr/>
                <w:p>
                  <w:pPr>
                    <w:pStyle w:val="Compact"/>
                    <w:jc w:val="right"/>
                    <w:jc w:val="center"/>
                  </w:pPr>
                  <w:r>
                    <w:t xml:space="preserve">High</w:t>
                  </w:r>
                </w:p>
              </w:tc>
              <w:tc>
                <w:tcPr/>
                <w:p>
                  <w:pPr>
                    <w:pStyle w:val="Compact"/>
                    <w:jc w:val="left"/>
                    <w:jc w:val="center"/>
                  </w:pPr>
                  <w:r>
                    <w:t xml:space="preserve">Unit</w:t>
                  </w:r>
                </w:p>
              </w:tc>
              <w:tc>
                <w:tcPr/>
                <w:p>
                  <w:pPr>
                    <w:pStyle w:val="Compact"/>
                    <w:jc w:val="left"/>
                    <w:jc w:val="center"/>
                  </w:pPr>
                  <w:r>
                    <w:t xml:space="preserve">Source</w:t>
                  </w:r>
                </w:p>
              </w:tc>
            </w:tr>
            <w:tr>
              <w:tc>
                <w:tcPr/>
                <w:p>
                  <w:pPr>
                    <w:pStyle w:val="Compact"/>
                    <w:jc w:val="left"/>
                    <w:jc w:val="center"/>
                  </w:pPr>
                  <w:r>
                    <w:t xml:space="preserve">Routing Premium</w:t>
                  </w:r>
                </w:p>
              </w:tc>
              <w:tc>
                <w:tcPr/>
                <w:p>
                  <w:pPr>
                    <w:pStyle w:val="Compact"/>
                    <w:jc w:val="right"/>
                    <w:jc w:val="center"/>
                  </w:pPr>
                  <w:r>
                    <w:t xml:space="preserve">1.15</w:t>
                  </w:r>
                </w:p>
              </w:tc>
              <w:tc>
                <w:tcPr/>
                <w:p>
                  <w:pPr>
                    <w:pStyle w:val="Compact"/>
                    <w:jc w:val="right"/>
                    <w:jc w:val="center"/>
                  </w:pPr>
                  <w:r>
                    <w:t xml:space="preserve">1.1</w:t>
                  </w:r>
                </w:p>
              </w:tc>
              <w:tc>
                <w:tcPr/>
                <w:p>
                  <w:pPr>
                    <w:pStyle w:val="Compact"/>
                    <w:jc w:val="right"/>
                    <w:jc w:val="center"/>
                  </w:pPr>
                  <w:r>
                    <w:t xml:space="preserve">1.25</w:t>
                  </w:r>
                </w:p>
              </w:tc>
              <w:tc>
                <w:tcPr/>
                <w:p>
                  <w:pPr>
                    <w:pStyle w:val="Compact"/>
                    <w:jc w:val="left"/>
                    <w:jc w:val="center"/>
                  </w:pPr>
                  <w:r>
                    <w:t xml:space="preserve">multiplier</w:t>
                  </w:r>
                </w:p>
              </w:tc>
              <w:tc>
                <w:tcPr/>
                <w:p>
                  <w:pPr>
                    <w:pStyle w:val="Compact"/>
                    <w:jc w:val="left"/>
                    <w:jc w:val="center"/>
                  </w:pPr>
                  <w:r>
                    <w:t xml:space="preserve">Engineering assumption â€” reef avoidance and bathymetry routing</w:t>
                  </w:r>
                </w:p>
              </w:tc>
            </w:tr>
          </w:tbl>
          <w:p>
            <w:pPr>
              <w:pStyle w:val="Heading3"/>
              <w:jc w:val="center"/>
            </w:pPr>
            <w:bookmarkStart w:id="352" w:name="inter-island-grid"/>
            <w:r>
              <w:t xml:space="preserve">14.1.10 Inter-Island Grid</w:t>
            </w:r>
            <w:bookmarkEnd w:id="352"/>
          </w:p>
          <w:tbl>
            <w:tblPr>
              <w:tblStyle w:val="Table"/>
              <w:tblW w:type="pct" w:w="5000"/>
              <w:tblLayout w:type="fixed"/>
              <w:tblLook w:firstRow="1" w:lastRow="0" w:firstColumn="0" w:lastColumn="0" w:noHBand="0" w:noVBand="0" w:val="0020"/>
            </w:tblPr>
            <w:tblGrid>
              <w:gridCol w:w="1033"/>
              <w:gridCol w:w="688"/>
              <w:gridCol w:w="459"/>
              <w:gridCol w:w="516"/>
              <w:gridCol w:w="459"/>
              <w:gridCol w:w="4763"/>
            </w:tblGrid>
            <w:tr>
              <w:trPr>
                <w:tblHeader w:val="on"/>
              </w:trPr>
              <w:tc>
                <w:tcPr/>
                <w:p>
                  <w:pPr>
                    <w:pStyle w:val="Compact"/>
                    <w:jc w:val="left"/>
                    <w:jc w:val="center"/>
                  </w:pPr>
                  <w:r>
                    <w:t xml:space="preserve">Parameter</w:t>
                  </w:r>
                </w:p>
              </w:tc>
              <w:tc>
                <w:tcPr/>
                <w:p>
                  <w:pPr>
                    <w:pStyle w:val="Compact"/>
                    <w:jc w:val="right"/>
                    <w:jc w:val="center"/>
                  </w:pPr>
                  <w:r>
                    <w:t xml:space="preserve">Value</w:t>
                  </w:r>
                </w:p>
              </w:tc>
              <w:tc>
                <w:tcPr/>
                <w:p>
                  <w:pPr>
                    <w:pStyle w:val="Compact"/>
                    <w:jc w:val="left"/>
                    <w:jc w:val="center"/>
                  </w:pPr>
                  <w:r>
                    <w:t xml:space="preserve">Low</w:t>
                  </w:r>
                </w:p>
              </w:tc>
              <w:tc>
                <w:tcPr/>
                <w:p>
                  <w:pPr>
                    <w:pStyle w:val="Compact"/>
                    <w:jc w:val="left"/>
                    <w:jc w:val="center"/>
                  </w:pPr>
                  <w:r>
                    <w:t xml:space="preserve">High</w:t>
                  </w:r>
                </w:p>
              </w:tc>
              <w:tc>
                <w:tcPr/>
                <w:p>
                  <w:pPr>
                    <w:pStyle w:val="Compact"/>
                    <w:jc w:val="left"/>
                    <w:jc w:val="center"/>
                  </w:pPr>
                  <w:r>
                    <w:t xml:space="preserve">Unit</w:t>
                  </w:r>
                </w:p>
              </w:tc>
              <w:tc>
                <w:tcPr/>
                <w:p>
                  <w:pPr>
                    <w:pStyle w:val="Compact"/>
                    <w:jc w:val="left"/>
                    <w:jc w:val="center"/>
                  </w:pPr>
                  <w:r>
                    <w:t xml:space="preserve">Source</w:t>
                  </w:r>
                </w:p>
              </w:tc>
            </w:tr>
            <w:tr>
              <w:tc>
                <w:tcPr/>
                <w:p>
                  <w:pPr>
                    <w:pStyle w:val="Compact"/>
                    <w:jc w:val="left"/>
                    <w:jc w:val="center"/>
                  </w:pPr>
                  <w:r>
                    <w:t xml:space="preserve">Total Length</w:t>
                  </w:r>
                </w:p>
              </w:tc>
              <w:tc>
                <w:tcPr/>
                <w:p>
                  <w:pPr>
                    <w:pStyle w:val="Compact"/>
                    <w:jc w:val="right"/>
                    <w:jc w:val="center"/>
                  </w:pPr>
                  <w:r>
                    <w:t xml:space="preserve">14</w:t>
                  </w:r>
                </w:p>
              </w:tc>
              <w:tc>
                <w:tcPr/>
                <w:p>
                  <w:pPr>
                    <w:pStyle w:val="Compact"/>
                    <w:jc w:val="left"/>
                    <w:jc w:val="center"/>
                  </w:pPr>
                  <w:r>
                    <w:t xml:space="preserve">8</w:t>
                  </w:r>
                </w:p>
              </w:tc>
              <w:tc>
                <w:tcPr/>
                <w:p>
                  <w:pPr>
                    <w:pStyle w:val="Compact"/>
                    <w:jc w:val="left"/>
                    <w:jc w:val="center"/>
                  </w:pPr>
                  <w:r>
                    <w:t xml:space="preserve">25</w:t>
                  </w:r>
                </w:p>
              </w:tc>
              <w:tc>
                <w:tcPr/>
                <w:p>
                  <w:pPr>
                    <w:pStyle w:val="Compact"/>
                    <w:jc w:val="left"/>
                    <w:jc w:val="center"/>
                  </w:pPr>
                  <w:r>
                    <w:t xml:space="preserve">km</w:t>
                  </w:r>
                </w:p>
              </w:tc>
              <w:tc>
                <w:tcPr/>
                <w:p>
                  <w:pPr>
                    <w:pStyle w:val="Compact"/>
                    <w:jc w:val="left"/>
                    <w:jc w:val="center"/>
                  </w:pPr>
                  <w:r>
                    <w:t xml:space="preserve">Least-cost engine: only 3 islands justify grid extension (HulhumalÃ© 7.5km, Vili…</w:t>
                  </w:r>
                </w:p>
              </w:tc>
            </w:tr>
            <w:tr>
              <w:tc>
                <w:tcPr/>
                <w:p>
                  <w:pPr>
                    <w:pStyle w:val="Compact"/>
                    <w:jc w:val="left"/>
                    <w:jc w:val="center"/>
                  </w:pPr>
                  <w:r>
                    <w:t xml:space="preserve">CAPEX per km</w:t>
                  </w:r>
                </w:p>
              </w:tc>
              <w:tc>
                <w:tcPr/>
                <w:p>
                  <w:pPr>
                    <w:pStyle w:val="Compact"/>
                    <w:jc w:val="right"/>
                    <w:jc w:val="center"/>
                  </w:pPr>
                  <w:r>
                    <w:t xml:space="preserve">1.5e+06</w:t>
                  </w:r>
                </w:p>
              </w:tc>
              <w:tc>
                <w:tcPr/>
                <w:p>
                  <w:pPr>
                    <w:pStyle w:val="Compact"/>
                    <w:jc w:val="left"/>
                    <w:jc w:val="center"/>
                  </w:pPr>
                  <w:r>
                    <w:t xml:space="preserve">800000</w:t>
                  </w:r>
                </w:p>
              </w:tc>
              <w:tc>
                <w:tcPr/>
                <w:p>
                  <w:pPr>
                    <w:pStyle w:val="Compact"/>
                    <w:jc w:val="left"/>
                    <w:jc w:val="center"/>
                  </w:pPr>
                  <w:r>
                    <w:t xml:space="preserve">2.5e+06</w:t>
                  </w:r>
                </w:p>
              </w:tc>
              <w:tc>
                <w:tcPr/>
                <w:p>
                  <w:pPr>
                    <w:pStyle w:val="Compact"/>
                    <w:jc w:val="left"/>
                    <w:jc w:val="center"/>
                  </w:pPr>
                  <w:r>
                    <w:t xml:space="preserve">USD/km</w:t>
                  </w:r>
                </w:p>
              </w:tc>
              <w:tc>
                <w:tcPr/>
                <w:p>
                  <w:pPr>
                    <w:pStyle w:val="Compact"/>
                    <w:jc w:val="left"/>
                    <w:jc w:val="center"/>
                  </w:pPr>
                  <w:r>
                    <w:t xml:space="preserve">NREL (2023) NREL/TP-5700-87184: subsea cable costs $200-600/m ($200k-600k/km) fo…</w:t>
                  </w:r>
                </w:p>
              </w:tc>
            </w:tr>
            <w:tr>
              <w:tc>
                <w:tcPr/>
                <w:p>
                  <w:pPr>
                    <w:pStyle w:val="Compact"/>
                    <w:jc w:val="left"/>
                    <w:jc w:val="center"/>
                  </w:pPr>
                  <w:r>
                    <w:t xml:space="preserve">Build Start Year</w:t>
                  </w:r>
                </w:p>
              </w:tc>
              <w:tc>
                <w:tcPr/>
                <w:p>
                  <w:pPr>
                    <w:pStyle w:val="Compact"/>
                    <w:jc w:val="right"/>
                    <w:jc w:val="center"/>
                  </w:pPr>
                  <w:r>
                    <w:t xml:space="preserve">2027</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year</w:t>
                  </w:r>
                </w:p>
              </w:tc>
              <w:tc>
                <w:tcPr/>
                <w:p>
                  <w:pPr>
                    <w:pStyle w:val="Compact"/>
                    <w:jc w:val="left"/>
                    <w:jc w:val="center"/>
                  </w:pPr>
                  <w:r>
                    <w:t xml:space="preserve">Model design choice â€” aligned with GoM Energy Roadmap 2024-2033 near-term infr…</w:t>
                  </w:r>
                </w:p>
              </w:tc>
            </w:tr>
            <w:tr>
              <w:tc>
                <w:tcPr/>
                <w:p>
                  <w:pPr>
                    <w:pStyle w:val="Compact"/>
                    <w:jc w:val="left"/>
                    <w:jc w:val="center"/>
                  </w:pPr>
                  <w:r>
                    <w:t xml:space="preserve">Build End Year</w:t>
                  </w:r>
                </w:p>
              </w:tc>
              <w:tc>
                <w:tcPr/>
                <w:p>
                  <w:pPr>
                    <w:pStyle w:val="Compact"/>
                    <w:jc w:val="right"/>
                    <w:jc w:val="center"/>
                  </w:pPr>
                  <w:r>
                    <w:t xml:space="preserve">2030</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year</w:t>
                  </w:r>
                </w:p>
              </w:tc>
              <w:tc>
                <w:tcPr/>
                <w:p>
                  <w:pPr>
                    <w:pStyle w:val="Compact"/>
                    <w:jc w:val="left"/>
                    <w:jc w:val="center"/>
                  </w:pPr>
                  <w:r>
                    <w:t xml:space="preserve">Model design choice â€” 3yr phased construction aligned with GoM Roadmap and out…</w:t>
                  </w:r>
                </w:p>
              </w:tc>
            </w:tr>
          </w:tbl>
          <w:p>
            <w:pPr>
              <w:pStyle w:val="Heading3"/>
              <w:jc w:val="center"/>
            </w:pPr>
            <w:bookmarkStart w:id="353" w:name="ppa"/>
            <w:r>
              <w:t xml:space="preserve">14.1.11 PPA</w:t>
            </w:r>
            <w:bookmarkEnd w:id="353"/>
          </w:p>
          <w:tbl>
            <w:tblPr>
              <w:tblStyle w:val="Table"/>
              <w:tblW w:type="pct" w:w="5000"/>
              <w:tblLayout w:type="fixed"/>
              <w:tblLook w:firstRow="1" w:lastRow="0" w:firstColumn="0" w:lastColumn="0" w:noHBand="0" w:noVBand="0" w:val="0020"/>
            </w:tblPr>
            <w:tblGrid>
              <w:gridCol w:w="1562"/>
              <w:gridCol w:w="484"/>
              <w:gridCol w:w="377"/>
              <w:gridCol w:w="431"/>
              <w:gridCol w:w="592"/>
              <w:gridCol w:w="4471"/>
            </w:tblGrid>
            <w:tr>
              <w:trPr>
                <w:tblHeader w:val="on"/>
              </w:trPr>
              <w:tc>
                <w:tcPr/>
                <w:p>
                  <w:pPr>
                    <w:pStyle w:val="Compact"/>
                    <w:jc w:val="left"/>
                    <w:jc w:val="center"/>
                  </w:pPr>
                  <w:r>
                    <w:t xml:space="preserve">Parameter</w:t>
                  </w:r>
                </w:p>
              </w:tc>
              <w:tc>
                <w:tcPr/>
                <w:p>
                  <w:pPr>
                    <w:pStyle w:val="Compact"/>
                    <w:jc w:val="right"/>
                    <w:jc w:val="center"/>
                  </w:pPr>
                  <w:r>
                    <w:t xml:space="preserve">Value</w:t>
                  </w:r>
                </w:p>
              </w:tc>
              <w:tc>
                <w:tcPr/>
                <w:p>
                  <w:pPr>
                    <w:pStyle w:val="Compact"/>
                    <w:jc w:val="left"/>
                    <w:jc w:val="center"/>
                  </w:pPr>
                  <w:r>
                    <w:t xml:space="preserve">Low</w:t>
                  </w:r>
                </w:p>
              </w:tc>
              <w:tc>
                <w:tcPr/>
                <w:p>
                  <w:pPr>
                    <w:pStyle w:val="Compact"/>
                    <w:jc w:val="left"/>
                    <w:jc w:val="center"/>
                  </w:pPr>
                  <w:r>
                    <w:t xml:space="preserve">High</w:t>
                  </w:r>
                </w:p>
              </w:tc>
              <w:tc>
                <w:tcPr/>
                <w:p>
                  <w:pPr>
                    <w:pStyle w:val="Compact"/>
                    <w:jc w:val="left"/>
                    <w:jc w:val="center"/>
                  </w:pPr>
                  <w:r>
                    <w:t xml:space="preserve">Unit</w:t>
                  </w:r>
                </w:p>
              </w:tc>
              <w:tc>
                <w:tcPr/>
                <w:p>
                  <w:pPr>
                    <w:pStyle w:val="Compact"/>
                    <w:jc w:val="left"/>
                    <w:jc w:val="center"/>
                  </w:pPr>
                  <w:r>
                    <w:t xml:space="preserve">Source</w:t>
                  </w:r>
                </w:p>
              </w:tc>
            </w:tr>
            <w:tr>
              <w:tc>
                <w:tcPr/>
                <w:p>
                  <w:pPr>
                    <w:pStyle w:val="Compact"/>
                    <w:jc w:val="left"/>
                    <w:jc w:val="center"/>
                  </w:pPr>
                  <w:r>
                    <w:t xml:space="preserve">Import Price 2030</w:t>
                  </w:r>
                </w:p>
              </w:tc>
              <w:tc>
                <w:tcPr/>
                <w:p>
                  <w:pPr>
                    <w:pStyle w:val="Compact"/>
                    <w:jc w:val="right"/>
                    <w:jc w:val="center"/>
                  </w:pPr>
                  <w:r>
                    <w:t xml:space="preserve">0.06</w:t>
                  </w:r>
                </w:p>
              </w:tc>
              <w:tc>
                <w:tcPr/>
                <w:p>
                  <w:pPr>
                    <w:pStyle w:val="Compact"/>
                    <w:jc w:val="left"/>
                    <w:jc w:val="center"/>
                  </w:pPr>
                  <w:r>
                    <w:t xml:space="preserve">0.04</w:t>
                  </w:r>
                </w:p>
              </w:tc>
              <w:tc>
                <w:tcPr/>
                <w:p>
                  <w:pPr>
                    <w:pStyle w:val="Compact"/>
                    <w:jc w:val="left"/>
                    <w:jc w:val="center"/>
                  </w:pPr>
                  <w:r>
                    <w:t xml:space="preserve">0.1</w:t>
                  </w:r>
                </w:p>
              </w:tc>
              <w:tc>
                <w:tcPr/>
                <w:p>
                  <w:pPr>
                    <w:pStyle w:val="Compact"/>
                    <w:jc w:val="left"/>
                    <w:jc w:val="center"/>
                  </w:pPr>
                  <w:r>
                    <w:t xml:space="preserve">USD/kWh</w:t>
                  </w:r>
                </w:p>
              </w:tc>
              <w:tc>
                <w:tcPr/>
                <w:p>
                  <w:pPr>
                    <w:pStyle w:val="Compact"/>
                    <w:jc w:val="left"/>
                    <w:jc w:val="center"/>
                  </w:pPr>
                  <w:r>
                    <w:t xml:space="preserve">India Energy Exchange (IEX) 2024-25</w:t>
                  </w:r>
                </w:p>
              </w:tc>
            </w:tr>
            <w:tr>
              <w:tc>
                <w:tcPr/>
                <w:p>
                  <w:pPr>
                    <w:pStyle w:val="Compact"/>
                    <w:jc w:val="left"/>
                    <w:jc w:val="center"/>
                  </w:pPr>
                  <w:r>
                    <w:t xml:space="preserve">Price Escalation</w:t>
                  </w:r>
                </w:p>
              </w:tc>
              <w:tc>
                <w:tcPr/>
                <w:p>
                  <w:pPr>
                    <w:pStyle w:val="Compact"/>
                    <w:jc w:val="right"/>
                    <w:jc w:val="center"/>
                  </w:pPr>
                  <w:r>
                    <w:t xml:space="preserve">0.01</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%/year</w:t>
                  </w:r>
                </w:p>
              </w:tc>
              <w:tc>
                <w:tcPr/>
                <w:p>
                  <w:pPr>
                    <w:pStyle w:val="Compact"/>
                    <w:jc w:val="left"/>
                    <w:jc w:val="center"/>
                  </w:pPr>
                  <w:r>
                    <w:t xml:space="preserve">IEA WEO 2024 India Energy Outlook: real electricity price growth ~0.5-1.5%/yr un…</w:t>
                  </w:r>
                </w:p>
              </w:tc>
            </w:tr>
            <w:tr>
              <w:tc>
                <w:tcPr/>
                <w:p>
                  <w:pPr>
                    <w:pStyle w:val="Compact"/>
                    <w:jc w:val="left"/>
                    <w:jc w:val="center"/>
                  </w:pPr>
                  <w:r>
                    <w:t xml:space="preserve">Transmission Charge</w:t>
                  </w:r>
                </w:p>
              </w:tc>
              <w:tc>
                <w:tcPr/>
                <w:p>
                  <w:pPr>
                    <w:pStyle w:val="Compact"/>
                    <w:jc w:val="right"/>
                    <w:jc w:val="center"/>
                  </w:pPr>
                  <w:r>
                    <w:t xml:space="preserve">0.01</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USD/kWh</w:t>
                  </w:r>
                </w:p>
              </w:tc>
              <w:tc>
                <w:tcPr/>
                <w:p>
                  <w:pPr>
                    <w:pStyle w:val="Compact"/>
                    <w:jc w:val="left"/>
                    <w:jc w:val="center"/>
                  </w:pPr>
                  <w:r>
                    <w:t xml:space="preserve">India CERC Open Access Regulations (2024): inter-state transmission charge Rs 0.…</w:t>
                  </w:r>
                </w:p>
              </w:tc>
            </w:tr>
            <w:tr>
              <w:tc>
                <w:tcPr/>
                <w:p>
                  <w:pPr>
                    <w:pStyle w:val="Compact"/>
                    <w:jc w:val="left"/>
                    <w:jc w:val="center"/>
                  </w:pPr>
                  <w:r>
                    <w:t xml:space="preserve">India Grid Emission Factor</w:t>
                  </w:r>
                </w:p>
              </w:tc>
              <w:tc>
                <w:tcPr/>
                <w:p>
                  <w:pPr>
                    <w:pStyle w:val="Compact"/>
                    <w:jc w:val="right"/>
                    <w:jc w:val="center"/>
                  </w:pPr>
                  <w:r>
                    <w:t xml:space="preserve">0.7</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kgCO2/kWh</w:t>
                  </w:r>
                </w:p>
              </w:tc>
              <w:tc>
                <w:tcPr/>
                <w:p>
                  <w:pPr>
                    <w:pStyle w:val="Compact"/>
                    <w:jc w:val="left"/>
                    <w:jc w:val="center"/>
                  </w:pPr>
                  <w:r>
                    <w:t xml:space="preserve">CEA CO2 Database 2023 (India); IEA WEO 2023</w:t>
                  </w:r>
                </w:p>
              </w:tc>
            </w:tr>
            <w:tr>
              <w:tc>
                <w:tcPr/>
                <w:p>
                  <w:pPr>
                    <w:pStyle w:val="Compact"/>
                    <w:jc w:val="left"/>
                    <w:jc w:val="center"/>
                  </w:pPr>
                  <w:r>
                    <w:t xml:space="preserve">India Grid Emission Decline</w:t>
                  </w:r>
                </w:p>
              </w:tc>
              <w:tc>
                <w:tcPr/>
                <w:p>
                  <w:pPr>
                    <w:pStyle w:val="Compact"/>
                    <w:jc w:val="right"/>
                    <w:jc w:val="center"/>
                  </w:pPr>
                  <w:r>
                    <w:t xml:space="preserve">0.02</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%/year</w:t>
                  </w:r>
                </w:p>
              </w:tc>
              <w:tc>
                <w:tcPr/>
                <w:p>
                  <w:pPr>
                    <w:pStyle w:val="Compact"/>
                    <w:jc w:val="left"/>
                    <w:jc w:val="center"/>
                  </w:pPr>
                  <w:r>
                    <w:t xml:space="preserve">IEA India Energy Outlook 2021; India NDC trajectory</w:t>
                  </w:r>
                </w:p>
              </w:tc>
            </w:tr>
            <w:tr>
              <w:tc>
                <w:tcPr/>
                <w:p>
                  <w:pPr>
                    <w:pStyle w:val="Compact"/>
                    <w:jc w:val="left"/>
                    <w:jc w:val="center"/>
                  </w:pPr>
                  <w:r>
                    <w:t xml:space="preserve">India Grid Base Year</w:t>
                  </w:r>
                </w:p>
              </w:tc>
              <w:tc>
                <w:tcPr/>
                <w:p>
                  <w:pPr>
                    <w:pStyle w:val="Compact"/>
                    <w:jc w:val="right"/>
                    <w:jc w:val="center"/>
                  </w:pPr>
                  <w:r>
                    <w:t xml:space="preserve">2024</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year</w:t>
                  </w:r>
                </w:p>
              </w:tc>
              <w:tc>
                <w:tcPr/>
                <w:p>
                  <w:pPr>
                    <w:pStyle w:val="Compact"/>
                    <w:jc w:val="left"/>
                    <w:jc w:val="center"/>
                  </w:pPr>
                  <w:r>
                    <w:t xml:space="preserve">Base year for India grid decarbonisation trajectory</w:t>
                  </w:r>
                </w:p>
              </w:tc>
            </w:tr>
          </w:tbl>
          <w:p>
            <w:pPr>
              <w:pStyle w:val="Heading3"/>
              <w:jc w:val="center"/>
            </w:pPr>
            <w:bookmarkStart w:id="354" w:name="re-deployment"/>
            <w:r>
              <w:t xml:space="preserve">14.1.12 RE Deployment</w:t>
            </w:r>
            <w:bookmarkEnd w:id="354"/>
          </w:p>
          <w:tbl>
            <w:tblPr>
              <w:tblStyle w:val="Table"/>
              <w:tblW w:type="pct" w:w="5000"/>
              <w:tblLayout w:type="fixed"/>
              <w:tblLook w:firstRow="1" w:lastRow="0" w:firstColumn="0" w:lastColumn="0" w:noHBand="0" w:noVBand="0" w:val="0020"/>
            </w:tblPr>
            <w:tblGrid>
              <w:gridCol w:w="1573"/>
              <w:gridCol w:w="488"/>
              <w:gridCol w:w="379"/>
              <w:gridCol w:w="433"/>
              <w:gridCol w:w="542"/>
              <w:gridCol w:w="4502"/>
            </w:tblGrid>
            <w:tr>
              <w:trPr>
                <w:tblHeader w:val="on"/>
              </w:trPr>
              <w:tc>
                <w:tcPr/>
                <w:p>
                  <w:pPr>
                    <w:pStyle w:val="Compact"/>
                    <w:jc w:val="left"/>
                    <w:jc w:val="center"/>
                  </w:pPr>
                  <w:r>
                    <w:t xml:space="preserve">Parameter</w:t>
                  </w:r>
                </w:p>
              </w:tc>
              <w:tc>
                <w:tcPr/>
                <w:p>
                  <w:pPr>
                    <w:pStyle w:val="Compact"/>
                    <w:jc w:val="right"/>
                    <w:jc w:val="center"/>
                  </w:pPr>
                  <w:r>
                    <w:t xml:space="preserve">Value</w:t>
                  </w:r>
                </w:p>
              </w:tc>
              <w:tc>
                <w:tcPr/>
                <w:p>
                  <w:pPr>
                    <w:pStyle w:val="Compact"/>
                    <w:jc w:val="left"/>
                    <w:jc w:val="center"/>
                  </w:pPr>
                  <w:r>
                    <w:t xml:space="preserve">Low</w:t>
                  </w:r>
                </w:p>
              </w:tc>
              <w:tc>
                <w:tcPr/>
                <w:p>
                  <w:pPr>
                    <w:pStyle w:val="Compact"/>
                    <w:jc w:val="left"/>
                    <w:jc w:val="center"/>
                  </w:pPr>
                  <w:r>
                    <w:t xml:space="preserve">High</w:t>
                  </w:r>
                </w:p>
              </w:tc>
              <w:tc>
                <w:tcPr/>
                <w:p>
                  <w:pPr>
                    <w:pStyle w:val="Compact"/>
                    <w:jc w:val="left"/>
                    <w:jc w:val="center"/>
                  </w:pPr>
                  <w:r>
                    <w:t xml:space="preserve">Unit</w:t>
                  </w:r>
                </w:p>
              </w:tc>
              <w:tc>
                <w:tcPr/>
                <w:p>
                  <w:pPr>
                    <w:pStyle w:val="Compact"/>
                    <w:jc w:val="left"/>
                    <w:jc w:val="center"/>
                  </w:pPr>
                  <w:r>
                    <w:t xml:space="preserve">Source</w:t>
                  </w:r>
                </w:p>
              </w:tc>
            </w:tr>
            <w:tr>
              <w:tc>
                <w:tcPr/>
                <w:p>
                  <w:pPr>
                    <w:pStyle w:val="Compact"/>
                    <w:jc w:val="left"/>
                    <w:jc w:val="center"/>
                  </w:pPr>
                  <w:r>
                    <w:t xml:space="preserve">Deployment Ramp MW per Year</w:t>
                  </w:r>
                </w:p>
              </w:tc>
              <w:tc>
                <w:tcPr/>
                <w:p>
                  <w:pPr>
                    <w:pStyle w:val="Compact"/>
                    <w:jc w:val="right"/>
                    <w:jc w:val="center"/>
                  </w:pPr>
                  <w:r>
                    <w:t xml:space="preserve">80</w:t>
                  </w:r>
                </w:p>
              </w:tc>
              <w:tc>
                <w:tcPr/>
                <w:p>
                  <w:pPr>
                    <w:pStyle w:val="Compact"/>
                    <w:jc w:val="left"/>
                    <w:jc w:val="center"/>
                  </w:pPr>
                  <w:r>
                    <w:t xml:space="preserve">50</w:t>
                  </w:r>
                </w:p>
              </w:tc>
              <w:tc>
                <w:tcPr/>
                <w:p>
                  <w:pPr>
                    <w:pStyle w:val="Compact"/>
                    <w:jc w:val="left"/>
                    <w:jc w:val="center"/>
                  </w:pPr>
                  <w:r>
                    <w:t xml:space="preserve">120</w:t>
                  </w:r>
                </w:p>
              </w:tc>
              <w:tc>
                <w:tcPr/>
                <w:p>
                  <w:pPr>
                    <w:pStyle w:val="Compact"/>
                    <w:jc w:val="left"/>
                    <w:jc w:val="center"/>
                  </w:pPr>
                  <w:r>
                    <w:t xml:space="preserve">MW/yr</w:t>
                  </w:r>
                </w:p>
              </w:tc>
              <w:tc>
                <w:tcPr/>
                <w:p>
                  <w:pPr>
                    <w:pStyle w:val="Compact"/>
                    <w:jc w:val="left"/>
                    <w:jc w:val="center"/>
                  </w:pPr>
                  <w:r>
                    <w:t xml:space="preserve">ADB Energy Roadmap 2024-2033 (Table 8): 424 MW pipeline over 5yr = ~85 MW/yr. Pr…</w:t>
                  </w:r>
                </w:p>
              </w:tc>
            </w:tr>
            <w:tr>
              <w:tc>
                <w:tcPr/>
                <w:p>
                  <w:pPr>
                    <w:pStyle w:val="Compact"/>
                    <w:jc w:val="left"/>
                    <w:jc w:val="center"/>
                  </w:pPr>
                  <w:r>
                    <w:t xml:space="preserve">Initial RE Share Outer</w:t>
                  </w:r>
                </w:p>
              </w:tc>
              <w:tc>
                <w:tcPr/>
                <w:p>
                  <w:pPr>
                    <w:pStyle w:val="Compact"/>
                    <w:jc w:val="right"/>
                    <w:jc w:val="center"/>
                  </w:pPr>
                  <w:r>
                    <w:t xml:space="preserve">0.1</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fraction</w:t>
                  </w:r>
                </w:p>
              </w:tc>
              <w:tc>
                <w:tcPr/>
                <w:p>
                  <w:pPr>
                    <w:pStyle w:val="Compact"/>
                    <w:jc w:val="left"/>
                    <w:jc w:val="center"/>
                  </w:pPr>
                  <w:r>
                    <w:t xml:space="preserve">68.5 MW installed (2024) Ã· outer-island demand (~516 GWh) â‰ˆ 10%</w:t>
                  </w:r>
                </w:p>
              </w:tc>
            </w:tr>
            <w:tr>
              <w:tc>
                <w:tcPr/>
                <w:p>
                  <w:pPr>
                    <w:pStyle w:val="Compact"/>
                    <w:jc w:val="left"/>
                    <w:jc w:val="center"/>
                  </w:pPr>
                  <w:r>
                    <w:t xml:space="preserve">Male Max RE Share</w:t>
                  </w:r>
                </w:p>
              </w:tc>
              <w:tc>
                <w:tcPr/>
                <w:p>
                  <w:pPr>
                    <w:pStyle w:val="Compact"/>
                    <w:jc w:val="right"/>
                    <w:jc w:val="center"/>
                  </w:pPr>
                  <w:r>
                    <w:t xml:space="preserve">0.08</w:t>
                  </w:r>
                </w:p>
              </w:tc>
              <w:tc>
                <w:tcPr/>
                <w:p>
                  <w:pPr>
                    <w:pStyle w:val="Compact"/>
                    <w:jc w:val="left"/>
                    <w:jc w:val="center"/>
                  </w:pPr>
                  <w:r>
                    <w:t xml:space="preserve">0.04</w:t>
                  </w:r>
                </w:p>
              </w:tc>
              <w:tc>
                <w:tcPr/>
                <w:p>
                  <w:pPr>
                    <w:pStyle w:val="Compact"/>
                    <w:jc w:val="left"/>
                    <w:jc w:val="center"/>
                  </w:pPr>
                  <w:r>
                    <w:t xml:space="preserve">0.15</w:t>
                  </w:r>
                </w:p>
              </w:tc>
              <w:tc>
                <w:tcPr/>
                <w:p>
                  <w:pPr>
                    <w:pStyle w:val="Compact"/>
                    <w:jc w:val="left"/>
                    <w:jc w:val="center"/>
                  </w:pPr>
                  <w:r>
                    <w:t xml:space="preserve">fraction</w:t>
                  </w:r>
                </w:p>
              </w:tc>
              <w:tc>
                <w:tcPr/>
                <w:p>
                  <w:pPr>
                    <w:pStyle w:val="Compact"/>
                    <w:jc w:val="left"/>
                    <w:jc w:val="center"/>
                  </w:pPr>
                  <w:r>
                    <w:t xml:space="preserve">ADB Energy Roadmap 2024-2033 (Table 8): 34 MWp Greater MalÃ© rooftop (4 ASSURE +…</w:t>
                  </w:r>
                </w:p>
              </w:tc>
            </w:tr>
            <w:tr>
              <w:tc>
                <w:tcPr/>
                <w:p>
                  <w:pPr>
                    <w:pStyle w:val="Compact"/>
                    <w:jc w:val="left"/>
                    <w:jc w:val="center"/>
                  </w:pPr>
                  <w:r>
                    <w:t xml:space="preserve">Domestic RE Target 2050</w:t>
                  </w:r>
                </w:p>
              </w:tc>
              <w:tc>
                <w:tcPr/>
                <w:p>
                  <w:pPr>
                    <w:pStyle w:val="Compact"/>
                    <w:jc w:val="right"/>
                    <w:jc w:val="center"/>
                  </w:pPr>
                  <w:r>
                    <w:t xml:space="preserve">0.5</w:t>
                  </w:r>
                </w:p>
              </w:tc>
              <w:tc>
                <w:tcPr/>
                <w:p>
                  <w:pPr>
                    <w:pStyle w:val="Compact"/>
                    <w:jc w:val="left"/>
                    <w:jc w:val="center"/>
                  </w:pPr>
                  <w:r>
                    <w:t xml:space="preserve">0.33</w:t>
                  </w:r>
                </w:p>
              </w:tc>
              <w:tc>
                <w:tcPr/>
                <w:p>
                  <w:pPr>
                    <w:pStyle w:val="Compact"/>
                    <w:jc w:val="left"/>
                    <w:jc w:val="center"/>
                  </w:pPr>
                  <w:r>
                    <w:t xml:space="preserve">0.7</w:t>
                  </w:r>
                </w:p>
              </w:tc>
              <w:tc>
                <w:tcPr/>
                <w:p>
                  <w:pPr>
                    <w:pStyle w:val="Compact"/>
                    <w:jc w:val="left"/>
                    <w:jc w:val="center"/>
                  </w:pPr>
                  <w:r>
                    <w:t xml:space="preserve">%</w:t>
                  </w:r>
                </w:p>
              </w:tc>
              <w:tc>
                <w:tcPr/>
                <w:p>
                  <w:pPr>
                    <w:pStyle w:val="Compact"/>
                    <w:jc w:val="left"/>
                    <w:jc w:val="center"/>
                  </w:pPr>
                  <w:r>
                    <w:t xml:space="preserve">ADB Energy Roadmap 2024-2033: 33% RE by 2028 (government target). 50% by 2050 is…</w:t>
                  </w:r>
                </w:p>
              </w:tc>
            </w:tr>
            <w:tr>
              <w:tc>
                <w:tcPr/>
                <w:p>
                  <w:pPr>
                    <w:pStyle w:val="Compact"/>
                    <w:jc w:val="left"/>
                    <w:jc w:val="center"/>
                  </w:pPr>
                  <w:r>
                    <w:t xml:space="preserve">Inter Island Grid</w:t>
                  </w:r>
                </w:p>
              </w:tc>
              <w:tc>
                <w:tcPr/>
                <w:p>
                  <w:pPr>
                    <w:pStyle w:val="Compact"/>
                    <w:jc w:val="right"/>
                    <w:jc w:val="center"/>
                  </w:pPr>
                  <w:r>
                    <w:t xml:space="preserve">1</w:t>
                  </w:r>
                </w:p>
              </w:tc>
              <w:tc>
                <w:tcPr/>
                <w:p>
                  <w:pPr>
                    <w:pStyle w:val="Compact"/>
                    <w:jc w:val="left"/>
                    <w:jc w:val="center"/>
                  </w:pPr>
                  <w:r>
                    <w:t xml:space="preserve">0</w:t>
                  </w:r>
                </w:p>
              </w:tc>
              <w:tc>
                <w:tcPr/>
                <w:p>
                  <w:pPr>
                    <w:pStyle w:val="Compact"/>
                    <w:jc w:val="left"/>
                    <w:jc w:val="center"/>
                  </w:pPr>
                  <w:r>
                    <w:t xml:space="preserve">1</w:t>
                  </w:r>
                </w:p>
              </w:tc>
              <w:tc>
                <w:tcPr/>
                <w:p>
                  <w:pPr>
                    <w:pStyle w:val="Compact"/>
                    <w:jc w:val="left"/>
                    <w:jc w:val="center"/>
                  </w:pPr>
                  <w:r>
                    <w:t xml:space="preserve">boolean</w:t>
                  </w:r>
                </w:p>
              </w:tc>
              <w:tc>
                <w:tcPr/>
                <w:p>
                  <w:pPr>
                    <w:pStyle w:val="Compact"/>
                    <w:jc w:val="left"/>
                    <w:jc w:val="center"/>
                  </w:pPr>
                  <w:r>
                    <w:t xml:space="preserve">Model design â€” controls inclusion of inter-island cable costs</w:t>
                  </w:r>
                </w:p>
              </w:tc>
            </w:tr>
          </w:tbl>
          <w:p>
            <w:pPr>
              <w:pStyle w:val="Heading3"/>
              <w:jc w:val="center"/>
            </w:pPr>
            <w:bookmarkStart w:id="355" w:name="near-shore-solar"/>
            <w:r>
              <w:t xml:space="preserve">14.1.13 Near-Shore Solar</w:t>
            </w:r>
            <w:bookmarkEnd w:id="355"/>
          </w:p>
          <w:tbl>
            <w:tblPr>
              <w:tblStyle w:val="Table"/>
              <w:tblW w:type="pct" w:w="5000"/>
              <w:tblLayout w:type="fixed"/>
              <w:tblLook w:firstRow="1" w:lastRow="0" w:firstColumn="0" w:lastColumn="0" w:noHBand="0" w:noVBand="0" w:val="0020"/>
            </w:tblPr>
            <w:tblGrid>
              <w:gridCol w:w="1573"/>
              <w:gridCol w:w="524"/>
              <w:gridCol w:w="419"/>
              <w:gridCol w:w="419"/>
              <w:gridCol w:w="629"/>
              <w:gridCol w:w="4353"/>
            </w:tblGrid>
            <w:tr>
              <w:trPr>
                <w:tblHeader w:val="on"/>
              </w:trPr>
              <w:tc>
                <w:tcPr/>
                <w:p>
                  <w:pPr>
                    <w:pStyle w:val="Compact"/>
                    <w:jc w:val="left"/>
                    <w:jc w:val="center"/>
                  </w:pPr>
                  <w:r>
                    <w:t xml:space="preserve">Parameter</w:t>
                  </w:r>
                </w:p>
              </w:tc>
              <w:tc>
                <w:tcPr/>
                <w:p>
                  <w:pPr>
                    <w:pStyle w:val="Compact"/>
                    <w:jc w:val="right"/>
                    <w:jc w:val="center"/>
                  </w:pPr>
                  <w:r>
                    <w:t xml:space="preserve">Value</w:t>
                  </w:r>
                </w:p>
              </w:tc>
              <w:tc>
                <w:tcPr/>
                <w:p>
                  <w:pPr>
                    <w:pStyle w:val="Compact"/>
                    <w:jc w:val="left"/>
                    <w:jc w:val="center"/>
                  </w:pPr>
                  <w:r>
                    <w:t xml:space="preserve">Low</w:t>
                  </w:r>
                </w:p>
              </w:tc>
              <w:tc>
                <w:tcPr/>
                <w:p>
                  <w:pPr>
                    <w:pStyle w:val="Compact"/>
                    <w:jc w:val="left"/>
                    <w:jc w:val="center"/>
                  </w:pPr>
                  <w:r>
                    <w:t xml:space="preserve">High</w:t>
                  </w:r>
                </w:p>
              </w:tc>
              <w:tc>
                <w:tcPr/>
                <w:p>
                  <w:pPr>
                    <w:pStyle w:val="Compact"/>
                    <w:jc w:val="left"/>
                    <w:jc w:val="center"/>
                  </w:pPr>
                  <w:r>
                    <w:t xml:space="preserve">Unit</w:t>
                  </w:r>
                </w:p>
              </w:tc>
              <w:tc>
                <w:tcPr/>
                <w:p>
                  <w:pPr>
                    <w:pStyle w:val="Compact"/>
                    <w:jc w:val="left"/>
                    <w:jc w:val="center"/>
                  </w:pPr>
                  <w:r>
                    <w:t xml:space="preserve">Source</w:t>
                  </w:r>
                </w:p>
              </w:tc>
            </w:tr>
            <w:tr>
              <w:tc>
                <w:tcPr/>
                <w:p>
                  <w:pPr>
                    <w:pStyle w:val="Compact"/>
                    <w:jc w:val="left"/>
                    <w:jc w:val="center"/>
                  </w:pPr>
                  <w:r>
                    <w:t xml:space="preserve">Near-Shore Solar MW</w:t>
                  </w:r>
                </w:p>
              </w:tc>
              <w:tc>
                <w:tcPr/>
                <w:p>
                  <w:pPr>
                    <w:pStyle w:val="Compact"/>
                    <w:jc w:val="right"/>
                    <w:jc w:val="center"/>
                  </w:pPr>
                  <w:r>
                    <w:t xml:space="preserve">104</w:t>
                  </w:r>
                </w:p>
              </w:tc>
              <w:tc>
                <w:tcPr/>
                <w:p>
                  <w:pPr>
                    <w:pStyle w:val="Compact"/>
                    <w:jc w:val="left"/>
                    <w:jc w:val="center"/>
                  </w:pPr>
                  <w:r>
                    <w:t xml:space="preserve">60</w:t>
                  </w:r>
                </w:p>
              </w:tc>
              <w:tc>
                <w:tcPr/>
                <w:p>
                  <w:pPr>
                    <w:pStyle w:val="Compact"/>
                    <w:jc w:val="left"/>
                    <w:jc w:val="center"/>
                  </w:pPr>
                  <w:r>
                    <w:t xml:space="preserve">150</w:t>
                  </w:r>
                </w:p>
              </w:tc>
              <w:tc>
                <w:tcPr/>
                <w:p>
                  <w:pPr>
                    <w:pStyle w:val="Compact"/>
                    <w:jc w:val="left"/>
                    <w:jc w:val="center"/>
                  </w:pPr>
                  <w:r>
                    <w:t xml:space="preserve">MW</w:t>
                  </w:r>
                </w:p>
              </w:tc>
              <w:tc>
                <w:tcPr/>
                <w:p>
                  <w:pPr>
                    <w:pStyle w:val="Compact"/>
                    <w:jc w:val="left"/>
                    <w:jc w:val="center"/>
                  </w:pPr>
                  <w:r>
                    <w:t xml:space="preserve">GIS analysis: uninhabited islands within 10km of MalÃ© (Thilafushi 0.43kmÂ² 6.9k…</w:t>
                  </w:r>
                </w:p>
              </w:tc>
            </w:tr>
            <w:tr>
              <w:tc>
                <w:tcPr/>
                <w:p>
                  <w:pPr>
                    <w:pStyle w:val="Compact"/>
                    <w:jc w:val="left"/>
                    <w:jc w:val="center"/>
                  </w:pPr>
                  <w:r>
                    <w:t xml:space="preserve">Near-Shore Cable Cost per MW</w:t>
                  </w:r>
                </w:p>
              </w:tc>
              <w:tc>
                <w:tcPr/>
                <w:p>
                  <w:pPr>
                    <w:pStyle w:val="Compact"/>
                    <w:jc w:val="right"/>
                    <w:jc w:val="center"/>
                  </w:pPr>
                  <w:r>
                    <w:t xml:space="preserve">250000</w:t>
                  </w:r>
                </w:p>
              </w:tc>
              <w:tc>
                <w:tcPr/>
                <w:p>
                  <w:pPr>
                    <w:pStyle w:val="Compact"/>
                    <w:jc w:val="left"/>
                    <w:jc w:val="center"/>
                  </w:pPr>
                  <w:r>
                    <w:t xml:space="preserve">200000</w:t>
                  </w:r>
                </w:p>
              </w:tc>
              <w:tc>
                <w:tcPr/>
                <w:p>
                  <w:pPr>
                    <w:pStyle w:val="Compact"/>
                    <w:jc w:val="left"/>
                    <w:jc w:val="center"/>
                  </w:pPr>
                  <w:r>
                    <w:t xml:space="preserve">350000</w:t>
                  </w:r>
                </w:p>
              </w:tc>
              <w:tc>
                <w:tcPr/>
                <w:p>
                  <w:pPr>
                    <w:pStyle w:val="Compact"/>
                    <w:jc w:val="left"/>
                    <w:jc w:val="center"/>
                  </w:pPr>
                  <w:r>
                    <w:t xml:space="preserve">USD/MW</w:t>
                  </w:r>
                </w:p>
              </w:tc>
              <w:tc>
                <w:tcPr/>
                <w:p>
                  <w:pPr>
                    <w:pStyle w:val="Compact"/>
                    <w:jc w:val="left"/>
                    <w:jc w:val="center"/>
                  </w:pPr>
                  <w:r>
                    <w:t xml:space="preserve">Engineering estimate: $5-8M for 5-10km shallow-water cable connecting solar farm…</w:t>
                  </w:r>
                </w:p>
              </w:tc>
            </w:tr>
            <w:tr>
              <w:tc>
                <w:tcPr/>
                <w:p>
                  <w:pPr>
                    <w:pStyle w:val="Compact"/>
                    <w:jc w:val="left"/>
                    <w:jc w:val="center"/>
                  </w:pPr>
                  <w:r>
                    <w:t xml:space="preserve">Near-Shore Build Start</w:t>
                  </w:r>
                </w:p>
              </w:tc>
              <w:tc>
                <w:tcPr/>
                <w:p>
                  <w:pPr>
                    <w:pStyle w:val="Compact"/>
                    <w:jc w:val="right"/>
                    <w:jc w:val="center"/>
                  </w:pPr>
                  <w:r>
                    <w:t xml:space="preserve">2030</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year</w:t>
                  </w:r>
                </w:p>
              </w:tc>
              <w:tc>
                <w:tcPr/>
                <w:p>
                  <w:pPr>
                    <w:pStyle w:val="Compact"/>
                    <w:jc w:val="left"/>
                    <w:jc w:val="center"/>
                  </w:pPr>
                  <w:r>
                    <w:t xml:space="preserve">Realistic timeline â€” permitting; EIA; cable manufacturing after initial outer-…</w:t>
                  </w:r>
                </w:p>
              </w:tc>
            </w:tr>
            <w:tr>
              <w:tc>
                <w:tcPr/>
                <w:p>
                  <w:pPr>
                    <w:pStyle w:val="Compact"/>
                    <w:jc w:val="left"/>
                    <w:jc w:val="center"/>
                  </w:pPr>
                  <w:r>
                    <w:t xml:space="preserve">Near-Shore Build Years</w:t>
                  </w:r>
                </w:p>
              </w:tc>
              <w:tc>
                <w:tcPr/>
                <w:p>
                  <w:pPr>
                    <w:pStyle w:val="Compact"/>
                    <w:jc w:val="right"/>
                    <w:jc w:val="center"/>
                  </w:pPr>
                  <w:r>
                    <w:t xml:space="preserve">3</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years</w:t>
                  </w:r>
                </w:p>
              </w:tc>
              <w:tc>
                <w:tcPr/>
                <w:p>
                  <w:pPr>
                    <w:pStyle w:val="Compact"/>
                    <w:jc w:val="left"/>
                    <w:jc w:val="center"/>
                  </w:pPr>
                  <w:r>
                    <w:t xml:space="preserve">3-year phased construction: land prep; cable laying; panel installation</w:t>
                  </w:r>
                </w:p>
              </w:tc>
            </w:tr>
            <w:tr>
              <w:tc>
                <w:tcPr/>
                <w:p>
                  <w:pPr>
                    <w:pStyle w:val="Compact"/>
                    <w:jc w:val="left"/>
                    <w:jc w:val="center"/>
                  </w:pPr>
                  <w:r>
                    <w:t xml:space="preserve">Floating Solar MW</w:t>
                  </w:r>
                </w:p>
              </w:tc>
              <w:tc>
                <w:tcPr/>
                <w:p>
                  <w:pPr>
                    <w:pStyle w:val="Compact"/>
                    <w:jc w:val="right"/>
                    <w:jc w:val="center"/>
                  </w:pPr>
                  <w:r>
                    <w:t xml:space="preserve">195</w:t>
                  </w:r>
                </w:p>
              </w:tc>
              <w:tc>
                <w:tcPr/>
                <w:p>
                  <w:pPr>
                    <w:pStyle w:val="Compact"/>
                    <w:jc w:val="left"/>
                    <w:jc w:val="center"/>
                  </w:pPr>
                  <w:r>
                    <w:t xml:space="preserve">100</w:t>
                  </w:r>
                </w:p>
              </w:tc>
              <w:tc>
                <w:tcPr/>
                <w:p>
                  <w:pPr>
                    <w:pStyle w:val="Compact"/>
                    <w:jc w:val="left"/>
                    <w:jc w:val="center"/>
                  </w:pPr>
                  <w:r>
                    <w:t xml:space="preserve">250</w:t>
                  </w:r>
                </w:p>
              </w:tc>
              <w:tc>
                <w:tcPr/>
                <w:p>
                  <w:pPr>
                    <w:pStyle w:val="Compact"/>
                    <w:jc w:val="left"/>
                    <w:jc w:val="center"/>
                  </w:pPr>
                  <w:r>
                    <w:t xml:space="preserve">MW</w:t>
                  </w:r>
                </w:p>
              </w:tc>
              <w:tc>
                <w:tcPr/>
                <w:p>
                  <w:pPr>
                    <w:pStyle w:val="Compact"/>
                    <w:jc w:val="left"/>
                    <w:jc w:val="center"/>
                  </w:pPr>
                  <w:r>
                    <w:t xml:space="preserve">GoM/MCCEE (2024) Energy Road Map 2024â€“2033: 100 MW Greater MalÃ© lagoon + 95 M…</w:t>
                  </w:r>
                </w:p>
              </w:tc>
            </w:tr>
            <w:tr>
              <w:tc>
                <w:tcPr/>
                <w:p>
                  <w:pPr>
                    <w:pStyle w:val="Compact"/>
                    <w:jc w:val="left"/>
                    <w:jc w:val="center"/>
                  </w:pPr>
                  <w:r>
                    <w:t xml:space="preserve">Floating Solar CAPEX Premium</w:t>
                  </w:r>
                </w:p>
              </w:tc>
              <w:tc>
                <w:tcPr/>
                <w:p>
                  <w:pPr>
                    <w:pStyle w:val="Compact"/>
                    <w:jc w:val="right"/>
                    <w:jc w:val="center"/>
                  </w:pPr>
                  <w:r>
                    <w:t xml:space="preserve">1.5</w:t>
                  </w:r>
                </w:p>
              </w:tc>
              <w:tc>
                <w:tcPr/>
                <w:p>
                  <w:pPr>
                    <w:pStyle w:val="Compact"/>
                    <w:jc w:val="left"/>
                    <w:jc w:val="center"/>
                  </w:pPr>
                  <w:r>
                    <w:t xml:space="preserve">1.3</w:t>
                  </w:r>
                </w:p>
              </w:tc>
              <w:tc>
                <w:tcPr/>
                <w:p>
                  <w:pPr>
                    <w:pStyle w:val="Compact"/>
                    <w:jc w:val="left"/>
                    <w:jc w:val="center"/>
                  </w:pPr>
                  <w:r>
                    <w:t xml:space="preserve">1.8</w:t>
                  </w:r>
                </w:p>
              </w:tc>
              <w:tc>
                <w:tcPr/>
                <w:p>
                  <w:pPr>
                    <w:pStyle w:val="Compact"/>
                    <w:jc w:val="left"/>
                    <w:jc w:val="center"/>
                  </w:pPr>
                  <w:r>
                    <w:t xml:space="preserve">multiplier</w:t>
                  </w:r>
                </w:p>
              </w:tc>
              <w:tc>
                <w:tcPr/>
                <w:p>
                  <w:pPr>
                    <w:pStyle w:val="Compact"/>
                    <w:jc w:val="left"/>
                    <w:jc w:val="center"/>
                  </w:pPr>
                  <w:r>
                    <w:t xml:space="preserve">IRENA (2020) Where Sun Meets Water: floating PV 10-25% cost premium over ground-…</w:t>
                  </w:r>
                </w:p>
              </w:tc>
            </w:tr>
            <w:tr>
              <w:tc>
                <w:tcPr/>
                <w:p>
                  <w:pPr>
                    <w:pStyle w:val="Compact"/>
                    <w:jc w:val="left"/>
                    <w:jc w:val="center"/>
                  </w:pPr>
                  <w:r>
                    <w:t xml:space="preserve">Floating Solar Build Start</w:t>
                  </w:r>
                </w:p>
              </w:tc>
              <w:tc>
                <w:tcPr/>
                <w:p>
                  <w:pPr>
                    <w:pStyle w:val="Compact"/>
                    <w:jc w:val="right"/>
                    <w:jc w:val="center"/>
                  </w:pPr>
                  <w:r>
                    <w:t xml:space="preserve">2033</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year</w:t>
                  </w:r>
                </w:p>
              </w:tc>
              <w:tc>
                <w:tcPr/>
                <w:p>
                  <w:pPr>
                    <w:pStyle w:val="Compact"/>
                    <w:jc w:val="left"/>
                    <w:jc w:val="center"/>
                  </w:pPr>
                  <w:r>
                    <w:t xml:space="preserve">After near-shore islands; requires proven floating PV technology in marine envir…</w:t>
                  </w:r>
                </w:p>
              </w:tc>
            </w:tr>
            <w:tr>
              <w:tc>
                <w:tcPr/>
                <w:p>
                  <w:pPr>
                    <w:pStyle w:val="Compact"/>
                    <w:jc w:val="left"/>
                    <w:jc w:val="center"/>
                  </w:pPr>
                  <w:r>
                    <w:t xml:space="preserve">Floating Solar Build Years</w:t>
                  </w:r>
                </w:p>
              </w:tc>
              <w:tc>
                <w:tcPr/>
                <w:p>
                  <w:pPr>
                    <w:pStyle w:val="Compact"/>
                    <w:jc w:val="right"/>
                    <w:jc w:val="center"/>
                  </w:pPr>
                  <w:r>
                    <w:t xml:space="preserve">5</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years</w:t>
                  </w:r>
                </w:p>
              </w:tc>
              <w:tc>
                <w:tcPr/>
                <w:p>
                  <w:pPr>
                    <w:pStyle w:val="Compact"/>
                    <w:jc w:val="left"/>
                    <w:jc w:val="center"/>
                  </w:pPr>
                  <w:r>
                    <w:t xml:space="preserve">5-year phased construction for large-scale floating PV on lagoon</w:t>
                  </w:r>
                </w:p>
              </w:tc>
            </w:tr>
          </w:tbl>
          <w:p>
            <w:pPr>
              <w:pStyle w:val="Heading3"/>
              <w:jc w:val="center"/>
            </w:pPr>
            <w:bookmarkStart w:id="356" w:name="lng"/>
            <w:r>
              <w:t xml:space="preserve">14.1.14 LNG</w:t>
            </w:r>
            <w:bookmarkEnd w:id="356"/>
          </w:p>
          <w:tbl>
            <w:tblPr>
              <w:tblStyle w:val="Table"/>
              <w:tblW w:type="pct" w:w="5000"/>
              <w:tblLayout w:type="fixed"/>
              <w:tblLook w:firstRow="1" w:lastRow="0" w:firstColumn="0" w:lastColumn="0" w:noHBand="0" w:noVBand="0" w:val="0020"/>
            </w:tblPr>
            <w:tblGrid>
              <w:gridCol w:w="1234"/>
              <w:gridCol w:w="617"/>
              <w:gridCol w:w="617"/>
              <w:gridCol w:w="617"/>
              <w:gridCol w:w="565"/>
              <w:gridCol w:w="4268"/>
            </w:tblGrid>
            <w:tr>
              <w:trPr>
                <w:tblHeader w:val="on"/>
              </w:trPr>
              <w:tc>
                <w:tcPr/>
                <w:p>
                  <w:pPr>
                    <w:pStyle w:val="Compact"/>
                    <w:jc w:val="left"/>
                    <w:jc w:val="center"/>
                  </w:pPr>
                  <w:r>
                    <w:t xml:space="preserve">Parameter</w:t>
                  </w:r>
                </w:p>
              </w:tc>
              <w:tc>
                <w:tcPr/>
                <w:p>
                  <w:pPr>
                    <w:pStyle w:val="Compact"/>
                    <w:jc w:val="right"/>
                    <w:jc w:val="center"/>
                  </w:pPr>
                  <w:r>
                    <w:t xml:space="preserve">Value</w:t>
                  </w:r>
                </w:p>
              </w:tc>
              <w:tc>
                <w:tcPr/>
                <w:p>
                  <w:pPr>
                    <w:pStyle w:val="Compact"/>
                    <w:jc w:val="right"/>
                    <w:jc w:val="center"/>
                  </w:pPr>
                  <w:r>
                    <w:t xml:space="preserve">Low</w:t>
                  </w:r>
                </w:p>
              </w:tc>
              <w:tc>
                <w:tcPr/>
                <w:p>
                  <w:pPr>
                    <w:pStyle w:val="Compact"/>
                    <w:jc w:val="right"/>
                    <w:jc w:val="center"/>
                  </w:pPr>
                  <w:r>
                    <w:t xml:space="preserve">High</w:t>
                  </w:r>
                </w:p>
              </w:tc>
              <w:tc>
                <w:tcPr/>
                <w:p>
                  <w:pPr>
                    <w:pStyle w:val="Compact"/>
                    <w:jc w:val="left"/>
                    <w:jc w:val="center"/>
                  </w:pPr>
                  <w:r>
                    <w:t xml:space="preserve">Unit</w:t>
                  </w:r>
                </w:p>
              </w:tc>
              <w:tc>
                <w:tcPr/>
                <w:p>
                  <w:pPr>
                    <w:pStyle w:val="Compact"/>
                    <w:jc w:val="left"/>
                    <w:jc w:val="center"/>
                  </w:pPr>
                  <w:r>
                    <w:t xml:space="preserve">Source</w:t>
                  </w:r>
                </w:p>
              </w:tc>
            </w:tr>
            <w:tr>
              <w:tc>
                <w:tcPr/>
                <w:p>
                  <w:pPr>
                    <w:pStyle w:val="Compact"/>
                    <w:jc w:val="left"/>
                    <w:jc w:val="center"/>
                  </w:pPr>
                  <w:r>
                    <w:t xml:space="preserve">LNG Plant Capacity MW</w:t>
                  </w:r>
                </w:p>
              </w:tc>
              <w:tc>
                <w:tcPr/>
                <w:p>
                  <w:pPr>
                    <w:pStyle w:val="Compact"/>
                    <w:jc w:val="right"/>
                    <w:jc w:val="center"/>
                  </w:pPr>
                  <w:r>
                    <w:t xml:space="preserve">140</w:t>
                  </w:r>
                </w:p>
              </w:tc>
              <w:tc>
                <w:tcPr/>
                <w:p>
                  <w:pPr>
                    <w:pStyle w:val="Compact"/>
                    <w:jc w:val="right"/>
                    <w:jc w:val="center"/>
                  </w:pPr>
                  <w:r>
                    <w:t xml:space="preserve">100</w:t>
                  </w:r>
                </w:p>
              </w:tc>
              <w:tc>
                <w:tcPr/>
                <w:p>
                  <w:pPr>
                    <w:pStyle w:val="Compact"/>
                    <w:jc w:val="right"/>
                    <w:jc w:val="center"/>
                  </w:pPr>
                  <w:r>
                    <w:t xml:space="preserve">400</w:t>
                  </w:r>
                </w:p>
              </w:tc>
              <w:tc>
                <w:tcPr/>
                <w:p>
                  <w:pPr>
                    <w:pStyle w:val="Compact"/>
                    <w:jc w:val="left"/>
                    <w:jc w:val="center"/>
                  </w:pPr>
                  <w:r>
                    <w:t xml:space="preserve">MW</w:t>
                  </w:r>
                </w:p>
              </w:tc>
              <w:tc>
                <w:tcPr/>
                <w:p>
                  <w:pPr>
                    <w:pStyle w:val="Compact"/>
                    <w:jc w:val="left"/>
                    <w:jc w:val="center"/>
                  </w:pPr>
                  <w:r>
                    <w:t xml:space="preserve">GoM Energy Roadmap 2024-2033: 140 MW initial; scalable to 400 MW</w:t>
                  </w:r>
                </w:p>
              </w:tc>
            </w:tr>
            <w:tr>
              <w:tc>
                <w:tcPr/>
                <w:p>
                  <w:pPr>
                    <w:pStyle w:val="Compact"/>
                    <w:jc w:val="left"/>
                    <w:jc w:val="center"/>
                  </w:pPr>
                  <w:r>
                    <w:t xml:space="preserve">LNG CAPEX per MW</w:t>
                  </w:r>
                </w:p>
              </w:tc>
              <w:tc>
                <w:tcPr/>
                <w:p>
                  <w:pPr>
                    <w:pStyle w:val="Compact"/>
                    <w:jc w:val="right"/>
                    <w:jc w:val="center"/>
                  </w:pPr>
                  <w:r>
                    <w:t xml:space="preserve">1.2e+06</w:t>
                  </w:r>
                </w:p>
              </w:tc>
              <w:tc>
                <w:tcPr/>
                <w:p>
                  <w:pPr>
                    <w:pStyle w:val="Compact"/>
                    <w:jc w:val="right"/>
                    <w:jc w:val="center"/>
                  </w:pPr>
                  <w:r>
                    <w:t xml:space="preserve">900000</w:t>
                  </w:r>
                </w:p>
              </w:tc>
              <w:tc>
                <w:tcPr/>
                <w:p>
                  <w:pPr>
                    <w:pStyle w:val="Compact"/>
                    <w:jc w:val="right"/>
                    <w:jc w:val="center"/>
                  </w:pPr>
                  <w:r>
                    <w:t xml:space="preserve">1.5e+06</w:t>
                  </w:r>
                </w:p>
              </w:tc>
              <w:tc>
                <w:tcPr/>
                <w:p>
                  <w:pPr>
                    <w:pStyle w:val="Compact"/>
                    <w:jc w:val="left"/>
                    <w:jc w:val="center"/>
                  </w:pPr>
                  <w:r>
                    <w:t xml:space="preserve">USD/MW</w:t>
                  </w:r>
                </w:p>
              </w:tc>
              <w:tc>
                <w:tcPr/>
                <w:p>
                  <w:pPr>
                    <w:pStyle w:val="Compact"/>
                    <w:jc w:val="left"/>
                    <w:jc w:val="center"/>
                  </w:pPr>
                  <w:r>
                    <w:t xml:space="preserve">ADB/Mahurkar LNG Prefeasibility 2023; IEA WEO 2024 small-scale LNG</w:t>
                  </w:r>
                </w:p>
              </w:tc>
            </w:tr>
            <w:tr>
              <w:tc>
                <w:tcPr/>
                <w:p>
                  <w:pPr>
                    <w:pStyle w:val="Compact"/>
                    <w:jc w:val="left"/>
                    <w:jc w:val="center"/>
                  </w:pPr>
                  <w:r>
                    <w:t xml:space="preserve">LNG OPEX per MWh</w:t>
                  </w:r>
                </w:p>
              </w:tc>
              <w:tc>
                <w:tcPr/>
                <w:p>
                  <w:pPr>
                    <w:pStyle w:val="Compact"/>
                    <w:jc w:val="right"/>
                    <w:jc w:val="center"/>
                  </w:pPr>
                  <w:r>
                    <w:t xml:space="preserve">8</w:t>
                  </w:r>
                </w:p>
              </w:tc>
              <w:tc>
                <w:tcPr/>
                <w:p>
                  <w:pPr>
                    <w:pStyle w:val="Compact"/>
                    <w:jc w:val="right"/>
                    <w:jc w:val="center"/>
                  </w:pPr>
                  <w:r>
                    <w:t xml:space="preserve">5</w:t>
                  </w:r>
                </w:p>
              </w:tc>
              <w:tc>
                <w:tcPr/>
                <w:p>
                  <w:pPr>
                    <w:pStyle w:val="Compact"/>
                    <w:jc w:val="right"/>
                    <w:jc w:val="center"/>
                  </w:pPr>
                  <w:r>
                    <w:t xml:space="preserve">12</w:t>
                  </w:r>
                </w:p>
              </w:tc>
              <w:tc>
                <w:tcPr/>
                <w:p>
                  <w:pPr>
                    <w:pStyle w:val="Compact"/>
                    <w:jc w:val="left"/>
                    <w:jc w:val="center"/>
                  </w:pPr>
                  <w:r>
                    <w:t xml:space="preserve">USD/MWh</w:t>
                  </w:r>
                </w:p>
              </w:tc>
              <w:tc>
                <w:tcPr/>
                <w:p>
                  <w:pPr>
                    <w:pStyle w:val="Compact"/>
                    <w:jc w:val="left"/>
                    <w:jc w:val="center"/>
                  </w:pPr>
                  <w:r>
                    <w:t xml:space="preserve">IEA Gas Market Report 2024; Lazard LCOE v16 (2023) gas peaker O&amp;M</w:t>
                  </w:r>
                </w:p>
              </w:tc>
            </w:tr>
            <w:tr>
              <w:tc>
                <w:tcPr/>
                <w:p>
                  <w:pPr>
                    <w:pStyle w:val="Compact"/>
                    <w:jc w:val="left"/>
                    <w:jc w:val="center"/>
                  </w:pPr>
                  <w:r>
                    <w:t xml:space="preserve">LNG Fuel Cost per MWh</w:t>
                  </w:r>
                </w:p>
              </w:tc>
              <w:tc>
                <w:tcPr/>
                <w:p>
                  <w:pPr>
                    <w:pStyle w:val="Compact"/>
                    <w:jc w:val="right"/>
                    <w:jc w:val="center"/>
                  </w:pPr>
                  <w:r>
                    <w:t xml:space="preserve">70</w:t>
                  </w:r>
                </w:p>
              </w:tc>
              <w:tc>
                <w:tcPr/>
                <w:p>
                  <w:pPr>
                    <w:pStyle w:val="Compact"/>
                    <w:jc w:val="right"/>
                    <w:jc w:val="center"/>
                  </w:pPr>
                  <w:r>
                    <w:t xml:space="preserve">50</w:t>
                  </w:r>
                </w:p>
              </w:tc>
              <w:tc>
                <w:tcPr/>
                <w:p>
                  <w:pPr>
                    <w:pStyle w:val="Compact"/>
                    <w:jc w:val="right"/>
                    <w:jc w:val="center"/>
                  </w:pPr>
                  <w:r>
                    <w:t xml:space="preserve">100</w:t>
                  </w:r>
                </w:p>
              </w:tc>
              <w:tc>
                <w:tcPr/>
                <w:p>
                  <w:pPr>
                    <w:pStyle w:val="Compact"/>
                    <w:jc w:val="left"/>
                    <w:jc w:val="center"/>
                  </w:pPr>
                  <w:r>
                    <w:t xml:space="preserve">USD/MWh</w:t>
                  </w:r>
                </w:p>
              </w:tc>
              <w:tc>
                <w:tcPr/>
                <w:p>
                  <w:pPr>
                    <w:pStyle w:val="Compact"/>
                    <w:jc w:val="left"/>
                    <w:jc w:val="center"/>
                  </w:pPr>
                  <w:r>
                    <w:t xml:space="preserve">IEA Gas Market Report 2024; Platts LNG marker Dec 2025 ~$14/MMBtu Ã— 7 MMBtu/MWh</w:t>
                  </w:r>
                </w:p>
              </w:tc>
            </w:tr>
            <w:tr>
              <w:tc>
                <w:tcPr/>
                <w:p>
                  <w:pPr>
                    <w:pStyle w:val="Compact"/>
                    <w:jc w:val="left"/>
                    <w:jc w:val="center"/>
                  </w:pPr>
                  <w:r>
                    <w:t xml:space="preserve">LNG Fuel Escalation</w:t>
                  </w:r>
                </w:p>
              </w:tc>
              <w:tc>
                <w:tcPr/>
                <w:p>
                  <w:pPr>
                    <w:pStyle w:val="Compact"/>
                    <w:jc w:val="right"/>
                    <w:jc w:val="center"/>
                  </w:pPr>
                  <w:r>
                    <w:t xml:space="preserve">0.015</w:t>
                  </w:r>
                </w:p>
              </w:tc>
              <w:tc>
                <w:tcPr/>
                <w:p>
                  <w:pPr>
                    <w:pStyle w:val="Compact"/>
                    <w:jc w:val="right"/>
                    <w:jc w:val="center"/>
                  </w:pPr>
                  <w:r>
                    <w:t xml:space="preserve">0.005</w:t>
                  </w:r>
                </w:p>
              </w:tc>
              <w:tc>
                <w:tcPr/>
                <w:p>
                  <w:pPr>
                    <w:pStyle w:val="Compact"/>
                    <w:jc w:val="right"/>
                    <w:jc w:val="center"/>
                  </w:pPr>
                  <w:r>
                    <w:t xml:space="preserve">0.025</w:t>
                  </w:r>
                </w:p>
              </w:tc>
              <w:tc>
                <w:tcPr/>
                <w:p>
                  <w:pPr>
                    <w:pStyle w:val="Compact"/>
                    <w:jc w:val="left"/>
                    <w:jc w:val="center"/>
                  </w:pPr>
                  <w:r>
                    <w:t xml:space="preserve">%/yr</w:t>
                  </w:r>
                </w:p>
              </w:tc>
              <w:tc>
                <w:tcPr/>
                <w:p>
                  <w:pPr>
                    <w:pStyle w:val="Compact"/>
                    <w:jc w:val="left"/>
                    <w:jc w:val="center"/>
                  </w:pPr>
                  <w:r>
                    <w:t xml:space="preserve">IEA WEO 2024 Stated Policies: LNG real price escalation 1-2%/yr</w:t>
                  </w:r>
                </w:p>
              </w:tc>
            </w:tr>
            <w:tr>
              <w:tc>
                <w:tcPr/>
                <w:p>
                  <w:pPr>
                    <w:pStyle w:val="Compact"/>
                    <w:jc w:val="left"/>
                    <w:jc w:val="center"/>
                  </w:pPr>
                  <w:r>
                    <w:t xml:space="preserve">LNG Emission Factor</w:t>
                  </w:r>
                </w:p>
              </w:tc>
              <w:tc>
                <w:tcPr/>
                <w:p>
                  <w:pPr>
                    <w:pStyle w:val="Compact"/>
                    <w:jc w:val="right"/>
                    <w:jc w:val="center"/>
                  </w:pPr>
                  <w:r>
                    <w:t xml:space="preserve">0.4</w:t>
                  </w:r>
                </w:p>
              </w:tc>
              <w:tc>
                <w:tcPr/>
                <w:p>
                  <w:pPr>
                    <w:pStyle w:val="Compact"/>
                    <w:jc w:val="right"/>
                    <w:jc w:val="center"/>
                  </w:pPr>
                  <w:r>
                    <w:t xml:space="preserve">0.35</w:t>
                  </w:r>
                </w:p>
              </w:tc>
              <w:tc>
                <w:tcPr/>
                <w:p>
                  <w:pPr>
                    <w:pStyle w:val="Compact"/>
                    <w:jc w:val="right"/>
                    <w:jc w:val="center"/>
                  </w:pPr>
                  <w:r>
                    <w:t xml:space="preserve">0.45</w:t>
                  </w:r>
                </w:p>
              </w:tc>
              <w:tc>
                <w:tcPr/>
                <w:p>
                  <w:pPr>
                    <w:pStyle w:val="Compact"/>
                    <w:jc w:val="left"/>
                    <w:jc w:val="center"/>
                  </w:pPr>
                  <w:r>
                    <w:t xml:space="preserve">kgCO2/kWh</w:t>
                  </w:r>
                </w:p>
              </w:tc>
              <w:tc>
                <w:tcPr/>
                <w:p>
                  <w:pPr>
                    <w:pStyle w:val="Compact"/>
                    <w:jc w:val="left"/>
                    <w:jc w:val="center"/>
                  </w:pPr>
                  <w:r>
                    <w:t xml:space="preserve">IPCC 2006 Vol.2 Ch.2 Table 2.2: natural gas 56.1 kgCO2/GJ; 40-45% efficiency â†’…</w:t>
                  </w:r>
                </w:p>
              </w:tc>
            </w:tr>
            <w:tr>
              <w:tc>
                <w:tcPr/>
                <w:p>
                  <w:pPr>
                    <w:pStyle w:val="Compact"/>
                    <w:jc w:val="left"/>
                    <w:jc w:val="center"/>
                  </w:pPr>
                  <w:r>
                    <w:t xml:space="preserve">LNG Construction Start</w:t>
                  </w:r>
                </w:p>
              </w:tc>
              <w:tc>
                <w:tcPr/>
                <w:p>
                  <w:pPr>
                    <w:pStyle w:val="Compact"/>
                    <w:jc w:val="right"/>
                    <w:jc w:val="center"/>
                  </w:pPr>
                  <w:r>
                    <w:t xml:space="preserve">2028</w:t>
                  </w:r>
                </w:p>
              </w:tc>
              <w:tc>
                <w:tcPr/>
                <w:p>
                  <w:pPr>
                    <w:pStyle w:val="Compact"/>
                    <w:jc w:val="right"/>
                    <w:jc w:val="center"/>
                  </w:pPr>
                  <w:r>
                    <w:t xml:space="preserve">2027</w:t>
                  </w:r>
                </w:p>
              </w:tc>
              <w:tc>
                <w:tcPr/>
                <w:p>
                  <w:pPr>
                    <w:pStyle w:val="Compact"/>
                    <w:jc w:val="right"/>
                    <w:jc w:val="center"/>
                  </w:pPr>
                  <w:r>
                    <w:t xml:space="preserve">2030</w:t>
                  </w:r>
                </w:p>
              </w:tc>
              <w:tc>
                <w:tcPr/>
                <w:p>
                  <w:pPr>
                    <w:pStyle w:val="Compact"/>
                    <w:jc w:val="left"/>
                    <w:jc w:val="center"/>
                  </w:pPr>
                  <w:r>
                    <w:t xml:space="preserve">year</w:t>
                  </w:r>
                </w:p>
              </w:tc>
              <w:tc>
                <w:tcPr/>
                <w:p>
                  <w:pPr>
                    <w:pStyle w:val="Compact"/>
                    <w:jc w:val="left"/>
                    <w:jc w:val="center"/>
                  </w:pPr>
                  <w:r>
                    <w:t xml:space="preserve">GoM Energy Roadmap: Gulhifalhu terminal planning underway; 3-4 yr construction</w:t>
                  </w:r>
                </w:p>
              </w:tc>
            </w:tr>
            <w:tr>
              <w:tc>
                <w:tcPr/>
                <w:p>
                  <w:pPr>
                    <w:pStyle w:val="Compact"/>
                    <w:jc w:val="left"/>
                    <w:jc w:val="center"/>
                  </w:pPr>
                  <w:r>
                    <w:t xml:space="preserve">LNG Online Year</w:t>
                  </w:r>
                </w:p>
              </w:tc>
              <w:tc>
                <w:tcPr/>
                <w:p>
                  <w:pPr>
                    <w:pStyle w:val="Compact"/>
                    <w:jc w:val="right"/>
                    <w:jc w:val="center"/>
                  </w:pPr>
                  <w:r>
                    <w:t xml:space="preserve">2031</w:t>
                  </w:r>
                </w:p>
              </w:tc>
              <w:tc>
                <w:tcPr/>
                <w:p>
                  <w:pPr>
                    <w:pStyle w:val="Compact"/>
                    <w:jc w:val="right"/>
                    <w:jc w:val="center"/>
                  </w:pPr>
                  <w:r>
                    <w:t xml:space="preserve">2030</w:t>
                  </w:r>
                </w:p>
              </w:tc>
              <w:tc>
                <w:tcPr/>
                <w:p>
                  <w:pPr>
                    <w:pStyle w:val="Compact"/>
                    <w:jc w:val="right"/>
                    <w:jc w:val="center"/>
                  </w:pPr>
                  <w:r>
                    <w:t xml:space="preserve">2033</w:t>
                  </w:r>
                </w:p>
              </w:tc>
              <w:tc>
                <w:tcPr/>
                <w:p>
                  <w:pPr>
                    <w:pStyle w:val="Compact"/>
                    <w:jc w:val="left"/>
                    <w:jc w:val="center"/>
                  </w:pPr>
                  <w:r>
                    <w:t xml:space="preserve">year</w:t>
                  </w:r>
                </w:p>
              </w:tc>
              <w:tc>
                <w:tcPr/>
                <w:p>
                  <w:pPr>
                    <w:pStyle w:val="Compact"/>
                    <w:jc w:val="left"/>
                    <w:jc w:val="center"/>
                  </w:pPr>
                  <w:r>
                    <w:t xml:space="preserve">GoM Energy Roadmap: 3-year construction from 2028</w:t>
                  </w:r>
                </w:p>
              </w:tc>
            </w:tr>
            <w:tr>
              <w:tc>
                <w:tcPr/>
                <w:p>
                  <w:pPr>
                    <w:pStyle w:val="Compact"/>
                    <w:jc w:val="left"/>
                    <w:jc w:val="center"/>
                  </w:pPr>
                  <w:r>
                    <w:t xml:space="preserve">LNG Plant Lifetime</w:t>
                  </w:r>
                </w:p>
              </w:tc>
              <w:tc>
                <w:tcPr/>
                <w:p>
                  <w:pPr>
                    <w:pStyle w:val="Compact"/>
                    <w:jc w:val="right"/>
                    <w:jc w:val="center"/>
                  </w:pPr>
                  <w:r>
                    <w:t xml:space="preserve">30</w:t>
                  </w:r>
                </w:p>
              </w:tc>
              <w:tc>
                <w:tcPr/>
                <w:p>
                  <w:pPr>
                    <w:pStyle w:val="Compact"/>
                    <w:jc w:val="right"/>
                    <w:jc w:val="center"/>
                  </w:pPr>
                  <w:r>
                    <w:t xml:space="preserve">25</w:t>
                  </w:r>
                </w:p>
              </w:tc>
              <w:tc>
                <w:tcPr/>
                <w:p>
                  <w:pPr>
                    <w:pStyle w:val="Compact"/>
                    <w:jc w:val="right"/>
                    <w:jc w:val="center"/>
                  </w:pPr>
                  <w:r>
                    <w:t xml:space="preserve">35</w:t>
                  </w:r>
                </w:p>
              </w:tc>
              <w:tc>
                <w:tcPr/>
                <w:p>
                  <w:pPr>
                    <w:pStyle w:val="Compact"/>
                    <w:jc w:val="left"/>
                    <w:jc w:val="center"/>
                  </w:pPr>
                  <w:r>
                    <w:t xml:space="preserve">years</w:t>
                  </w:r>
                </w:p>
              </w:tc>
              <w:tc>
                <w:tcPr/>
                <w:p>
                  <w:pPr>
                    <w:pStyle w:val="Compact"/>
                    <w:jc w:val="left"/>
                    <w:jc w:val="center"/>
                  </w:pPr>
                  <w:r>
                    <w:t xml:space="preserve">IEA WEO 2024; typical CCGT/gas engine lifetime</w:t>
                  </w:r>
                </w:p>
              </w:tc>
            </w:tr>
            <w:tr>
              <w:tc>
                <w:tcPr/>
                <w:p>
                  <w:pPr>
                    <w:pStyle w:val="Compact"/>
                    <w:jc w:val="left"/>
                    <w:jc w:val="center"/>
                  </w:pPr>
                  <w:r>
                    <w:t xml:space="preserve">LNG Capacity Factor</w:t>
                  </w:r>
                </w:p>
              </w:tc>
              <w:tc>
                <w:tcPr/>
                <w:p>
                  <w:pPr>
                    <w:pStyle w:val="Compact"/>
                    <w:jc w:val="right"/>
                    <w:jc w:val="center"/>
                  </w:pPr>
                  <w:r>
                    <w:t xml:space="preserve">0.8</w:t>
                  </w:r>
                </w:p>
              </w:tc>
              <w:tc>
                <w:tcPr/>
                <w:p>
                  <w:pPr>
                    <w:pStyle w:val="Compact"/>
                    <w:jc w:val="right"/>
                    <w:jc w:val="center"/>
                  </w:pPr>
                  <w:r>
                    <w:t xml:space="preserve">0.7</w:t>
                  </w:r>
                </w:p>
              </w:tc>
              <w:tc>
                <w:tcPr/>
                <w:p>
                  <w:pPr>
                    <w:pStyle w:val="Compact"/>
                    <w:jc w:val="right"/>
                    <w:jc w:val="center"/>
                  </w:pPr>
                  <w:r>
                    <w:t xml:space="preserve">0.9</w:t>
                  </w:r>
                </w:p>
              </w:tc>
              <w:tc>
                <w:tcPr/>
                <w:p>
                  <w:pPr>
                    <w:pStyle w:val="Compact"/>
                    <w:jc w:val="left"/>
                    <w:jc w:val="center"/>
                  </w:pPr>
                  <w:r>
                    <w:t xml:space="preserve">fraction</w:t>
                  </w:r>
                </w:p>
              </w:tc>
              <w:tc>
                <w:tcPr/>
                <w:p>
                  <w:pPr>
                    <w:pStyle w:val="Compact"/>
                    <w:jc w:val="left"/>
                    <w:jc w:val="center"/>
                  </w:pPr>
                  <w:r>
                    <w:t xml:space="preserve">IEA WEO 2024; baseload LNG in island context</w:t>
                  </w:r>
                </w:p>
              </w:tc>
            </w:tr>
          </w:tbl>
          <w:p>
            <w:pPr>
              <w:pStyle w:val="Heading3"/>
              <w:jc w:val="center"/>
            </w:pPr>
            <w:bookmarkStart w:id="357" w:name="mca-scores-lng"/>
            <w:r>
              <w:t xml:space="preserve">14.1.15 MCA Scores LNG</w:t>
            </w:r>
            <w:bookmarkEnd w:id="357"/>
          </w:p>
          <w:tbl>
            <w:tblPr>
              <w:tblStyle w:val="Table"/>
              <w:tblW w:type="pct" w:w="5000"/>
              <w:tblLayout w:type="fixed"/>
              <w:tblLook w:firstRow="1" w:lastRow="0" w:firstColumn="0" w:lastColumn="0" w:noHBand="0" w:noVBand="0" w:val="0020"/>
            </w:tblPr>
            <w:tblGrid>
              <w:gridCol w:w="1550"/>
              <w:gridCol w:w="498"/>
              <w:gridCol w:w="387"/>
              <w:gridCol w:w="443"/>
              <w:gridCol w:w="443"/>
              <w:gridCol w:w="4596"/>
            </w:tblGrid>
            <w:tr>
              <w:trPr>
                <w:tblHeader w:val="on"/>
              </w:trPr>
              <w:tc>
                <w:tcPr/>
                <w:p>
                  <w:pPr>
                    <w:pStyle w:val="Compact"/>
                    <w:jc w:val="left"/>
                    <w:jc w:val="center"/>
                  </w:pPr>
                  <w:r>
                    <w:t xml:space="preserve">Parameter</w:t>
                  </w:r>
                </w:p>
              </w:tc>
              <w:tc>
                <w:tcPr/>
                <w:p>
                  <w:pPr>
                    <w:pStyle w:val="Compact"/>
                    <w:jc w:val="right"/>
                    <w:jc w:val="center"/>
                  </w:pPr>
                  <w:r>
                    <w:t xml:space="preserve">Value</w:t>
                  </w:r>
                </w:p>
              </w:tc>
              <w:tc>
                <w:tcPr/>
                <w:p>
                  <w:pPr>
                    <w:pStyle w:val="Compact"/>
                    <w:jc w:val="right"/>
                    <w:jc w:val="center"/>
                  </w:pPr>
                  <w:r>
                    <w:t xml:space="preserve">Low</w:t>
                  </w:r>
                </w:p>
              </w:tc>
              <w:tc>
                <w:tcPr/>
                <w:p>
                  <w:pPr>
                    <w:pStyle w:val="Compact"/>
                    <w:jc w:val="right"/>
                    <w:jc w:val="center"/>
                  </w:pPr>
                  <w:r>
                    <w:t xml:space="preserve">High</w:t>
                  </w:r>
                </w:p>
              </w:tc>
              <w:tc>
                <w:tcPr/>
                <w:p>
                  <w:pPr>
                    <w:pStyle w:val="Compact"/>
                    <w:jc w:val="left"/>
                    <w:jc w:val="center"/>
                  </w:pPr>
                  <w:r>
                    <w:t xml:space="preserve">Unit</w:t>
                  </w:r>
                </w:p>
              </w:tc>
              <w:tc>
                <w:tcPr/>
                <w:p>
                  <w:pPr>
                    <w:pStyle w:val="Compact"/>
                    <w:jc w:val="left"/>
                    <w:jc w:val="center"/>
                  </w:pPr>
                  <w:r>
                    <w:t xml:space="preserve">Source</w:t>
                  </w:r>
                </w:p>
              </w:tc>
            </w:tr>
            <w:tr>
              <w:tc>
                <w:tcPr/>
                <w:p>
                  <w:pPr>
                    <w:pStyle w:val="Compact"/>
                    <w:jc w:val="left"/>
                    <w:jc w:val="center"/>
                  </w:pPr>
                  <w:r>
                    <w:t xml:space="preserve">Implementation Feasibility</w:t>
                  </w:r>
                </w:p>
              </w:tc>
              <w:tc>
                <w:tcPr/>
                <w:p>
                  <w:pPr>
                    <w:pStyle w:val="Compact"/>
                    <w:jc w:val="right"/>
                    <w:jc w:val="center"/>
                  </w:pPr>
                  <w:r>
                    <w:t xml:space="preserve">0.6</w:t>
                  </w:r>
                </w:p>
              </w:tc>
              <w:tc>
                <w:tcPr/>
                <w:p>
                  <w:pPr>
                    <w:pStyle w:val="Compact"/>
                    <w:jc w:val="right"/>
                    <w:jc w:val="center"/>
                  </w:pPr>
                  <w:r>
                    <w:t xml:space="preserve">0.4</w:t>
                  </w:r>
                </w:p>
              </w:tc>
              <w:tc>
                <w:tcPr/>
                <w:p>
                  <w:pPr>
                    <w:pStyle w:val="Compact"/>
                    <w:jc w:val="right"/>
                    <w:jc w:val="center"/>
                  </w:pPr>
                  <w:r>
                    <w:t xml:space="preserve">0.75</w:t>
                  </w:r>
                </w:p>
              </w:tc>
              <w:tc>
                <w:tcPr/>
                <w:p>
                  <w:pPr>
                    <w:pStyle w:val="Compact"/>
                    <w:jc w:val="left"/>
                    <w:jc w:val="center"/>
                  </w:pPr>
                  <w:r>
                    <w:t xml:space="preserve">score</w:t>
                  </w:r>
                </w:p>
              </w:tc>
              <w:tc>
                <w:tcPr/>
                <w:p>
                  <w:pPr>
                    <w:pStyle w:val="Compact"/>
                    <w:jc w:val="left"/>
                    <w:jc w:val="center"/>
                  </w:pPr>
                  <w:r>
                    <w:t xml:space="preserve">Expert assessment â€” proven technology; single-site construction; moderate comp…</w:t>
                  </w:r>
                </w:p>
              </w:tc>
            </w:tr>
            <w:tr>
              <w:tc>
                <w:tcPr/>
                <w:p>
                  <w:pPr>
                    <w:pStyle w:val="Compact"/>
                    <w:jc w:val="left"/>
                    <w:jc w:val="center"/>
                  </w:pPr>
                  <w:r>
                    <w:t xml:space="preserve">Social Equity</w:t>
                  </w:r>
                </w:p>
              </w:tc>
              <w:tc>
                <w:tcPr/>
                <w:p>
                  <w:pPr>
                    <w:pStyle w:val="Compact"/>
                    <w:jc w:val="right"/>
                    <w:jc w:val="center"/>
                  </w:pPr>
                  <w:r>
                    <w:t xml:space="preserve">0.5</w:t>
                  </w:r>
                </w:p>
              </w:tc>
              <w:tc>
                <w:tcPr/>
                <w:p>
                  <w:pPr>
                    <w:pStyle w:val="Compact"/>
                    <w:jc w:val="right"/>
                    <w:jc w:val="center"/>
                  </w:pPr>
                  <w:r>
                    <w:t xml:space="preserve">0.3</w:t>
                  </w:r>
                </w:p>
              </w:tc>
              <w:tc>
                <w:tcPr/>
                <w:p>
                  <w:pPr>
                    <w:pStyle w:val="Compact"/>
                    <w:jc w:val="right"/>
                    <w:jc w:val="center"/>
                  </w:pPr>
                  <w:r>
                    <w:t xml:space="preserve">0.65</w:t>
                  </w:r>
                </w:p>
              </w:tc>
              <w:tc>
                <w:tcPr/>
                <w:p>
                  <w:pPr>
                    <w:pStyle w:val="Compact"/>
                    <w:jc w:val="left"/>
                    <w:jc w:val="center"/>
                  </w:pPr>
                  <w:r>
                    <w:t xml:space="preserve">score</w:t>
                  </w:r>
                </w:p>
              </w:tc>
              <w:tc>
                <w:tcPr/>
                <w:p>
                  <w:pPr>
                    <w:pStyle w:val="Compact"/>
                    <w:jc w:val="left"/>
                    <w:jc w:val="center"/>
                  </w:pPr>
                  <w:r>
                    <w:t xml:space="preserve">Expert assessment â€” benefits concentrated in Greater MalÃ©; outer islands same…</w:t>
                  </w:r>
                </w:p>
              </w:tc>
            </w:tr>
            <w:tr>
              <w:tc>
                <w:tcPr/>
                <w:p>
                  <w:pPr>
                    <w:pStyle w:val="Compact"/>
                    <w:jc w:val="left"/>
                    <w:jc w:val="center"/>
                  </w:pPr>
                  <w:r>
                    <w:t xml:space="preserve">Climate Resilience</w:t>
                  </w:r>
                </w:p>
              </w:tc>
              <w:tc>
                <w:tcPr/>
                <w:p>
                  <w:pPr>
                    <w:pStyle w:val="Compact"/>
                    <w:jc w:val="right"/>
                    <w:jc w:val="center"/>
                  </w:pPr>
                  <w:r>
                    <w:t xml:space="preserve">0.55</w:t>
                  </w:r>
                </w:p>
              </w:tc>
              <w:tc>
                <w:tcPr/>
                <w:p>
                  <w:pPr>
                    <w:pStyle w:val="Compact"/>
                    <w:jc w:val="right"/>
                    <w:jc w:val="center"/>
                  </w:pPr>
                  <w:r>
                    <w:t xml:space="preserve">0.35</w:t>
                  </w:r>
                </w:p>
              </w:tc>
              <w:tc>
                <w:tcPr/>
                <w:p>
                  <w:pPr>
                    <w:pStyle w:val="Compact"/>
                    <w:jc w:val="right"/>
                    <w:jc w:val="center"/>
                  </w:pPr>
                  <w:r>
                    <w:t xml:space="preserve">0.7</w:t>
                  </w:r>
                </w:p>
              </w:tc>
              <w:tc>
                <w:tcPr/>
                <w:p>
                  <w:pPr>
                    <w:pStyle w:val="Compact"/>
                    <w:jc w:val="left"/>
                    <w:jc w:val="center"/>
                  </w:pPr>
                  <w:r>
                    <w:t xml:space="preserve">score</w:t>
                  </w:r>
                </w:p>
              </w:tc>
              <w:tc>
                <w:tcPr/>
                <w:p>
                  <w:pPr>
                    <w:pStyle w:val="Compact"/>
                    <w:jc w:val="left"/>
                    <w:jc w:val="center"/>
                  </w:pPr>
                  <w:r>
                    <w:t xml:space="preserve">Expert assessment â€” LNG supply chain vulnerability; but diversifies away from …</w:t>
                  </w:r>
                </w:p>
              </w:tc>
            </w:tr>
          </w:tbl>
          <w:p>
            <w:pPr>
              <w:pStyle w:val="Heading3"/>
              <w:jc w:val="center"/>
            </w:pPr>
            <w:bookmarkStart w:id="358" w:name="mca-scores-ns"/>
            <w:r>
              <w:t xml:space="preserve">14.1.16 MCA Scores NS</w:t>
            </w:r>
            <w:bookmarkEnd w:id="358"/>
          </w:p>
          <w:tbl>
            <w:tblPr>
              <w:tblStyle w:val="Table"/>
              <w:tblW w:type="pct" w:w="5000"/>
              <w:tblLayout w:type="fixed"/>
              <w:tblLook w:firstRow="1" w:lastRow="0" w:firstColumn="0" w:lastColumn="0" w:noHBand="0" w:noVBand="0" w:val="0020"/>
            </w:tblPr>
            <w:tblGrid>
              <w:gridCol w:w="1550"/>
              <w:gridCol w:w="498"/>
              <w:gridCol w:w="387"/>
              <w:gridCol w:w="443"/>
              <w:gridCol w:w="443"/>
              <w:gridCol w:w="4596"/>
            </w:tblGrid>
            <w:tr>
              <w:trPr>
                <w:tblHeader w:val="on"/>
              </w:trPr>
              <w:tc>
                <w:tcPr/>
                <w:p>
                  <w:pPr>
                    <w:pStyle w:val="Compact"/>
                    <w:jc w:val="left"/>
                    <w:jc w:val="center"/>
                  </w:pPr>
                  <w:r>
                    <w:t xml:space="preserve">Parameter</w:t>
                  </w:r>
                </w:p>
              </w:tc>
              <w:tc>
                <w:tcPr/>
                <w:p>
                  <w:pPr>
                    <w:pStyle w:val="Compact"/>
                    <w:jc w:val="right"/>
                    <w:jc w:val="center"/>
                  </w:pPr>
                  <w:r>
                    <w:t xml:space="preserve">Value</w:t>
                  </w:r>
                </w:p>
              </w:tc>
              <w:tc>
                <w:tcPr/>
                <w:p>
                  <w:pPr>
                    <w:pStyle w:val="Compact"/>
                    <w:jc w:val="right"/>
                    <w:jc w:val="center"/>
                  </w:pPr>
                  <w:r>
                    <w:t xml:space="preserve">Low</w:t>
                  </w:r>
                </w:p>
              </w:tc>
              <w:tc>
                <w:tcPr/>
                <w:p>
                  <w:pPr>
                    <w:pStyle w:val="Compact"/>
                    <w:jc w:val="right"/>
                    <w:jc w:val="center"/>
                  </w:pPr>
                  <w:r>
                    <w:t xml:space="preserve">High</w:t>
                  </w:r>
                </w:p>
              </w:tc>
              <w:tc>
                <w:tcPr/>
                <w:p>
                  <w:pPr>
                    <w:pStyle w:val="Compact"/>
                    <w:jc w:val="left"/>
                    <w:jc w:val="center"/>
                  </w:pPr>
                  <w:r>
                    <w:t xml:space="preserve">Unit</w:t>
                  </w:r>
                </w:p>
              </w:tc>
              <w:tc>
                <w:tcPr/>
                <w:p>
                  <w:pPr>
                    <w:pStyle w:val="Compact"/>
                    <w:jc w:val="left"/>
                    <w:jc w:val="center"/>
                  </w:pPr>
                  <w:r>
                    <w:t xml:space="preserve">Source</w:t>
                  </w:r>
                </w:p>
              </w:tc>
            </w:tr>
            <w:tr>
              <w:tc>
                <w:tcPr/>
                <w:p>
                  <w:pPr>
                    <w:pStyle w:val="Compact"/>
                    <w:jc w:val="left"/>
                    <w:jc w:val="center"/>
                  </w:pPr>
                  <w:r>
                    <w:t xml:space="preserve">Implementation Feasibility</w:t>
                  </w:r>
                </w:p>
              </w:tc>
              <w:tc>
                <w:tcPr/>
                <w:p>
                  <w:pPr>
                    <w:pStyle w:val="Compact"/>
                    <w:jc w:val="right"/>
                    <w:jc w:val="center"/>
                  </w:pPr>
                  <w:r>
                    <w:t xml:space="preserve">0.6</w:t>
                  </w:r>
                </w:p>
              </w:tc>
              <w:tc>
                <w:tcPr/>
                <w:p>
                  <w:pPr>
                    <w:pStyle w:val="Compact"/>
                    <w:jc w:val="right"/>
                    <w:jc w:val="center"/>
                  </w:pPr>
                  <w:r>
                    <w:t xml:space="preserve">0.4</w:t>
                  </w:r>
                </w:p>
              </w:tc>
              <w:tc>
                <w:tcPr/>
                <w:p>
                  <w:pPr>
                    <w:pStyle w:val="Compact"/>
                    <w:jc w:val="right"/>
                    <w:jc w:val="center"/>
                  </w:pPr>
                  <w:r>
                    <w:t xml:space="preserve">0.75</w:t>
                  </w:r>
                </w:p>
              </w:tc>
              <w:tc>
                <w:tcPr/>
                <w:p>
                  <w:pPr>
                    <w:pStyle w:val="Compact"/>
                    <w:jc w:val="left"/>
                    <w:jc w:val="center"/>
                  </w:pPr>
                  <w:r>
                    <w:t xml:space="preserve">score</w:t>
                  </w:r>
                </w:p>
              </w:tc>
              <w:tc>
                <w:tcPr/>
                <w:p>
                  <w:pPr>
                    <w:pStyle w:val="Compact"/>
                    <w:jc w:val="left"/>
                    <w:jc w:val="center"/>
                  </w:pPr>
                  <w:r>
                    <w:t xml:space="preserve">Expert assessment â€” uninhabited island solar farms + submarine cables to nearb…</w:t>
                  </w:r>
                </w:p>
              </w:tc>
            </w:tr>
            <w:tr>
              <w:tc>
                <w:tcPr/>
                <w:p>
                  <w:pPr>
                    <w:pStyle w:val="Compact"/>
                    <w:jc w:val="left"/>
                    <w:jc w:val="center"/>
                  </w:pPr>
                  <w:r>
                    <w:t xml:space="preserve">Social Equity</w:t>
                  </w:r>
                </w:p>
              </w:tc>
              <w:tc>
                <w:tcPr/>
                <w:p>
                  <w:pPr>
                    <w:pStyle w:val="Compact"/>
                    <w:jc w:val="right"/>
                    <w:jc w:val="center"/>
                  </w:pPr>
                  <w:r>
                    <w:t xml:space="preserve">0.75</w:t>
                  </w:r>
                </w:p>
              </w:tc>
              <w:tc>
                <w:tcPr/>
                <w:p>
                  <w:pPr>
                    <w:pStyle w:val="Compact"/>
                    <w:jc w:val="right"/>
                    <w:jc w:val="center"/>
                  </w:pPr>
                  <w:r>
                    <w:t xml:space="preserve">0.55</w:t>
                  </w:r>
                </w:p>
              </w:tc>
              <w:tc>
                <w:tcPr/>
                <w:p>
                  <w:pPr>
                    <w:pStyle w:val="Compact"/>
                    <w:jc w:val="right"/>
                    <w:jc w:val="center"/>
                  </w:pPr>
                  <w:r>
                    <w:t xml:space="preserve">0.9</w:t>
                  </w:r>
                </w:p>
              </w:tc>
              <w:tc>
                <w:tcPr/>
                <w:p>
                  <w:pPr>
                    <w:pStyle w:val="Compact"/>
                    <w:jc w:val="left"/>
                    <w:jc w:val="center"/>
                  </w:pPr>
                  <w:r>
                    <w:t xml:space="preserve">score</w:t>
                  </w:r>
                </w:p>
              </w:tc>
              <w:tc>
                <w:tcPr/>
                <w:p>
                  <w:pPr>
                    <w:pStyle w:val="Compact"/>
                    <w:jc w:val="left"/>
                    <w:jc w:val="center"/>
                  </w:pPr>
                  <w:r>
                    <w:t xml:space="preserve">Expert assessment â€” benefits distributed across atolls with nearby uninhabited…</w:t>
                  </w:r>
                </w:p>
              </w:tc>
            </w:tr>
            <w:tr>
              <w:tc>
                <w:tcPr/>
                <w:p>
                  <w:pPr>
                    <w:pStyle w:val="Compact"/>
                    <w:jc w:val="left"/>
                    <w:jc w:val="center"/>
                  </w:pPr>
                  <w:r>
                    <w:t xml:space="preserve">Climate Resilience</w:t>
                  </w:r>
                </w:p>
              </w:tc>
              <w:tc>
                <w:tcPr/>
                <w:p>
                  <w:pPr>
                    <w:pStyle w:val="Compact"/>
                    <w:jc w:val="right"/>
                    <w:jc w:val="center"/>
                  </w:pPr>
                  <w:r>
                    <w:t xml:space="preserve">0.75</w:t>
                  </w:r>
                </w:p>
              </w:tc>
              <w:tc>
                <w:tcPr/>
                <w:p>
                  <w:pPr>
                    <w:pStyle w:val="Compact"/>
                    <w:jc w:val="right"/>
                    <w:jc w:val="center"/>
                  </w:pPr>
                  <w:r>
                    <w:t xml:space="preserve">0.55</w:t>
                  </w:r>
                </w:p>
              </w:tc>
              <w:tc>
                <w:tcPr/>
                <w:p>
                  <w:pPr>
                    <w:pStyle w:val="Compact"/>
                    <w:jc w:val="right"/>
                    <w:jc w:val="center"/>
                  </w:pPr>
                  <w:r>
                    <w:t xml:space="preserve">0.9</w:t>
                  </w:r>
                </w:p>
              </w:tc>
              <w:tc>
                <w:tcPr/>
                <w:p>
                  <w:pPr>
                    <w:pStyle w:val="Compact"/>
                    <w:jc w:val="left"/>
                    <w:jc w:val="center"/>
                  </w:pPr>
                  <w:r>
                    <w:t xml:space="preserve">score</w:t>
                  </w:r>
                </w:p>
              </w:tc>
              <w:tc>
                <w:tcPr/>
                <w:p>
                  <w:pPr>
                    <w:pStyle w:val="Compact"/>
                    <w:jc w:val="left"/>
                    <w:jc w:val="center"/>
                  </w:pPr>
                  <w:r>
                    <w:t xml:space="preserve">Expert assessment â€” distributed solar assets; no single failure point; cyclone…</w:t>
                  </w:r>
                </w:p>
              </w:tc>
            </w:tr>
          </w:tbl>
          <w:p>
            <w:pPr>
              <w:pStyle w:val="Heading3"/>
              <w:jc w:val="center"/>
            </w:pPr>
            <w:bookmarkStart w:id="359" w:name="mca-scores-mx"/>
            <w:r>
              <w:t xml:space="preserve">14.1.17 MCA Scores MX</w:t>
            </w:r>
            <w:bookmarkEnd w:id="359"/>
          </w:p>
          <w:tbl>
            <w:tblPr>
              <w:tblStyle w:val="Table"/>
              <w:tblW w:type="pct" w:w="5000"/>
              <w:tblLayout w:type="fixed"/>
              <w:tblLook w:firstRow="1" w:lastRow="0" w:firstColumn="0" w:lastColumn="0" w:noHBand="0" w:noVBand="0" w:val="0020"/>
            </w:tblPr>
            <w:tblGrid>
              <w:gridCol w:w="1550"/>
              <w:gridCol w:w="498"/>
              <w:gridCol w:w="387"/>
              <w:gridCol w:w="443"/>
              <w:gridCol w:w="443"/>
              <w:gridCol w:w="4596"/>
            </w:tblGrid>
            <w:tr>
              <w:trPr>
                <w:tblHeader w:val="on"/>
              </w:trPr>
              <w:tc>
                <w:tcPr/>
                <w:p>
                  <w:pPr>
                    <w:pStyle w:val="Compact"/>
                    <w:jc w:val="left"/>
                    <w:jc w:val="center"/>
                  </w:pPr>
                  <w:r>
                    <w:t xml:space="preserve">Parameter</w:t>
                  </w:r>
                </w:p>
              </w:tc>
              <w:tc>
                <w:tcPr/>
                <w:p>
                  <w:pPr>
                    <w:pStyle w:val="Compact"/>
                    <w:jc w:val="right"/>
                    <w:jc w:val="center"/>
                  </w:pPr>
                  <w:r>
                    <w:t xml:space="preserve">Value</w:t>
                  </w:r>
                </w:p>
              </w:tc>
              <w:tc>
                <w:tcPr/>
                <w:p>
                  <w:pPr>
                    <w:pStyle w:val="Compact"/>
                    <w:jc w:val="right"/>
                    <w:jc w:val="center"/>
                  </w:pPr>
                  <w:r>
                    <w:t xml:space="preserve">Low</w:t>
                  </w:r>
                </w:p>
              </w:tc>
              <w:tc>
                <w:tcPr/>
                <w:p>
                  <w:pPr>
                    <w:pStyle w:val="Compact"/>
                    <w:jc w:val="right"/>
                    <w:jc w:val="center"/>
                  </w:pPr>
                  <w:r>
                    <w:t xml:space="preserve">High</w:t>
                  </w:r>
                </w:p>
              </w:tc>
              <w:tc>
                <w:tcPr/>
                <w:p>
                  <w:pPr>
                    <w:pStyle w:val="Compact"/>
                    <w:jc w:val="left"/>
                    <w:jc w:val="center"/>
                  </w:pPr>
                  <w:r>
                    <w:t xml:space="preserve">Unit</w:t>
                  </w:r>
                </w:p>
              </w:tc>
              <w:tc>
                <w:tcPr/>
                <w:p>
                  <w:pPr>
                    <w:pStyle w:val="Compact"/>
                    <w:jc w:val="left"/>
                    <w:jc w:val="center"/>
                  </w:pPr>
                  <w:r>
                    <w:t xml:space="preserve">Source</w:t>
                  </w:r>
                </w:p>
              </w:tc>
            </w:tr>
            <w:tr>
              <w:tc>
                <w:tcPr/>
                <w:p>
                  <w:pPr>
                    <w:pStyle w:val="Compact"/>
                    <w:jc w:val="left"/>
                    <w:jc w:val="center"/>
                  </w:pPr>
                  <w:r>
                    <w:t xml:space="preserve">Implementation Feasibility</w:t>
                  </w:r>
                </w:p>
              </w:tc>
              <w:tc>
                <w:tcPr/>
                <w:p>
                  <w:pPr>
                    <w:pStyle w:val="Compact"/>
                    <w:jc w:val="right"/>
                    <w:jc w:val="center"/>
                  </w:pPr>
                  <w:r>
                    <w:t xml:space="preserve">0.4</w:t>
                  </w:r>
                </w:p>
              </w:tc>
              <w:tc>
                <w:tcPr/>
                <w:p>
                  <w:pPr>
                    <w:pStyle w:val="Compact"/>
                    <w:jc w:val="right"/>
                    <w:jc w:val="center"/>
                  </w:pPr>
                  <w:r>
                    <w:t xml:space="preserve">0.25</w:t>
                  </w:r>
                </w:p>
              </w:tc>
              <w:tc>
                <w:tcPr/>
                <w:p>
                  <w:pPr>
                    <w:pStyle w:val="Compact"/>
                    <w:jc w:val="right"/>
                    <w:jc w:val="center"/>
                  </w:pPr>
                  <w:r>
                    <w:t xml:space="preserve">0.55</w:t>
                  </w:r>
                </w:p>
              </w:tc>
              <w:tc>
                <w:tcPr/>
                <w:p>
                  <w:pPr>
                    <w:pStyle w:val="Compact"/>
                    <w:jc w:val="left"/>
                    <w:jc w:val="center"/>
                  </w:pPr>
                  <w:r>
                    <w:t xml:space="preserve">score</w:t>
                  </w:r>
                </w:p>
              </w:tc>
              <w:tc>
                <w:tcPr/>
                <w:p>
                  <w:pPr>
                    <w:pStyle w:val="Compact"/>
                    <w:jc w:val="left"/>
                    <w:jc w:val="center"/>
                  </w:pPr>
                  <w:r>
                    <w:t xml:space="preserve">Expert assessment â€” requires floating solar (novel for SIDS) + rooftop + near-…</w:t>
                  </w:r>
                </w:p>
              </w:tc>
            </w:tr>
            <w:tr>
              <w:tc>
                <w:tcPr/>
                <w:p>
                  <w:pPr>
                    <w:pStyle w:val="Compact"/>
                    <w:jc w:val="left"/>
                    <w:jc w:val="center"/>
                  </w:pPr>
                  <w:r>
                    <w:t xml:space="preserve">Social Equity</w:t>
                  </w:r>
                </w:p>
              </w:tc>
              <w:tc>
                <w:tcPr/>
                <w:p>
                  <w:pPr>
                    <w:pStyle w:val="Compact"/>
                    <w:jc w:val="right"/>
                    <w:jc w:val="center"/>
                  </w:pPr>
                  <w:r>
                    <w:t xml:space="preserve">0.8</w:t>
                  </w:r>
                </w:p>
              </w:tc>
              <w:tc>
                <w:tcPr/>
                <w:p>
                  <w:pPr>
                    <w:pStyle w:val="Compact"/>
                    <w:jc w:val="right"/>
                    <w:jc w:val="center"/>
                  </w:pPr>
                  <w:r>
                    <w:t xml:space="preserve">0.6</w:t>
                  </w:r>
                </w:p>
              </w:tc>
              <w:tc>
                <w:tcPr/>
                <w:p>
                  <w:pPr>
                    <w:pStyle w:val="Compact"/>
                    <w:jc w:val="right"/>
                    <w:jc w:val="center"/>
                  </w:pPr>
                  <w:r>
                    <w:t xml:space="preserve">0.95</w:t>
                  </w:r>
                </w:p>
              </w:tc>
              <w:tc>
                <w:tcPr/>
                <w:p>
                  <w:pPr>
                    <w:pStyle w:val="Compact"/>
                    <w:jc w:val="left"/>
                    <w:jc w:val="center"/>
                  </w:pPr>
                  <w:r>
                    <w:t xml:space="preserve">score</w:t>
                  </w:r>
                </w:p>
              </w:tc>
              <w:tc>
                <w:tcPr/>
                <w:p>
                  <w:pPr>
                    <w:pStyle w:val="Compact"/>
                    <w:jc w:val="left"/>
                    <w:jc w:val="center"/>
                  </w:pPr>
                  <w:r>
                    <w:t xml:space="preserve">Expert assessment â€” most comprehensive RE coverage; all islands benefit; float…</w:t>
                  </w:r>
                </w:p>
              </w:tc>
            </w:tr>
            <w:tr>
              <w:tc>
                <w:tcPr/>
                <w:p>
                  <w:pPr>
                    <w:pStyle w:val="Compact"/>
                    <w:jc w:val="left"/>
                    <w:jc w:val="center"/>
                  </w:pPr>
                  <w:r>
                    <w:t xml:space="preserve">Climate Resilience</w:t>
                  </w:r>
                </w:p>
              </w:tc>
              <w:tc>
                <w:tcPr/>
                <w:p>
                  <w:pPr>
                    <w:pStyle w:val="Compact"/>
                    <w:jc w:val="right"/>
                    <w:jc w:val="center"/>
                  </w:pPr>
                  <w:r>
                    <w:t xml:space="preserve">0.85</w:t>
                  </w:r>
                </w:p>
              </w:tc>
              <w:tc>
                <w:tcPr/>
                <w:p>
                  <w:pPr>
                    <w:pStyle w:val="Compact"/>
                    <w:jc w:val="right"/>
                    <w:jc w:val="center"/>
                  </w:pPr>
                  <w:r>
                    <w:t xml:space="preserve">0.65</w:t>
                  </w:r>
                </w:p>
              </w:tc>
              <w:tc>
                <w:tcPr/>
                <w:p>
                  <w:pPr>
                    <w:pStyle w:val="Compact"/>
                    <w:jc w:val="right"/>
                    <w:jc w:val="center"/>
                  </w:pPr>
                  <w:r>
                    <w:t xml:space="preserve">0.95</w:t>
                  </w:r>
                </w:p>
              </w:tc>
              <w:tc>
                <w:tcPr/>
                <w:p>
                  <w:pPr>
                    <w:pStyle w:val="Compact"/>
                    <w:jc w:val="left"/>
                    <w:jc w:val="center"/>
                  </w:pPr>
                  <w:r>
                    <w:t xml:space="preserve">score</w:t>
                  </w:r>
                </w:p>
              </w:tc>
              <w:tc>
                <w:tcPr/>
                <w:p>
                  <w:pPr>
                    <w:pStyle w:val="Compact"/>
                    <w:jc w:val="left"/>
                    <w:jc w:val="center"/>
                  </w:pPr>
                  <w:r>
                    <w:t xml:space="preserve">Expert assessment â€” maximum fuel independence; most diversified technology por…</w:t>
                  </w:r>
                </w:p>
              </w:tc>
            </w:tr>
          </w:tbl>
          <w:p>
            <w:pPr>
              <w:pStyle w:val="Heading3"/>
              <w:jc w:val="center"/>
            </w:pPr>
            <w:bookmarkStart w:id="360" w:name="wte"/>
            <w:r>
              <w:t xml:space="preserve">14.1.18 WTE</w:t>
            </w:r>
            <w:bookmarkEnd w:id="360"/>
          </w:p>
          <w:tbl>
            <w:tblPr>
              <w:tblStyle w:val="Table"/>
              <w:tblW w:type="pct" w:w="5000"/>
              <w:tblLayout w:type="fixed"/>
              <w:tblLook w:firstRow="1" w:lastRow="0" w:firstColumn="0" w:lastColumn="0" w:noHBand="0" w:noVBand="0" w:val="0020"/>
            </w:tblPr>
            <w:tblGrid>
              <w:gridCol w:w="1256"/>
              <w:gridCol w:w="491"/>
              <w:gridCol w:w="491"/>
              <w:gridCol w:w="546"/>
              <w:gridCol w:w="600"/>
              <w:gridCol w:w="4533"/>
            </w:tblGrid>
            <w:tr>
              <w:trPr>
                <w:tblHeader w:val="on"/>
              </w:trPr>
              <w:tc>
                <w:tcPr/>
                <w:p>
                  <w:pPr>
                    <w:pStyle w:val="Compact"/>
                    <w:jc w:val="left"/>
                    <w:jc w:val="center"/>
                  </w:pPr>
                  <w:r>
                    <w:t xml:space="preserve">Parameter</w:t>
                  </w:r>
                </w:p>
              </w:tc>
              <w:tc>
                <w:tcPr/>
                <w:p>
                  <w:pPr>
                    <w:pStyle w:val="Compact"/>
                    <w:jc w:val="right"/>
                    <w:jc w:val="center"/>
                  </w:pPr>
                  <w:r>
                    <w:t xml:space="preserve">Value</w:t>
                  </w:r>
                </w:p>
              </w:tc>
              <w:tc>
                <w:tcPr/>
                <w:p>
                  <w:pPr>
                    <w:pStyle w:val="Compact"/>
                    <w:jc w:val="right"/>
                    <w:jc w:val="center"/>
                  </w:pPr>
                  <w:r>
                    <w:t xml:space="preserve">Low</w:t>
                  </w:r>
                </w:p>
              </w:tc>
              <w:tc>
                <w:tcPr/>
                <w:p>
                  <w:pPr>
                    <w:pStyle w:val="Compact"/>
                    <w:jc w:val="right"/>
                    <w:jc w:val="center"/>
                  </w:pPr>
                  <w:r>
                    <w:t xml:space="preserve">High</w:t>
                  </w:r>
                </w:p>
              </w:tc>
              <w:tc>
                <w:tcPr/>
                <w:p>
                  <w:pPr>
                    <w:pStyle w:val="Compact"/>
                    <w:jc w:val="left"/>
                    <w:jc w:val="center"/>
                  </w:pPr>
                  <w:r>
                    <w:t xml:space="preserve">Unit</w:t>
                  </w:r>
                </w:p>
              </w:tc>
              <w:tc>
                <w:tcPr/>
                <w:p>
                  <w:pPr>
                    <w:pStyle w:val="Compact"/>
                    <w:jc w:val="left"/>
                    <w:jc w:val="center"/>
                  </w:pPr>
                  <w:r>
                    <w:t xml:space="preserve">Source</w:t>
                  </w:r>
                </w:p>
              </w:tc>
            </w:tr>
            <w:tr>
              <w:tc>
                <w:tcPr/>
                <w:p>
                  <w:pPr>
                    <w:pStyle w:val="Compact"/>
                    <w:jc w:val="left"/>
                    <w:jc w:val="center"/>
                  </w:pPr>
                  <w:r>
                    <w:t xml:space="preserve">WTE Total Capacity MW</w:t>
                  </w:r>
                </w:p>
              </w:tc>
              <w:tc>
                <w:tcPr/>
                <w:p>
                  <w:pPr>
                    <w:pStyle w:val="Compact"/>
                    <w:jc w:val="right"/>
                    <w:jc w:val="center"/>
                  </w:pPr>
                  <w:r>
                    <w:t xml:space="preserve">14</w:t>
                  </w:r>
                </w:p>
              </w:tc>
              <w:tc>
                <w:tcPr/>
                <w:p>
                  <w:pPr>
                    <w:pStyle w:val="Compact"/>
                    <w:jc w:val="right"/>
                    <w:jc w:val="center"/>
                  </w:pPr>
                  <w:r>
                    <w:t xml:space="preserve">10</w:t>
                  </w:r>
                </w:p>
              </w:tc>
              <w:tc>
                <w:tcPr/>
                <w:p>
                  <w:pPr>
                    <w:pStyle w:val="Compact"/>
                    <w:jc w:val="right"/>
                    <w:jc w:val="center"/>
                  </w:pPr>
                  <w:r>
                    <w:t xml:space="preserve">20</w:t>
                  </w:r>
                </w:p>
              </w:tc>
              <w:tc>
                <w:tcPr/>
                <w:p>
                  <w:pPr>
                    <w:pStyle w:val="Compact"/>
                    <w:jc w:val="left"/>
                    <w:jc w:val="center"/>
                  </w:pPr>
                  <w:r>
                    <w:t xml:space="preserve">MW</w:t>
                  </w:r>
                </w:p>
              </w:tc>
              <w:tc>
                <w:tcPr/>
                <w:p>
                  <w:pPr>
                    <w:pStyle w:val="Compact"/>
                    <w:jc w:val="left"/>
                    <w:jc w:val="center"/>
                  </w:pPr>
                  <w:r>
                    <w:t xml:space="preserve">GoM Energy Roadmap 2024-2033: 12 MW Thilafushi + 1.5 Addu + 0.5 Vandhoo</w:t>
                  </w:r>
                </w:p>
              </w:tc>
            </w:tr>
            <w:tr>
              <w:tc>
                <w:tcPr/>
                <w:p>
                  <w:pPr>
                    <w:pStyle w:val="Compact"/>
                    <w:jc w:val="left"/>
                    <w:jc w:val="center"/>
                  </w:pPr>
                  <w:r>
                    <w:t xml:space="preserve">WTE CAPEX per kW</w:t>
                  </w:r>
                </w:p>
              </w:tc>
              <w:tc>
                <w:tcPr/>
                <w:p>
                  <w:pPr>
                    <w:pStyle w:val="Compact"/>
                    <w:jc w:val="right"/>
                    <w:jc w:val="center"/>
                  </w:pPr>
                  <w:r>
                    <w:t xml:space="preserve">8000</w:t>
                  </w:r>
                </w:p>
              </w:tc>
              <w:tc>
                <w:tcPr/>
                <w:p>
                  <w:pPr>
                    <w:pStyle w:val="Compact"/>
                    <w:jc w:val="right"/>
                    <w:jc w:val="center"/>
                  </w:pPr>
                  <w:r>
                    <w:t xml:space="preserve">6000</w:t>
                  </w:r>
                </w:p>
              </w:tc>
              <w:tc>
                <w:tcPr/>
                <w:p>
                  <w:pPr>
                    <w:pStyle w:val="Compact"/>
                    <w:jc w:val="right"/>
                    <w:jc w:val="center"/>
                  </w:pPr>
                  <w:r>
                    <w:t xml:space="preserve">12000</w:t>
                  </w:r>
                </w:p>
              </w:tc>
              <w:tc>
                <w:tcPr/>
                <w:p>
                  <w:pPr>
                    <w:pStyle w:val="Compact"/>
                    <w:jc w:val="left"/>
                    <w:jc w:val="center"/>
                  </w:pPr>
                  <w:r>
                    <w:t xml:space="preserve">USD/kW</w:t>
                  </w:r>
                </w:p>
              </w:tc>
              <w:tc>
                <w:tcPr/>
                <w:p>
                  <w:pPr>
                    <w:pStyle w:val="Compact"/>
                    <w:jc w:val="left"/>
                    <w:jc w:val="center"/>
                  </w:pPr>
                  <w:r>
                    <w:t xml:space="preserve">ICLEI Waste-to-Energy Guidebook 2021: $8k-12k/kW for &lt;20 MW; EIA AEO 2024 ref $8…</w:t>
                  </w:r>
                </w:p>
              </w:tc>
            </w:tr>
            <w:tr>
              <w:tc>
                <w:tcPr/>
                <w:p>
                  <w:pPr>
                    <w:pStyle w:val="Compact"/>
                    <w:jc w:val="left"/>
                    <w:jc w:val="center"/>
                  </w:pPr>
                  <w:r>
                    <w:t xml:space="preserve">WTE OPEX pct</w:t>
                  </w:r>
                </w:p>
              </w:tc>
              <w:tc>
                <w:tcPr/>
                <w:p>
                  <w:pPr>
                    <w:pStyle w:val="Compact"/>
                    <w:jc w:val="right"/>
                    <w:jc w:val="center"/>
                  </w:pPr>
                  <w:r>
                    <w:t xml:space="preserve">0.04</w:t>
                  </w:r>
                </w:p>
              </w:tc>
              <w:tc>
                <w:tcPr/>
                <w:p>
                  <w:pPr>
                    <w:pStyle w:val="Compact"/>
                    <w:jc w:val="right"/>
                    <w:jc w:val="center"/>
                  </w:pPr>
                  <w:r>
                    <w:t xml:space="preserve">0.03</w:t>
                  </w:r>
                </w:p>
              </w:tc>
              <w:tc>
                <w:tcPr/>
                <w:p>
                  <w:pPr>
                    <w:pStyle w:val="Compact"/>
                    <w:jc w:val="right"/>
                    <w:jc w:val="center"/>
                  </w:pPr>
                  <w:r>
                    <w:t xml:space="preserve">0.05</w:t>
                  </w:r>
                </w:p>
              </w:tc>
              <w:tc>
                <w:tcPr/>
                <w:p>
                  <w:pPr>
                    <w:pStyle w:val="Compact"/>
                    <w:jc w:val="left"/>
                    <w:jc w:val="center"/>
                  </w:pPr>
                  <w:r>
                    <w:t xml:space="preserve">fraction</w:t>
                  </w:r>
                </w:p>
              </w:tc>
              <w:tc>
                <w:tcPr/>
                <w:p>
                  <w:pPr>
                    <w:pStyle w:val="Compact"/>
                    <w:jc w:val="left"/>
                    <w:jc w:val="center"/>
                  </w:pPr>
                  <w:r>
                    <w:t xml:space="preserve">Engineering estimate â€” 3-5% of CAPEX/yr for thermal plants; ICLEI WtE Guideboo…</w:t>
                  </w:r>
                </w:p>
              </w:tc>
            </w:tr>
            <w:tr>
              <w:tc>
                <w:tcPr/>
                <w:p>
                  <w:pPr>
                    <w:pStyle w:val="Compact"/>
                    <w:jc w:val="left"/>
                    <w:jc w:val="center"/>
                  </w:pPr>
                  <w:r>
                    <w:t xml:space="preserve">WTE Capacity Factor</w:t>
                  </w:r>
                </w:p>
              </w:tc>
              <w:tc>
                <w:tcPr/>
                <w:p>
                  <w:pPr>
                    <w:pStyle w:val="Compact"/>
                    <w:jc w:val="right"/>
                    <w:jc w:val="center"/>
                  </w:pPr>
                  <w:r>
                    <w:t xml:space="preserve">0.8</w:t>
                  </w:r>
                </w:p>
              </w:tc>
              <w:tc>
                <w:tcPr/>
                <w:p>
                  <w:pPr>
                    <w:pStyle w:val="Compact"/>
                    <w:jc w:val="right"/>
                    <w:jc w:val="center"/>
                  </w:pPr>
                  <w:r>
                    <w:t xml:space="preserve">0.7</w:t>
                  </w:r>
                </w:p>
              </w:tc>
              <w:tc>
                <w:tcPr/>
                <w:p>
                  <w:pPr>
                    <w:pStyle w:val="Compact"/>
                    <w:jc w:val="right"/>
                    <w:jc w:val="center"/>
                  </w:pPr>
                  <w:r>
                    <w:t xml:space="preserve">0.85</w:t>
                  </w:r>
                </w:p>
              </w:tc>
              <w:tc>
                <w:tcPr/>
                <w:p>
                  <w:pPr>
                    <w:pStyle w:val="Compact"/>
                    <w:jc w:val="left"/>
                    <w:jc w:val="center"/>
                  </w:pPr>
                  <w:r>
                    <w:t xml:space="preserve">fraction</w:t>
                  </w:r>
                </w:p>
              </w:tc>
              <w:tc>
                <w:tcPr/>
                <w:p>
                  <w:pPr>
                    <w:pStyle w:val="Compact"/>
                    <w:jc w:val="left"/>
                    <w:jc w:val="center"/>
                  </w:pPr>
                  <w:r>
                    <w:t xml:space="preserve">Engineering estimate â€” baseload operation limited by waste supply; 80% typical…</w:t>
                  </w:r>
                </w:p>
              </w:tc>
            </w:tr>
            <w:tr>
              <w:tc>
                <w:tcPr/>
                <w:p>
                  <w:pPr>
                    <w:pStyle w:val="Compact"/>
                    <w:jc w:val="left"/>
                    <w:jc w:val="center"/>
                  </w:pPr>
                  <w:r>
                    <w:t xml:space="preserve">WTE Plant Lifetime</w:t>
                  </w:r>
                </w:p>
              </w:tc>
              <w:tc>
                <w:tcPr/>
                <w:p>
                  <w:pPr>
                    <w:pStyle w:val="Compact"/>
                    <w:jc w:val="right"/>
                    <w:jc w:val="center"/>
                  </w:pPr>
                  <w:r>
                    <w:t xml:space="preserve">20</w:t>
                  </w:r>
                </w:p>
              </w:tc>
              <w:tc>
                <w:tcPr/>
                <w:p>
                  <w:pPr>
                    <w:pStyle w:val="Compact"/>
                    <w:jc w:val="right"/>
                    <w:jc w:val="center"/>
                  </w:pPr>
                  <w:r>
                    <w:t xml:space="preserve">15</w:t>
                  </w:r>
                </w:p>
              </w:tc>
              <w:tc>
                <w:tcPr/>
                <w:p>
                  <w:pPr>
                    <w:pStyle w:val="Compact"/>
                    <w:jc w:val="right"/>
                    <w:jc w:val="center"/>
                  </w:pPr>
                  <w:r>
                    <w:t xml:space="preserve">25</w:t>
                  </w:r>
                </w:p>
              </w:tc>
              <w:tc>
                <w:tcPr/>
                <w:p>
                  <w:pPr>
                    <w:pStyle w:val="Compact"/>
                    <w:jc w:val="left"/>
                    <w:jc w:val="center"/>
                  </w:pPr>
                  <w:r>
                    <w:t xml:space="preserve">years</w:t>
                  </w:r>
                </w:p>
              </w:tc>
              <w:tc>
                <w:tcPr/>
                <w:p>
                  <w:pPr>
                    <w:pStyle w:val="Compact"/>
                    <w:jc w:val="left"/>
                    <w:jc w:val="center"/>
                  </w:pPr>
                  <w:r>
                    <w:t xml:space="preserve">ICLEI WtE Guidebook 2021: 20-year economic lifetime for medium-scale incineratio…</w:t>
                  </w:r>
                </w:p>
              </w:tc>
            </w:tr>
            <w:tr>
              <w:tc>
                <w:tcPr/>
                <w:p>
                  <w:pPr>
                    <w:pStyle w:val="Compact"/>
                    <w:jc w:val="left"/>
                    <w:jc w:val="center"/>
                  </w:pPr>
                  <w:r>
                    <w:t xml:space="preserve">WTE Online Year</w:t>
                  </w:r>
                </w:p>
              </w:tc>
              <w:tc>
                <w:tcPr/>
                <w:p>
                  <w:pPr>
                    <w:pStyle w:val="Compact"/>
                    <w:jc w:val="right"/>
                    <w:jc w:val="center"/>
                  </w:pPr>
                  <w:r>
                    <w:t xml:space="preserve">2025</w:t>
                  </w:r>
                </w:p>
              </w:tc>
              <w:tc>
                <w:tcPr/>
                <w:p>
                  <w:pPr>
                    <w:pStyle w:val="Compact"/>
                    <w:jc w:val="right"/>
                    <w:jc w:val="center"/>
                  </w:pPr>
                  <w:r>
                    <w:t xml:space="preserve">2025</w:t>
                  </w:r>
                </w:p>
              </w:tc>
              <w:tc>
                <w:tcPr/>
                <w:p>
                  <w:pPr>
                    <w:pStyle w:val="Compact"/>
                    <w:jc w:val="right"/>
                    <w:jc w:val="center"/>
                  </w:pPr>
                  <w:r>
                    <w:t xml:space="preserve">2027</w:t>
                  </w:r>
                </w:p>
              </w:tc>
              <w:tc>
                <w:tcPr/>
                <w:p>
                  <w:pPr>
                    <w:pStyle w:val="Compact"/>
                    <w:jc w:val="left"/>
                    <w:jc w:val="center"/>
                  </w:pPr>
                  <w:r>
                    <w:t xml:space="preserve">year</w:t>
                  </w:r>
                </w:p>
              </w:tc>
              <w:tc>
                <w:tcPr/>
                <w:p>
                  <w:pPr>
                    <w:pStyle w:val="Compact"/>
                    <w:jc w:val="left"/>
                    <w:jc w:val="center"/>
                  </w:pPr>
                  <w:r>
                    <w:t xml:space="preserve">ADB/MCCEE Energy Roadmap 2024-2033: Thilafushi WTE expected operational end 2024…</w:t>
                  </w:r>
                </w:p>
              </w:tc>
            </w:tr>
            <w:tr>
              <w:tc>
                <w:tcPr/>
                <w:p>
                  <w:pPr>
                    <w:pStyle w:val="Compact"/>
                    <w:jc w:val="left"/>
                    <w:jc w:val="center"/>
                  </w:pPr>
                  <w:r>
                    <w:t xml:space="preserve">WTE Emission Factor</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0.15</w:t>
                  </w:r>
                </w:p>
              </w:tc>
              <w:tc>
                <w:tcPr/>
                <w:p>
                  <w:pPr>
                    <w:pStyle w:val="Compact"/>
                    <w:jc w:val="left"/>
                    <w:jc w:val="center"/>
                  </w:pPr>
                  <w:r>
                    <w:t xml:space="preserve">kgCO2/kWh</w:t>
                  </w:r>
                </w:p>
              </w:tc>
              <w:tc>
                <w:tcPr/>
                <w:p>
                  <w:pPr>
                    <w:pStyle w:val="Compact"/>
                    <w:jc w:val="left"/>
                    <w:jc w:val="center"/>
                  </w:pPr>
                  <w:r>
                    <w:t xml:space="preserve">UNFCCC CDM methodology: biogenic MSW is carbon-neutral; fossil fraction ~40% pla…</w:t>
                  </w:r>
                </w:p>
              </w:tc>
            </w:tr>
          </w:tbl>
          <w:p>
            <w:pPr>
              <w:pStyle w:val="Heading3"/>
              <w:jc w:val="center"/>
            </w:pPr>
            <w:bookmarkStart w:id="361" w:name="wind"/>
            <w:r>
              <w:t xml:space="preserve">14.1.19 Wind</w:t>
            </w:r>
            <w:bookmarkEnd w:id="361"/>
          </w:p>
          <w:tbl>
            <w:tblPr>
              <w:tblStyle w:val="Table"/>
              <w:tblW w:type="pct" w:w="5000"/>
              <w:tblLayout w:type="fixed"/>
              <w:tblLook w:firstRow="1" w:lastRow="0" w:firstColumn="0" w:lastColumn="0" w:noHBand="0" w:noVBand="0" w:val="0020"/>
            </w:tblPr>
            <w:tblGrid>
              <w:gridCol w:w="1201"/>
              <w:gridCol w:w="491"/>
              <w:gridCol w:w="491"/>
              <w:gridCol w:w="491"/>
              <w:gridCol w:w="710"/>
              <w:gridCol w:w="4533"/>
            </w:tblGrid>
            <w:tr>
              <w:trPr>
                <w:tblHeader w:val="on"/>
              </w:trPr>
              <w:tc>
                <w:tcPr/>
                <w:p>
                  <w:pPr>
                    <w:pStyle w:val="Compact"/>
                    <w:jc w:val="left"/>
                    <w:jc w:val="center"/>
                  </w:pPr>
                  <w:r>
                    <w:t xml:space="preserve">Parameter</w:t>
                  </w:r>
                </w:p>
              </w:tc>
              <w:tc>
                <w:tcPr/>
                <w:p>
                  <w:pPr>
                    <w:pStyle w:val="Compact"/>
                    <w:jc w:val="right"/>
                    <w:jc w:val="center"/>
                  </w:pPr>
                  <w:r>
                    <w:t xml:space="preserve">Value</w:t>
                  </w:r>
                </w:p>
              </w:tc>
              <w:tc>
                <w:tcPr/>
                <w:p>
                  <w:pPr>
                    <w:pStyle w:val="Compact"/>
                    <w:jc w:val="right"/>
                    <w:jc w:val="center"/>
                  </w:pPr>
                  <w:r>
                    <w:t xml:space="preserve">Low</w:t>
                  </w:r>
                </w:p>
              </w:tc>
              <w:tc>
                <w:tcPr/>
                <w:p>
                  <w:pPr>
                    <w:pStyle w:val="Compact"/>
                    <w:jc w:val="right"/>
                    <w:jc w:val="center"/>
                  </w:pPr>
                  <w:r>
                    <w:t xml:space="preserve">High</w:t>
                  </w:r>
                </w:p>
              </w:tc>
              <w:tc>
                <w:tcPr/>
                <w:p>
                  <w:pPr>
                    <w:pStyle w:val="Compact"/>
                    <w:jc w:val="left"/>
                    <w:jc w:val="center"/>
                  </w:pPr>
                  <w:r>
                    <w:t xml:space="preserve">Unit</w:t>
                  </w:r>
                </w:p>
              </w:tc>
              <w:tc>
                <w:tcPr/>
                <w:p>
                  <w:pPr>
                    <w:pStyle w:val="Compact"/>
                    <w:jc w:val="left"/>
                    <w:jc w:val="center"/>
                  </w:pPr>
                  <w:r>
                    <w:t xml:space="preserve">Source</w:t>
                  </w:r>
                </w:p>
              </w:tc>
            </w:tr>
            <w:tr>
              <w:tc>
                <w:tcPr/>
                <w:p>
                  <w:pPr>
                    <w:pStyle w:val="Compact"/>
                    <w:jc w:val="left"/>
                    <w:jc w:val="center"/>
                  </w:pPr>
                  <w:r>
                    <w:t xml:space="preserve">Wind Capacity MW</w:t>
                  </w:r>
                </w:p>
              </w:tc>
              <w:tc>
                <w:tcPr/>
                <w:p>
                  <w:pPr>
                    <w:pStyle w:val="Compact"/>
                    <w:jc w:val="right"/>
                    <w:jc w:val="center"/>
                  </w:pPr>
                  <w:r>
                    <w:t xml:space="preserve">80</w:t>
                  </w:r>
                </w:p>
              </w:tc>
              <w:tc>
                <w:tcPr/>
                <w:p>
                  <w:pPr>
                    <w:pStyle w:val="Compact"/>
                    <w:jc w:val="right"/>
                    <w:jc w:val="center"/>
                  </w:pPr>
                  <w:r>
                    <w:t xml:space="preserve">40</w:t>
                  </w:r>
                </w:p>
              </w:tc>
              <w:tc>
                <w:tcPr/>
                <w:p>
                  <w:pPr>
                    <w:pStyle w:val="Compact"/>
                    <w:jc w:val="right"/>
                    <w:jc w:val="center"/>
                  </w:pPr>
                  <w:r>
                    <w:t xml:space="preserve">120</w:t>
                  </w:r>
                </w:p>
              </w:tc>
              <w:tc>
                <w:tcPr/>
                <w:p>
                  <w:pPr>
                    <w:pStyle w:val="Compact"/>
                    <w:jc w:val="left"/>
                    <w:jc w:val="center"/>
                  </w:pPr>
                  <w:r>
                    <w:t xml:space="preserve">MW</w:t>
                  </w:r>
                </w:p>
              </w:tc>
              <w:tc>
                <w:tcPr/>
                <w:p>
                  <w:pPr>
                    <w:pStyle w:val="Compact"/>
                    <w:jc w:val="left"/>
                    <w:jc w:val="center"/>
                  </w:pPr>
                  <w:r>
                    <w:t xml:space="preserve">ADB/MCCEE Energy Roadmap 2024-2033: 80 MW potential on industrial islands (Gulhi…</w:t>
                  </w:r>
                </w:p>
              </w:tc>
            </w:tr>
            <w:tr>
              <w:tc>
                <w:tcPr/>
                <w:p>
                  <w:pPr>
                    <w:pStyle w:val="Compact"/>
                    <w:jc w:val="left"/>
                    <w:jc w:val="center"/>
                  </w:pPr>
                  <w:r>
                    <w:t xml:space="preserve">Wind CAPEX per kW</w:t>
                  </w:r>
                </w:p>
              </w:tc>
              <w:tc>
                <w:tcPr/>
                <w:p>
                  <w:pPr>
                    <w:pStyle w:val="Compact"/>
                    <w:jc w:val="right"/>
                    <w:jc w:val="center"/>
                  </w:pPr>
                  <w:r>
                    <w:t xml:space="preserve">3000</w:t>
                  </w:r>
                </w:p>
              </w:tc>
              <w:tc>
                <w:tcPr/>
                <w:p>
                  <w:pPr>
                    <w:pStyle w:val="Compact"/>
                    <w:jc w:val="right"/>
                    <w:jc w:val="center"/>
                  </w:pPr>
                  <w:r>
                    <w:t xml:space="preserve">2500</w:t>
                  </w:r>
                </w:p>
              </w:tc>
              <w:tc>
                <w:tcPr/>
                <w:p>
                  <w:pPr>
                    <w:pStyle w:val="Compact"/>
                    <w:jc w:val="right"/>
                    <w:jc w:val="center"/>
                  </w:pPr>
                  <w:r>
                    <w:t xml:space="preserve">4000</w:t>
                  </w:r>
                </w:p>
              </w:tc>
              <w:tc>
                <w:tcPr/>
                <w:p>
                  <w:pPr>
                    <w:pStyle w:val="Compact"/>
                    <w:jc w:val="left"/>
                    <w:jc w:val="center"/>
                  </w:pPr>
                  <w:r>
                    <w:t xml:space="preserve">USD/kW</w:t>
                  </w:r>
                </w:p>
              </w:tc>
              <w:tc>
                <w:tcPr/>
                <w:p>
                  <w:pPr>
                    <w:pStyle w:val="Compact"/>
                    <w:jc w:val="left"/>
                    <w:jc w:val="center"/>
                  </w:pPr>
                  <w:r>
                    <w:t xml:space="preserve">IRENA Renewable Power Generation Costs 2024: onshore wind $1100-1500/kW; island …</w:t>
                  </w:r>
                </w:p>
              </w:tc>
            </w:tr>
            <w:tr>
              <w:tc>
                <w:tcPr/>
                <w:p>
                  <w:pPr>
                    <w:pStyle w:val="Compact"/>
                    <w:jc w:val="left"/>
                    <w:jc w:val="center"/>
                  </w:pPr>
                  <w:r>
                    <w:t xml:space="preserve">Wind Capacity Factor</w:t>
                  </w:r>
                </w:p>
              </w:tc>
              <w:tc>
                <w:tcPr/>
                <w:p>
                  <w:pPr>
                    <w:pStyle w:val="Compact"/>
                    <w:jc w:val="right"/>
                    <w:jc w:val="center"/>
                  </w:pPr>
                  <w:r>
                    <w:t xml:space="preserve">0.25</w:t>
                  </w:r>
                </w:p>
              </w:tc>
              <w:tc>
                <w:tcPr/>
                <w:p>
                  <w:pPr>
                    <w:pStyle w:val="Compact"/>
                    <w:jc w:val="right"/>
                    <w:jc w:val="center"/>
                  </w:pPr>
                  <w:r>
                    <w:t xml:space="preserve">0.18</w:t>
                  </w:r>
                </w:p>
              </w:tc>
              <w:tc>
                <w:tcPr/>
                <w:p>
                  <w:pPr>
                    <w:pStyle w:val="Compact"/>
                    <w:jc w:val="right"/>
                    <w:jc w:val="center"/>
                  </w:pPr>
                  <w:r>
                    <w:t xml:space="preserve">0.32</w:t>
                  </w:r>
                </w:p>
              </w:tc>
              <w:tc>
                <w:tcPr/>
                <w:p>
                  <w:pPr>
                    <w:pStyle w:val="Compact"/>
                    <w:jc w:val="left"/>
                    <w:jc w:val="center"/>
                  </w:pPr>
                  <w:r>
                    <w:t xml:space="preserve">ratio</w:t>
                  </w:r>
                </w:p>
              </w:tc>
              <w:tc>
                <w:tcPr/>
                <w:p>
                  <w:pPr>
                    <w:pStyle w:val="Compact"/>
                    <w:jc w:val="left"/>
                    <w:jc w:val="center"/>
                  </w:pPr>
                  <w:r>
                    <w:t xml:space="preserve">ADB Roadmap: avg wind speed 5.69-5.73 m/s at hub height â†’ CF 20-30% for 2 MW t…</w:t>
                  </w:r>
                </w:p>
              </w:tc>
            </w:tr>
            <w:tr>
              <w:tc>
                <w:tcPr/>
                <w:p>
                  <w:pPr>
                    <w:pStyle w:val="Compact"/>
                    <w:jc w:val="left"/>
                    <w:jc w:val="center"/>
                  </w:pPr>
                  <w:r>
                    <w:t xml:space="preserve">Wind OPEX per kW</w:t>
                  </w:r>
                </w:p>
              </w:tc>
              <w:tc>
                <w:tcPr/>
                <w:p>
                  <w:pPr>
                    <w:pStyle w:val="Compact"/>
                    <w:jc w:val="right"/>
                    <w:jc w:val="center"/>
                  </w:pPr>
                  <w:r>
                    <w:t xml:space="preserve">30</w:t>
                  </w:r>
                </w:p>
              </w:tc>
              <w:tc>
                <w:tcPr/>
                <w:p>
                  <w:pPr>
                    <w:pStyle w:val="Compact"/>
                    <w:jc w:val="right"/>
                    <w:jc w:val="center"/>
                  </w:pPr>
                  <w:r>
                    <w:t xml:space="preserve">20</w:t>
                  </w:r>
                </w:p>
              </w:tc>
              <w:tc>
                <w:tcPr/>
                <w:p>
                  <w:pPr>
                    <w:pStyle w:val="Compact"/>
                    <w:jc w:val="right"/>
                    <w:jc w:val="center"/>
                  </w:pPr>
                  <w:r>
                    <w:t xml:space="preserve">45</w:t>
                  </w:r>
                </w:p>
              </w:tc>
              <w:tc>
                <w:tcPr/>
                <w:p>
                  <w:pPr>
                    <w:pStyle w:val="Compact"/>
                    <w:jc w:val="left"/>
                    <w:jc w:val="center"/>
                  </w:pPr>
                  <w:r>
                    <w:t xml:space="preserve">USD/kW/year</w:t>
                  </w:r>
                </w:p>
              </w:tc>
              <w:tc>
                <w:tcPr/>
                <w:p>
                  <w:pPr>
                    <w:pStyle w:val="Compact"/>
                    <w:jc w:val="left"/>
                    <w:jc w:val="center"/>
                  </w:pPr>
                  <w:r>
                    <w:t xml:space="preserve">IRENA RPGC 2024: onshore wind O&amp;M $30-50/kW/yr; island locations at lower end du…</w:t>
                  </w:r>
                </w:p>
              </w:tc>
            </w:tr>
            <w:tr>
              <w:tc>
                <w:tcPr/>
                <w:p>
                  <w:pPr>
                    <w:pStyle w:val="Compact"/>
                    <w:jc w:val="left"/>
                    <w:jc w:val="center"/>
                  </w:pPr>
                  <w:r>
                    <w:t xml:space="preserve">Wind Lifetime</w:t>
                  </w:r>
                </w:p>
              </w:tc>
              <w:tc>
                <w:tcPr/>
                <w:p>
                  <w:pPr>
                    <w:pStyle w:val="Compact"/>
                    <w:jc w:val="right"/>
                    <w:jc w:val="center"/>
                  </w:pPr>
                  <w:r>
                    <w:t xml:space="preserve">25</w:t>
                  </w:r>
                </w:p>
              </w:tc>
              <w:tc>
                <w:tcPr/>
                <w:p>
                  <w:pPr>
                    <w:pStyle w:val="Compact"/>
                    <w:jc w:val="right"/>
                    <w:jc w:val="center"/>
                  </w:pPr>
                  <w:r>
                    <w:t xml:space="preserve">20</w:t>
                  </w:r>
                </w:p>
              </w:tc>
              <w:tc>
                <w:tcPr/>
                <w:p>
                  <w:pPr>
                    <w:pStyle w:val="Compact"/>
                    <w:jc w:val="right"/>
                    <w:jc w:val="center"/>
                  </w:pPr>
                  <w:r>
                    <w:t xml:space="preserve">30</w:t>
                  </w:r>
                </w:p>
              </w:tc>
              <w:tc>
                <w:tcPr/>
                <w:p>
                  <w:pPr>
                    <w:pStyle w:val="Compact"/>
                    <w:jc w:val="left"/>
                    <w:jc w:val="center"/>
                  </w:pPr>
                  <w:r>
                    <w:t xml:space="preserve">years</w:t>
                  </w:r>
                </w:p>
              </w:tc>
              <w:tc>
                <w:tcPr/>
                <w:p>
                  <w:pPr>
                    <w:pStyle w:val="Compact"/>
                    <w:jc w:val="left"/>
                    <w:jc w:val="center"/>
                  </w:pPr>
                  <w:r>
                    <w:t xml:space="preserve">IRENA RPGC 2024: 25-year economic lifetime for onshore wind; IEC 61400 design li…</w:t>
                  </w:r>
                </w:p>
              </w:tc>
            </w:tr>
            <w:tr>
              <w:tc>
                <w:tcPr/>
                <w:p>
                  <w:pPr>
                    <w:pStyle w:val="Compact"/>
                    <w:jc w:val="left"/>
                    <w:jc w:val="center"/>
                  </w:pPr>
                  <w:r>
                    <w:t xml:space="preserve">Wind Build Start</w:t>
                  </w:r>
                </w:p>
              </w:tc>
              <w:tc>
                <w:tcPr/>
                <w:p>
                  <w:pPr>
                    <w:pStyle w:val="Compact"/>
                    <w:jc w:val="right"/>
                    <w:jc w:val="center"/>
                  </w:pPr>
                  <w:r>
                    <w:t xml:space="preserve">2031</w:t>
                  </w:r>
                </w:p>
              </w:tc>
              <w:tc>
                <w:tcPr/>
                <w:p>
                  <w:pPr>
                    <w:pStyle w:val="Compact"/>
                    <w:jc w:val="right"/>
                    <w:jc w:val="center"/>
                  </w:pPr>
                  <w:r>
                    <w:t xml:space="preserve">2029</w:t>
                  </w:r>
                </w:p>
              </w:tc>
              <w:tc>
                <w:tcPr/>
                <w:p>
                  <w:pPr>
                    <w:pStyle w:val="Compact"/>
                    <w:jc w:val="right"/>
                    <w:jc w:val="center"/>
                  </w:pPr>
                  <w:r>
                    <w:t xml:space="preserve">2033</w:t>
                  </w:r>
                </w:p>
              </w:tc>
              <w:tc>
                <w:tcPr/>
                <w:p>
                  <w:pPr>
                    <w:pStyle w:val="Compact"/>
                    <w:jc w:val="left"/>
                    <w:jc w:val="center"/>
                  </w:pPr>
                  <w:r>
                    <w:t xml:space="preserve">year</w:t>
                  </w:r>
                </w:p>
              </w:tc>
              <w:tc>
                <w:tcPr/>
                <w:p>
                  <w:pPr>
                    <w:pStyle w:val="Compact"/>
                    <w:jc w:val="left"/>
                    <w:jc w:val="center"/>
                  </w:pPr>
                  <w:r>
                    <w:t xml:space="preserve">ADB Roadmap timeline: wind after initial solar pipeline deployed; Greater MalÃ© …</w:t>
                  </w:r>
                </w:p>
              </w:tc>
            </w:tr>
            <w:tr>
              <w:tc>
                <w:tcPr/>
                <w:p>
                  <w:pPr>
                    <w:pStyle w:val="Compact"/>
                    <w:jc w:val="left"/>
                    <w:jc w:val="center"/>
                  </w:pPr>
                  <w:r>
                    <w:t xml:space="preserve">Wind Build Years</w:t>
                  </w:r>
                </w:p>
              </w:tc>
              <w:tc>
                <w:tcPr/>
                <w:p>
                  <w:pPr>
                    <w:pStyle w:val="Compact"/>
                    <w:jc w:val="right"/>
                    <w:jc w:val="center"/>
                  </w:pPr>
                  <w:r>
                    <w:t xml:space="preserve">3</w:t>
                  </w:r>
                </w:p>
              </w:tc>
              <w:tc>
                <w:tcPr/>
                <w:p>
                  <w:pPr>
                    <w:pStyle w:val="Compact"/>
                    <w:jc w:val="right"/>
                    <w:jc w:val="center"/>
                  </w:pPr>
                  <w:r>
                    <w:t xml:space="preserve">2</w:t>
                  </w:r>
                </w:p>
              </w:tc>
              <w:tc>
                <w:tcPr/>
                <w:p>
                  <w:pPr>
                    <w:pStyle w:val="Compact"/>
                    <w:jc w:val="right"/>
                    <w:jc w:val="center"/>
                  </w:pPr>
                  <w:r>
                    <w:t xml:space="preserve">4</w:t>
                  </w:r>
                </w:p>
              </w:tc>
              <w:tc>
                <w:tcPr/>
                <w:p>
                  <w:pPr>
                    <w:pStyle w:val="Compact"/>
                    <w:jc w:val="left"/>
                    <w:jc w:val="center"/>
                  </w:pPr>
                  <w:r>
                    <w:t xml:space="preserve">years</w:t>
                  </w:r>
                </w:p>
              </w:tc>
              <w:tc>
                <w:tcPr/>
                <w:p>
                  <w:pPr>
                    <w:pStyle w:val="Compact"/>
                    <w:jc w:val="left"/>
                    <w:jc w:val="center"/>
                  </w:pPr>
                  <w:r>
                    <w:t xml:space="preserve">Engineering estimate: 80 MW = 40 Ã— 2 MW turbines; 3-year phased installation in…</w:t>
                  </w:r>
                </w:p>
              </w:tc>
            </w:tr>
          </w:tbl>
          <w:p>
            <w:pPr>
              <w:pStyle w:val="Heading3"/>
              <w:jc w:val="center"/>
            </w:pPr>
            <w:bookmarkStart w:id="362" w:name="economics"/>
            <w:r>
              <w:t xml:space="preserve">14.1.20 Economics</w:t>
            </w:r>
            <w:bookmarkEnd w:id="362"/>
          </w:p>
          <w:tbl>
            <w:tblPr>
              <w:tblStyle w:val="Table"/>
              <w:tblW w:type="pct" w:w="5000"/>
              <w:tblLayout w:type="fixed"/>
              <w:tblLook w:firstRow="1" w:lastRow="0" w:firstColumn="0" w:lastColumn="0" w:noHBand="0" w:noVBand="0" w:val="0020"/>
            </w:tblPr>
            <w:tblGrid>
              <w:gridCol w:w="1430"/>
              <w:gridCol w:w="550"/>
              <w:gridCol w:w="385"/>
              <w:gridCol w:w="440"/>
              <w:gridCol w:w="550"/>
              <w:gridCol w:w="4565"/>
            </w:tblGrid>
            <w:tr>
              <w:trPr>
                <w:tblHeader w:val="on"/>
              </w:trPr>
              <w:tc>
                <w:tcPr/>
                <w:p>
                  <w:pPr>
                    <w:pStyle w:val="Compact"/>
                    <w:jc w:val="left"/>
                    <w:jc w:val="center"/>
                  </w:pPr>
                  <w:r>
                    <w:t xml:space="preserve">Parameter</w:t>
                  </w:r>
                </w:p>
              </w:tc>
              <w:tc>
                <w:tcPr/>
                <w:p>
                  <w:pPr>
                    <w:pStyle w:val="Compact"/>
                    <w:jc w:val="right"/>
                    <w:jc w:val="center"/>
                  </w:pPr>
                  <w:r>
                    <w:t xml:space="preserve">Value</w:t>
                  </w:r>
                </w:p>
              </w:tc>
              <w:tc>
                <w:tcPr/>
                <w:p>
                  <w:pPr>
                    <w:pStyle w:val="Compact"/>
                    <w:jc w:val="left"/>
                    <w:jc w:val="center"/>
                  </w:pPr>
                  <w:r>
                    <w:t xml:space="preserve">Low</w:t>
                  </w:r>
                </w:p>
              </w:tc>
              <w:tc>
                <w:tcPr/>
                <w:p>
                  <w:pPr>
                    <w:pStyle w:val="Compact"/>
                    <w:jc w:val="left"/>
                    <w:jc w:val="center"/>
                  </w:pPr>
                  <w:r>
                    <w:t xml:space="preserve">High</w:t>
                  </w:r>
                </w:p>
              </w:tc>
              <w:tc>
                <w:tcPr/>
                <w:p>
                  <w:pPr>
                    <w:pStyle w:val="Compact"/>
                    <w:jc w:val="left"/>
                    <w:jc w:val="center"/>
                  </w:pPr>
                  <w:r>
                    <w:t xml:space="preserve">Unit</w:t>
                  </w:r>
                </w:p>
              </w:tc>
              <w:tc>
                <w:tcPr/>
                <w:p>
                  <w:pPr>
                    <w:pStyle w:val="Compact"/>
                    <w:jc w:val="left"/>
                    <w:jc w:val="center"/>
                  </w:pPr>
                  <w:r>
                    <w:t xml:space="preserve">Source</w:t>
                  </w:r>
                </w:p>
              </w:tc>
            </w:tr>
            <w:tr>
              <w:tc>
                <w:tcPr/>
                <w:p>
                  <w:pPr>
                    <w:pStyle w:val="Compact"/>
                    <w:jc w:val="left"/>
                    <w:jc w:val="center"/>
                  </w:pPr>
                  <w:r>
                    <w:t xml:space="preserve">Discount Rate</w:t>
                  </w:r>
                </w:p>
              </w:tc>
              <w:tc>
                <w:tcPr/>
                <w:p>
                  <w:pPr>
                    <w:pStyle w:val="Compact"/>
                    <w:jc w:val="right"/>
                    <w:jc w:val="center"/>
                  </w:pPr>
                  <w:r>
                    <w:t xml:space="preserve">0.06</w:t>
                  </w:r>
                </w:p>
              </w:tc>
              <w:tc>
                <w:tcPr/>
                <w:p>
                  <w:pPr>
                    <w:pStyle w:val="Compact"/>
                    <w:jc w:val="left"/>
                    <w:jc w:val="center"/>
                  </w:pPr>
                  <w:r>
                    <w:t xml:space="preserve">0.03</w:t>
                  </w:r>
                </w:p>
              </w:tc>
              <w:tc>
                <w:tcPr/>
                <w:p>
                  <w:pPr>
                    <w:pStyle w:val="Compact"/>
                    <w:jc w:val="left"/>
                    <w:jc w:val="center"/>
                  </w:pPr>
                  <w:r>
                    <w:t xml:space="preserve">0.12</w:t>
                  </w:r>
                </w:p>
              </w:tc>
              <w:tc>
                <w:tcPr/>
                <w:p>
                  <w:pPr>
                    <w:pStyle w:val="Compact"/>
                    <w:jc w:val="left"/>
                    <w:jc w:val="center"/>
                  </w:pPr>
                  <w:r>
                    <w:t xml:space="preserve">%</w:t>
                  </w:r>
                </w:p>
              </w:tc>
              <w:tc>
                <w:tcPr/>
                <w:p>
                  <w:pPr>
                    <w:pStyle w:val="Compact"/>
                    <w:jc w:val="left"/>
                    <w:jc w:val="center"/>
                  </w:pPr>
                  <w:r>
                    <w:t xml:space="preserve">ADB Guidelines for Economic Analysis of Projects (2017) Â§4.12: 6% default EOCC …</w:t>
                  </w:r>
                </w:p>
              </w:tc>
            </w:tr>
            <w:tr>
              <w:tc>
                <w:tcPr/>
                <w:p>
                  <w:pPr>
                    <w:pStyle w:val="Compact"/>
                    <w:jc w:val="left"/>
                    <w:jc w:val="center"/>
                  </w:pPr>
                  <w:r>
                    <w:t xml:space="preserve">DDR Rate 0-30yr</w:t>
                  </w:r>
                </w:p>
              </w:tc>
              <w:tc>
                <w:tcPr/>
                <w:p>
                  <w:pPr>
                    <w:pStyle w:val="Compact"/>
                    <w:jc w:val="right"/>
                    <w:jc w:val="center"/>
                  </w:pPr>
                  <w:r>
                    <w:t xml:space="preserve">0.035</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ratio</w:t>
                  </w:r>
                </w:p>
              </w:tc>
              <w:tc>
                <w:tcPr/>
                <w:p>
                  <w:pPr>
                    <w:pStyle w:val="Compact"/>
                    <w:jc w:val="left"/>
                    <w:jc w:val="center"/>
                  </w:pPr>
                  <w:r>
                    <w:t xml:space="preserve">HM Treasury Green Book (2026) Table 8; Drupp et al. (2018) AEJ: Economic Policy …</w:t>
                  </w:r>
                </w:p>
              </w:tc>
            </w:tr>
            <w:tr>
              <w:tc>
                <w:tcPr/>
                <w:p>
                  <w:pPr>
                    <w:pStyle w:val="Compact"/>
                    <w:jc w:val="left"/>
                    <w:jc w:val="center"/>
                  </w:pPr>
                  <w:r>
                    <w:t xml:space="preserve">DDR Rate 31-75yr</w:t>
                  </w:r>
                </w:p>
              </w:tc>
              <w:tc>
                <w:tcPr/>
                <w:p>
                  <w:pPr>
                    <w:pStyle w:val="Compact"/>
                    <w:jc w:val="right"/>
                    <w:jc w:val="center"/>
                  </w:pPr>
                  <w:r>
                    <w:t xml:space="preserve">0.03</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ratio</w:t>
                  </w:r>
                </w:p>
              </w:tc>
              <w:tc>
                <w:tcPr/>
                <w:p>
                  <w:pPr>
                    <w:pStyle w:val="Compact"/>
                    <w:jc w:val="left"/>
                    <w:jc w:val="center"/>
                  </w:pPr>
                  <w:r>
                    <w:t xml:space="preserve">HM Treasury Green Book (2026) Table 8; Weitzman (2001) AER 91(1):260-271</w:t>
                  </w:r>
                </w:p>
              </w:tc>
            </w:tr>
            <w:tr>
              <w:tc>
                <w:tcPr/>
                <w:p>
                  <w:pPr>
                    <w:pStyle w:val="Compact"/>
                    <w:jc w:val="left"/>
                    <w:jc w:val="center"/>
                  </w:pPr>
                  <w:r>
                    <w:t xml:space="preserve">DDR Rate 76-125yr</w:t>
                  </w:r>
                </w:p>
              </w:tc>
              <w:tc>
                <w:tcPr/>
                <w:p>
                  <w:pPr>
                    <w:pStyle w:val="Compact"/>
                    <w:jc w:val="right"/>
                    <w:jc w:val="center"/>
                  </w:pPr>
                  <w:r>
                    <w:t xml:space="preserve">0.025</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ratio</w:t>
                  </w:r>
                </w:p>
              </w:tc>
              <w:tc>
                <w:tcPr/>
                <w:p>
                  <w:pPr>
                    <w:pStyle w:val="Compact"/>
                    <w:jc w:val="left"/>
                    <w:jc w:val="center"/>
                  </w:pPr>
                  <w:r>
                    <w:t xml:space="preserve">HM Treasury Green Book (2026) Table 8</w:t>
                  </w:r>
                </w:p>
              </w:tc>
            </w:tr>
            <w:tr>
              <w:tc>
                <w:tcPr/>
                <w:p>
                  <w:pPr>
                    <w:pStyle w:val="Compact"/>
                    <w:jc w:val="left"/>
                    <w:jc w:val="center"/>
                  </w:pPr>
                  <w:r>
                    <w:t xml:space="preserve">Commercial Interest Rate</w:t>
                  </w:r>
                </w:p>
              </w:tc>
              <w:tc>
                <w:tcPr/>
                <w:p>
                  <w:pPr>
                    <w:pStyle w:val="Compact"/>
                    <w:jc w:val="right"/>
                    <w:jc w:val="center"/>
                  </w:pPr>
                  <w:r>
                    <w:t xml:space="preserve">0.1155</w:t>
                  </w:r>
                </w:p>
              </w:tc>
              <w:tc>
                <w:tcPr/>
                <w:p>
                  <w:pPr>
                    <w:pStyle w:val="Compact"/>
                    <w:jc w:val="left"/>
                    <w:jc w:val="center"/>
                  </w:pPr>
                  <w:r>
                    <w:t xml:space="preserve">0.08</w:t>
                  </w:r>
                </w:p>
              </w:tc>
              <w:tc>
                <w:tcPr/>
                <w:p>
                  <w:pPr>
                    <w:pStyle w:val="Compact"/>
                    <w:jc w:val="left"/>
                    <w:jc w:val="center"/>
                  </w:pPr>
                  <w:r>
                    <w:t xml:space="preserve">0.15</w:t>
                  </w:r>
                </w:p>
              </w:tc>
              <w:tc>
                <w:tcPr/>
                <w:p>
                  <w:pPr>
                    <w:pStyle w:val="Compact"/>
                    <w:jc w:val="left"/>
                    <w:jc w:val="center"/>
                  </w:pPr>
                  <w:r>
                    <w:t xml:space="preserve">%</w:t>
                  </w:r>
                </w:p>
              </w:tc>
              <w:tc>
                <w:tcPr/>
                <w:p>
                  <w:pPr>
                    <w:pStyle w:val="Compact"/>
                    <w:jc w:val="left"/>
                    <w:jc w:val="center"/>
                  </w:pPr>
                  <w:r>
                    <w:t xml:space="preserve">World Bank WDI Lending Interest Rate Maldives 2024</w:t>
                  </w:r>
                </w:p>
              </w:tc>
            </w:tr>
            <w:tr>
              <w:tc>
                <w:tcPr/>
                <w:p>
                  <w:pPr>
                    <w:pStyle w:val="Compact"/>
                    <w:jc w:val="left"/>
                    <w:jc w:val="center"/>
                  </w:pPr>
                  <w:r>
                    <w:t xml:space="preserve">Social Cost of Carbon</w:t>
                  </w:r>
                </w:p>
              </w:tc>
              <w:tc>
                <w:tcPr/>
                <w:p>
                  <w:pPr>
                    <w:pStyle w:val="Compact"/>
                    <w:jc w:val="right"/>
                    <w:jc w:val="center"/>
                  </w:pPr>
                  <w:r>
                    <w:t xml:space="preserve">190</w:t>
                  </w:r>
                </w:p>
              </w:tc>
              <w:tc>
                <w:tcPr/>
                <w:p>
                  <w:pPr>
                    <w:pStyle w:val="Compact"/>
                    <w:jc w:val="left"/>
                    <w:jc w:val="center"/>
                  </w:pPr>
                  <w:r>
                    <w:t xml:space="preserve">0</w:t>
                  </w:r>
                </w:p>
              </w:tc>
              <w:tc>
                <w:tcPr/>
                <w:p>
                  <w:pPr>
                    <w:pStyle w:val="Compact"/>
                    <w:jc w:val="left"/>
                    <w:jc w:val="center"/>
                  </w:pPr>
                  <w:r>
                    <w:t xml:space="preserve">300</w:t>
                  </w:r>
                </w:p>
              </w:tc>
              <w:tc>
                <w:tcPr/>
                <w:p>
                  <w:pPr>
                    <w:pStyle w:val="Compact"/>
                    <w:jc w:val="left"/>
                    <w:jc w:val="center"/>
                  </w:pPr>
                  <w:r>
                    <w:t xml:space="preserve">USD/tCO2</w:t>
                  </w:r>
                </w:p>
              </w:tc>
              <w:tc>
                <w:tcPr/>
                <w:p>
                  <w:pPr>
                    <w:pStyle w:val="Compact"/>
                    <w:jc w:val="left"/>
                    <w:jc w:val="center"/>
                  </w:pPr>
                  <w:r>
                    <w:t xml:space="preserve">US EPA Report on SCC 2023; Rennert et al. 2022 Nature</w:t>
                  </w:r>
                </w:p>
              </w:tc>
            </w:tr>
            <w:tr>
              <w:tc>
                <w:tcPr/>
                <w:p>
                  <w:pPr>
                    <w:pStyle w:val="Compact"/>
                    <w:jc w:val="left"/>
                    <w:jc w:val="center"/>
                  </w:pPr>
                  <w:r>
                    <w:t xml:space="preserve">SCC IWG Interim</w:t>
                  </w:r>
                </w:p>
              </w:tc>
              <w:tc>
                <w:tcPr/>
                <w:p>
                  <w:pPr>
                    <w:pStyle w:val="Compact"/>
                    <w:jc w:val="right"/>
                    <w:jc w:val="center"/>
                  </w:pPr>
                  <w:r>
                    <w:t xml:space="preserve">51</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USD/tCO2</w:t>
                  </w:r>
                </w:p>
              </w:tc>
              <w:tc>
                <w:tcPr/>
                <w:p>
                  <w:pPr>
                    <w:pStyle w:val="Compact"/>
                    <w:jc w:val="left"/>
                    <w:jc w:val="center"/>
                  </w:pPr>
                  <w:r>
                    <w:t xml:space="preserve">US Interagency Working Group 2021</w:t>
                  </w:r>
                </w:p>
              </w:tc>
            </w:tr>
            <w:tr>
              <w:tc>
                <w:tcPr/>
                <w:p>
                  <w:pPr>
                    <w:pStyle w:val="Compact"/>
                    <w:jc w:val="left"/>
                    <w:jc w:val="center"/>
                  </w:pPr>
                  <w:r>
                    <w:t xml:space="preserve">SCC Annual Growth</w:t>
                  </w:r>
                </w:p>
              </w:tc>
              <w:tc>
                <w:tcPr/>
                <w:p>
                  <w:pPr>
                    <w:pStyle w:val="Compact"/>
                    <w:jc w:val="right"/>
                    <w:jc w:val="center"/>
                  </w:pPr>
                  <w:r>
                    <w:t xml:space="preserve">0.02</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%/year</w:t>
                  </w:r>
                </w:p>
              </w:tc>
              <w:tc>
                <w:tcPr/>
                <w:p>
                  <w:pPr>
                    <w:pStyle w:val="Compact"/>
                    <w:jc w:val="left"/>
                    <w:jc w:val="center"/>
                  </w:pPr>
                  <w:r>
                    <w:t xml:space="preserve">EPA 2023</w:t>
                  </w:r>
                </w:p>
              </w:tc>
            </w:tr>
            <w:tr>
              <w:tc>
                <w:tcPr/>
                <w:p>
                  <w:pPr>
                    <w:pStyle w:val="Compact"/>
                    <w:jc w:val="left"/>
                    <w:jc w:val="center"/>
                  </w:pPr>
                  <w:r>
                    <w:t xml:space="preserve">Value of Lost Load</w:t>
                  </w:r>
                </w:p>
              </w:tc>
              <w:tc>
                <w:tcPr/>
                <w:p>
                  <w:pPr>
                    <w:pStyle w:val="Compact"/>
                    <w:jc w:val="right"/>
                    <w:jc w:val="center"/>
                  </w:pPr>
                  <w:r>
                    <w:t xml:space="preserve">5</w:t>
                  </w:r>
                </w:p>
              </w:tc>
              <w:tc>
                <w:tcPr/>
                <w:p>
                  <w:pPr>
                    <w:pStyle w:val="Compact"/>
                    <w:jc w:val="left"/>
                    <w:jc w:val="center"/>
                  </w:pPr>
                  <w:r>
                    <w:t xml:space="preserve">2</w:t>
                  </w:r>
                </w:p>
              </w:tc>
              <w:tc>
                <w:tcPr/>
                <w:p>
                  <w:pPr>
                    <w:pStyle w:val="Compact"/>
                    <w:jc w:val="left"/>
                    <w:jc w:val="center"/>
                  </w:pPr>
                  <w:r>
                    <w:t xml:space="preserve">10</w:t>
                  </w:r>
                </w:p>
              </w:tc>
              <w:tc>
                <w:tcPr/>
                <w:p>
                  <w:pPr>
                    <w:pStyle w:val="Compact"/>
                    <w:jc w:val="left"/>
                    <w:jc w:val="center"/>
                  </w:pPr>
                  <w:r>
                    <w:t xml:space="preserve">USD/kWh</w:t>
                  </w:r>
                </w:p>
              </w:tc>
              <w:tc>
                <w:tcPr/>
                <w:p>
                  <w:pPr>
                    <w:pStyle w:val="Compact"/>
                    <w:jc w:val="left"/>
                    <w:jc w:val="center"/>
                  </w:pPr>
                  <w:r>
                    <w:t xml:space="preserve">ACER (2022) VOLL estimates: EU avg â‚¬8.7/kWh; SchrÃ¶der &amp; Kuckshinrichs (2015) …</w:t>
                  </w:r>
                </w:p>
              </w:tc>
            </w:tr>
            <w:tr>
              <w:tc>
                <w:tcPr/>
                <w:p>
                  <w:pPr>
                    <w:pStyle w:val="Compact"/>
                    <w:jc w:val="left"/>
                    <w:jc w:val="center"/>
                  </w:pPr>
                  <w:r>
                    <w:t xml:space="preserve">Exchange Rate MVR/USD</w:t>
                  </w:r>
                </w:p>
              </w:tc>
              <w:tc>
                <w:tcPr/>
                <w:p>
                  <w:pPr>
                    <w:pStyle w:val="Compact"/>
                    <w:jc w:val="right"/>
                    <w:jc w:val="center"/>
                  </w:pPr>
                  <w:r>
                    <w:t xml:space="preserve">15.4</w:t>
                  </w:r>
                </w:p>
              </w:tc>
              <w:tc>
                <w:tcPr/>
                <w:p>
                  <w:pPr>
                    <w:pStyle w:val="Compact"/>
                    <w:jc w:val="left"/>
                    <w:jc w:val="center"/>
                  </w:pPr>
                  <w:r>
                    <w:t xml:space="preserve">14.5</w:t>
                  </w:r>
                </w:p>
              </w:tc>
              <w:tc>
                <w:tcPr/>
                <w:p>
                  <w:pPr>
                    <w:pStyle w:val="Compact"/>
                    <w:jc w:val="left"/>
                    <w:jc w:val="center"/>
                  </w:pPr>
                  <w:r>
                    <w:t xml:space="preserve">16.5</w:t>
                  </w:r>
                </w:p>
              </w:tc>
              <w:tc>
                <w:tcPr/>
                <w:p>
                  <w:pPr>
                    <w:pStyle w:val="Compact"/>
                    <w:jc w:val="left"/>
                    <w:jc w:val="center"/>
                  </w:pPr>
                  <w:r>
                    <w:t xml:space="preserve">MVR/USD</w:t>
                  </w:r>
                </w:p>
              </w:tc>
              <w:tc>
                <w:tcPr/>
                <w:p>
                  <w:pPr>
                    <w:pStyle w:val="Compact"/>
                    <w:jc w:val="left"/>
                    <w:jc w:val="center"/>
                  </w:pPr>
                  <w:r>
                    <w:t xml:space="preserve">Maldives Monetary Authority (MMA) 2025; IMF Article IV 2024</w:t>
                  </w:r>
                </w:p>
              </w:tc>
            </w:tr>
          </w:tbl>
          <w:p>
            <w:pPr>
              <w:pStyle w:val="Heading3"/>
              <w:jc w:val="center"/>
            </w:pPr>
            <w:bookmarkStart w:id="363" w:name="reliability"/>
            <w:r>
              <w:t xml:space="preserve">14.1.21 Reliability</w:t>
            </w:r>
            <w:bookmarkEnd w:id="363"/>
          </w:p>
          <w:tbl>
            <w:tblPr>
              <w:tblStyle w:val="Table"/>
              <w:tblW w:type="pct" w:w="5000"/>
              <w:tblLayout w:type="fixed"/>
              <w:tblLook w:firstRow="1" w:lastRow="0" w:firstColumn="0" w:lastColumn="0" w:noHBand="0" w:noVBand="0" w:val="0020"/>
            </w:tblPr>
            <w:tblGrid>
              <w:gridCol w:w="1171"/>
              <w:gridCol w:w="501"/>
              <w:gridCol w:w="390"/>
              <w:gridCol w:w="446"/>
              <w:gridCol w:w="780"/>
              <w:gridCol w:w="4629"/>
            </w:tblGrid>
            <w:tr>
              <w:trPr>
                <w:tblHeader w:val="on"/>
              </w:trPr>
              <w:tc>
                <w:tcPr/>
                <w:p>
                  <w:pPr>
                    <w:pStyle w:val="Compact"/>
                    <w:jc w:val="left"/>
                    <w:jc w:val="center"/>
                  </w:pPr>
                  <w:r>
                    <w:t xml:space="preserve">Parameter</w:t>
                  </w:r>
                </w:p>
              </w:tc>
              <w:tc>
                <w:tcPr/>
                <w:p>
                  <w:pPr>
                    <w:pStyle w:val="Compact"/>
                    <w:jc w:val="right"/>
                    <w:jc w:val="center"/>
                  </w:pPr>
                  <w:r>
                    <w:t xml:space="preserve">Value</w:t>
                  </w:r>
                </w:p>
              </w:tc>
              <w:tc>
                <w:tcPr/>
                <w:p>
                  <w:pPr>
                    <w:pStyle w:val="Compact"/>
                    <w:jc w:val="right"/>
                    <w:jc w:val="center"/>
                  </w:pPr>
                  <w:r>
                    <w:t xml:space="preserve">Low</w:t>
                  </w:r>
                </w:p>
              </w:tc>
              <w:tc>
                <w:tcPr/>
                <w:p>
                  <w:pPr>
                    <w:pStyle w:val="Compact"/>
                    <w:jc w:val="right"/>
                    <w:jc w:val="center"/>
                  </w:pPr>
                  <w:r>
                    <w:t xml:space="preserve">High</w:t>
                  </w:r>
                </w:p>
              </w:tc>
              <w:tc>
                <w:tcPr/>
                <w:p>
                  <w:pPr>
                    <w:pStyle w:val="Compact"/>
                    <w:jc w:val="left"/>
                    <w:jc w:val="center"/>
                  </w:pPr>
                  <w:r>
                    <w:t xml:space="preserve">Unit</w:t>
                  </w:r>
                </w:p>
              </w:tc>
              <w:tc>
                <w:tcPr/>
                <w:p>
                  <w:pPr>
                    <w:pStyle w:val="Compact"/>
                    <w:jc w:val="left"/>
                    <w:jc w:val="center"/>
                  </w:pPr>
                  <w:r>
                    <w:t xml:space="preserve">Source</w:t>
                  </w:r>
                </w:p>
              </w:tc>
            </w:tr>
            <w:tr>
              <w:tc>
                <w:tcPr/>
                <w:p>
                  <w:pPr>
                    <w:pStyle w:val="Compact"/>
                    <w:jc w:val="left"/>
                    <w:jc w:val="center"/>
                  </w:pPr>
                  <w:r>
                    <w:t xml:space="preserve">SAIDI Minutes</w:t>
                  </w:r>
                </w:p>
              </w:tc>
              <w:tc>
                <w:tcPr/>
                <w:p>
                  <w:pPr>
                    <w:pStyle w:val="Compact"/>
                    <w:jc w:val="right"/>
                    <w:jc w:val="center"/>
                  </w:pPr>
                  <w:r>
                    <w:t xml:space="preserve">200</w:t>
                  </w:r>
                </w:p>
              </w:tc>
              <w:tc>
                <w:tcPr/>
                <w:p>
                  <w:pPr>
                    <w:pStyle w:val="Compact"/>
                    <w:jc w:val="right"/>
                    <w:jc w:val="center"/>
                  </w:pPr>
                  <w:r>
                    <w:t xml:space="preserve">100</w:t>
                  </w:r>
                </w:p>
              </w:tc>
              <w:tc>
                <w:tcPr/>
                <w:p>
                  <w:pPr>
                    <w:pStyle w:val="Compact"/>
                    <w:jc w:val="right"/>
                    <w:jc w:val="center"/>
                  </w:pPr>
                  <w:r>
                    <w:t xml:space="preserve">400</w:t>
                  </w:r>
                </w:p>
              </w:tc>
              <w:tc>
                <w:tcPr/>
                <w:p>
                  <w:pPr>
                    <w:pStyle w:val="Compact"/>
                    <w:jc w:val="left"/>
                    <w:jc w:val="center"/>
                  </w:pPr>
                  <w:r>
                    <w:t xml:space="preserve">minutes/year</w:t>
                  </w:r>
                </w:p>
              </w:tc>
              <w:tc>
                <w:tcPr/>
                <w:p>
                  <w:pPr>
                    <w:pStyle w:val="Compact"/>
                    <w:jc w:val="left"/>
                    <w:jc w:val="center"/>
                  </w:pPr>
                  <w:r>
                    <w:t xml:space="preserve">STELCO Annual Report 2022 (estimated); CEER 2024 benchmarking for small islands …</w:t>
                  </w:r>
                </w:p>
              </w:tc>
            </w:tr>
            <w:tr>
              <w:tc>
                <w:tcPr/>
                <w:p>
                  <w:pPr>
                    <w:pStyle w:val="Compact"/>
                    <w:jc w:val="left"/>
                    <w:jc w:val="center"/>
                  </w:pPr>
                  <w:r>
                    <w:t xml:space="preserve">SAIFI Interruptions</w:t>
                  </w:r>
                </w:p>
              </w:tc>
              <w:tc>
                <w:tcPr/>
                <w:p>
                  <w:pPr>
                    <w:pStyle w:val="Compact"/>
                    <w:jc w:val="right"/>
                    <w:jc w:val="center"/>
                  </w:pPr>
                  <w:r>
                    <w:t xml:space="preserve">10</w:t>
                  </w:r>
                </w:p>
              </w:tc>
              <w:tc>
                <w:tcPr/>
                <w:p>
                  <w:pPr>
                    <w:pStyle w:val="Compact"/>
                    <w:jc w:val="right"/>
                    <w:jc w:val="center"/>
                  </w:pPr>
                  <w:r>
                    <w:t xml:space="preserve">5</w:t>
                  </w:r>
                </w:p>
              </w:tc>
              <w:tc>
                <w:tcPr/>
                <w:p>
                  <w:pPr>
                    <w:pStyle w:val="Compact"/>
                    <w:jc w:val="right"/>
                    <w:jc w:val="center"/>
                  </w:pPr>
                  <w:r>
                    <w:t xml:space="preserve">20</w:t>
                  </w:r>
                </w:p>
              </w:tc>
              <w:tc>
                <w:tcPr/>
                <w:p>
                  <w:pPr>
                    <w:pStyle w:val="Compact"/>
                    <w:jc w:val="left"/>
                    <w:jc w:val="center"/>
                  </w:pPr>
                  <w:r>
                    <w:t xml:space="preserve">count/year</w:t>
                  </w:r>
                </w:p>
              </w:tc>
              <w:tc>
                <w:tcPr/>
                <w:p>
                  <w:pPr>
                    <w:pStyle w:val="Compact"/>
                    <w:jc w:val="left"/>
                    <w:jc w:val="center"/>
                  </w:pPr>
                  <w:r>
                    <w:t xml:space="preserve">STELCO operational data (estimated); CEER 2024 SIDS benchmark 5-25</w:t>
                  </w:r>
                </w:p>
              </w:tc>
            </w:tr>
          </w:tbl>
          <w:p>
            <w:pPr>
              <w:pStyle w:val="Heading3"/>
              <w:jc w:val="center"/>
            </w:pPr>
            <w:bookmarkStart w:id="364" w:name="islanded"/>
            <w:r>
              <w:t xml:space="preserve">14.1.22 Islanded</w:t>
            </w:r>
            <w:bookmarkEnd w:id="364"/>
          </w:p>
          <w:tbl>
            <w:tblPr>
              <w:tblStyle w:val="Table"/>
              <w:tblW w:type="pct" w:w="5000"/>
              <w:tblLayout w:type="fixed"/>
              <w:tblLook w:firstRow="1" w:lastRow="0" w:firstColumn="0" w:lastColumn="0" w:noHBand="0" w:noVBand="0" w:val="0020"/>
            </w:tblPr>
            <w:tblGrid>
              <w:gridCol w:w="873"/>
              <w:gridCol w:w="524"/>
              <w:gridCol w:w="407"/>
              <w:gridCol w:w="465"/>
              <w:gridCol w:w="815"/>
              <w:gridCol w:w="4833"/>
            </w:tblGrid>
            <w:tr>
              <w:trPr>
                <w:tblHeader w:val="on"/>
              </w:trPr>
              <w:tc>
                <w:tcPr/>
                <w:p>
                  <w:pPr>
                    <w:pStyle w:val="Compact"/>
                    <w:jc w:val="left"/>
                    <w:jc w:val="center"/>
                  </w:pPr>
                  <w:r>
                    <w:t xml:space="preserve">Parameter</w:t>
                  </w:r>
                </w:p>
              </w:tc>
              <w:tc>
                <w:tcPr/>
                <w:p>
                  <w:pPr>
                    <w:pStyle w:val="Compact"/>
                    <w:jc w:val="right"/>
                    <w:jc w:val="center"/>
                  </w:pPr>
                  <w:r>
                    <w:t xml:space="preserve">Value</w:t>
                  </w:r>
                </w:p>
              </w:tc>
              <w:tc>
                <w:tcPr/>
                <w:p>
                  <w:pPr>
                    <w:pStyle w:val="Compact"/>
                    <w:jc w:val="left"/>
                    <w:jc w:val="center"/>
                  </w:pPr>
                  <w:r>
                    <w:t xml:space="preserve">Low</w:t>
                  </w:r>
                </w:p>
              </w:tc>
              <w:tc>
                <w:tcPr/>
                <w:p>
                  <w:pPr>
                    <w:pStyle w:val="Compact"/>
                    <w:jc w:val="left"/>
                    <w:jc w:val="center"/>
                  </w:pPr>
                  <w:r>
                    <w:t xml:space="preserve">High</w:t>
                  </w:r>
                </w:p>
              </w:tc>
              <w:tc>
                <w:tcPr/>
                <w:p>
                  <w:pPr>
                    <w:pStyle w:val="Compact"/>
                    <w:jc w:val="left"/>
                    <w:jc w:val="center"/>
                  </w:pPr>
                  <w:r>
                    <w:t xml:space="preserve">Unit</w:t>
                  </w:r>
                </w:p>
              </w:tc>
              <w:tc>
                <w:tcPr/>
                <w:p>
                  <w:pPr>
                    <w:pStyle w:val="Compact"/>
                    <w:jc w:val="left"/>
                    <w:jc w:val="center"/>
                  </w:pPr>
                  <w:r>
                    <w:t xml:space="preserve">Source</w:t>
                  </w:r>
                </w:p>
              </w:tc>
            </w:tr>
            <w:tr>
              <w:tc>
                <w:tcPr/>
                <w:p>
                  <w:pPr>
                    <w:pStyle w:val="Compact"/>
                    <w:jc w:val="left"/>
                    <w:jc w:val="center"/>
                  </w:pPr>
                  <w:r>
                    <w:t xml:space="preserve">Cost Premium</w:t>
                  </w:r>
                </w:p>
              </w:tc>
              <w:tc>
                <w:tcPr/>
                <w:p>
                  <w:pPr>
                    <w:pStyle w:val="Compact"/>
                    <w:jc w:val="right"/>
                    <w:jc w:val="center"/>
                  </w:pPr>
                  <w:r>
                    <w:t xml:space="preserve">1.3</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multiplier</w:t>
                  </w:r>
                </w:p>
              </w:tc>
              <w:tc>
                <w:tcPr/>
                <w:p>
                  <w:pPr>
                    <w:pStyle w:val="Compact"/>
                    <w:jc w:val="left"/>
                    <w:jc w:val="center"/>
                  </w:pPr>
                  <w:r>
                    <w:t xml:space="preserve">Model design choice â€” ADB POISED PCR (2023): outer-island RE projects 20-40% c…</w:t>
                  </w:r>
                </w:p>
              </w:tc>
            </w:tr>
            <w:tr>
              <w:tc>
                <w:tcPr/>
                <w:p>
                  <w:pPr>
                    <w:pStyle w:val="Compact"/>
                    <w:jc w:val="left"/>
                    <w:jc w:val="center"/>
                  </w:pPr>
                  <w:r>
                    <w:t xml:space="preserve">Battery Ratio</w:t>
                  </w:r>
                </w:p>
              </w:tc>
              <w:tc>
                <w:tcPr/>
                <w:p>
                  <w:pPr>
                    <w:pStyle w:val="Compact"/>
                    <w:jc w:val="right"/>
                    <w:jc w:val="center"/>
                  </w:pPr>
                  <w:r>
                    <w:t xml:space="preserve">3</w:t>
                  </w:r>
                </w:p>
              </w:tc>
              <w:tc>
                <w:tcPr/>
                <w:p>
                  <w:pPr>
                    <w:pStyle w:val="Compact"/>
                    <w:jc w:val="left"/>
                    <w:jc w:val="center"/>
                  </w:pPr>
                  <w:r>
                    <w:t xml:space="preserve">2</w:t>
                  </w:r>
                </w:p>
              </w:tc>
              <w:tc>
                <w:tcPr/>
                <w:p>
                  <w:pPr>
                    <w:pStyle w:val="Compact"/>
                    <w:jc w:val="left"/>
                    <w:jc w:val="center"/>
                  </w:pPr>
                  <w:r>
                    <w:t xml:space="preserve">4</w:t>
                  </w:r>
                </w:p>
              </w:tc>
              <w:tc>
                <w:tcPr/>
                <w:p>
                  <w:pPr>
                    <w:pStyle w:val="Compact"/>
                    <w:jc w:val="left"/>
                    <w:jc w:val="center"/>
                  </w:pPr>
                  <w:r>
                    <w:t xml:space="preserve">MWh/MW solar</w:t>
                  </w:r>
                </w:p>
              </w:tc>
              <w:tc>
                <w:tcPr/>
                <w:p>
                  <w:pPr>
                    <w:pStyle w:val="Compact"/>
                    <w:jc w:val="left"/>
                    <w:jc w:val="center"/>
                  </w:pPr>
                  <w:r>
                    <w:t xml:space="preserve">NREL ATB 2024; BNEF 2025 BESS sizing guidance. Low=aggressive oversizing; High=c…</w:t>
                  </w:r>
                </w:p>
              </w:tc>
            </w:tr>
            <w:tr>
              <w:tc>
                <w:tcPr/>
                <w:p>
                  <w:pPr>
                    <w:pStyle w:val="Compact"/>
                    <w:jc w:val="left"/>
                    <w:jc w:val="center"/>
                  </w:pPr>
                  <w:r>
                    <w:t xml:space="preserve">Max RE Share</w:t>
                  </w:r>
                </w:p>
              </w:tc>
              <w:tc>
                <w:tcPr/>
                <w:p>
                  <w:pPr>
                    <w:pStyle w:val="Compact"/>
                    <w:jc w:val="right"/>
                    <w:jc w:val="center"/>
                  </w:pPr>
                  <w:r>
                    <w:t xml:space="preserve">1</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Model design choice â€” least-cost engine output: 170/176 islands achieve 100% R…</w:t>
                  </w:r>
                </w:p>
              </w:tc>
            </w:tr>
            <w:tr>
              <w:tc>
                <w:tcPr/>
                <w:p>
                  <w:pPr>
                    <w:pStyle w:val="Compact"/>
                    <w:jc w:val="left"/>
                    <w:jc w:val="center"/>
                  </w:pPr>
                  <w:r>
                    <w:t xml:space="preserve">OPEX Premium</w:t>
                  </w:r>
                </w:p>
              </w:tc>
              <w:tc>
                <w:tcPr/>
                <w:p>
                  <w:pPr>
                    <w:pStyle w:val="Compact"/>
                    <w:jc w:val="right"/>
                    <w:jc w:val="center"/>
                  </w:pPr>
                  <w:r>
                    <w:t xml:space="preserve">1.2</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multiplier</w:t>
                  </w:r>
                </w:p>
              </w:tc>
              <w:tc>
                <w:tcPr/>
                <w:p>
                  <w:pPr>
                    <w:pStyle w:val="Compact"/>
                    <w:jc w:val="left"/>
                    <w:jc w:val="center"/>
                  </w:pPr>
                  <w:r>
                    <w:t xml:space="preserve">Model design choice â€” engineering estimate: 20% O&amp;M premium for dispersed isla…</w:t>
                  </w:r>
                </w:p>
              </w:tc>
            </w:tr>
            <w:tr>
              <w:tc>
                <w:tcPr/>
                <w:p>
                  <w:pPr>
                    <w:pStyle w:val="Compact"/>
                    <w:jc w:val="left"/>
                    <w:jc w:val="center"/>
                  </w:pPr>
                  <w:r>
                    <w:t xml:space="preserve">RE Cap Factor</w:t>
                  </w:r>
                </w:p>
              </w:tc>
              <w:tc>
                <w:tcPr/>
                <w:p>
                  <w:pPr>
                    <w:pStyle w:val="Compact"/>
                    <w:jc w:val="right"/>
                    <w:jc w:val="center"/>
                  </w:pPr>
                  <w:r>
                    <w:t xml:space="preserve">0.9</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ratio</w:t>
                  </w:r>
                </w:p>
              </w:tc>
              <w:tc>
                <w:tcPr/>
                <w:p>
                  <w:pPr>
                    <w:pStyle w:val="Compact"/>
                    <w:jc w:val="left"/>
                    <w:jc w:val="center"/>
                  </w:pPr>
                  <w:r>
                    <w:t xml:space="preserve">Model design choice â€” conservative derating: standalone island RE systems achi…</w:t>
                  </w:r>
                </w:p>
              </w:tc>
            </w:tr>
          </w:tbl>
          <w:p>
            <w:pPr>
              <w:pStyle w:val="Heading3"/>
              <w:jc w:val="center"/>
            </w:pPr>
            <w:bookmarkStart w:id="365" w:name="one-grid"/>
            <w:r>
              <w:t xml:space="preserve">14.1.23 One Grid</w:t>
            </w:r>
            <w:bookmarkEnd w:id="365"/>
          </w:p>
          <w:tbl>
            <w:tblPr>
              <w:tblStyle w:val="Table"/>
              <w:tblW w:type="pct" w:w="5000"/>
              <w:tblLayout w:type="fixed"/>
              <w:tblLook w:firstRow="1" w:lastRow="0" w:firstColumn="0" w:lastColumn="0" w:noHBand="0" w:noVBand="0" w:val="0020"/>
            </w:tblPr>
            <w:tblGrid>
              <w:gridCol w:w="1400"/>
              <w:gridCol w:w="484"/>
              <w:gridCol w:w="377"/>
              <w:gridCol w:w="431"/>
              <w:gridCol w:w="754"/>
              <w:gridCol w:w="4471"/>
            </w:tblGrid>
            <w:tr>
              <w:trPr>
                <w:tblHeader w:val="on"/>
              </w:trPr>
              <w:tc>
                <w:tcPr/>
                <w:p>
                  <w:pPr>
                    <w:pStyle w:val="Compact"/>
                    <w:jc w:val="left"/>
                    <w:jc w:val="center"/>
                  </w:pPr>
                  <w:r>
                    <w:t xml:space="preserve">Parameter</w:t>
                  </w:r>
                </w:p>
              </w:tc>
              <w:tc>
                <w:tcPr/>
                <w:p>
                  <w:pPr>
                    <w:pStyle w:val="Compact"/>
                    <w:jc w:val="right"/>
                    <w:jc w:val="center"/>
                  </w:pPr>
                  <w:r>
                    <w:t xml:space="preserve">Value</w:t>
                  </w:r>
                </w:p>
              </w:tc>
              <w:tc>
                <w:tcPr/>
                <w:p>
                  <w:pPr>
                    <w:pStyle w:val="Compact"/>
                    <w:jc w:val="left"/>
                    <w:jc w:val="center"/>
                  </w:pPr>
                  <w:r>
                    <w:t xml:space="preserve">Low</w:t>
                  </w:r>
                </w:p>
              </w:tc>
              <w:tc>
                <w:tcPr/>
                <w:p>
                  <w:pPr>
                    <w:pStyle w:val="Compact"/>
                    <w:jc w:val="left"/>
                    <w:jc w:val="center"/>
                  </w:pPr>
                  <w:r>
                    <w:t xml:space="preserve">High</w:t>
                  </w:r>
                </w:p>
              </w:tc>
              <w:tc>
                <w:tcPr/>
                <w:p>
                  <w:pPr>
                    <w:pStyle w:val="Compact"/>
                    <w:jc w:val="left"/>
                    <w:jc w:val="center"/>
                  </w:pPr>
                  <w:r>
                    <w:t xml:space="preserve">Unit</w:t>
                  </w:r>
                </w:p>
              </w:tc>
              <w:tc>
                <w:tcPr/>
                <w:p>
                  <w:pPr>
                    <w:pStyle w:val="Compact"/>
                    <w:jc w:val="left"/>
                    <w:jc w:val="center"/>
                  </w:pPr>
                  <w:r>
                    <w:t xml:space="preserve">Source</w:t>
                  </w:r>
                </w:p>
              </w:tc>
            </w:tr>
            <w:tr>
              <w:tc>
                <w:tcPr/>
                <w:p>
                  <w:pPr>
                    <w:pStyle w:val="Compact"/>
                    <w:jc w:val="left"/>
                    <w:jc w:val="center"/>
                  </w:pPr>
                  <w:r>
                    <w:t xml:space="preserve">Battery Ratio</w:t>
                  </w:r>
                </w:p>
              </w:tc>
              <w:tc>
                <w:tcPr/>
                <w:p>
                  <w:pPr>
                    <w:pStyle w:val="Compact"/>
                    <w:jc w:val="right"/>
                    <w:jc w:val="center"/>
                  </w:pPr>
                  <w:r>
                    <w:t xml:space="preserve">1.5</w:t>
                  </w:r>
                </w:p>
              </w:tc>
              <w:tc>
                <w:tcPr/>
                <w:p>
                  <w:pPr>
                    <w:pStyle w:val="Compact"/>
                    <w:jc w:val="left"/>
                    <w:jc w:val="center"/>
                  </w:pPr>
                  <w:r>
                    <w:t xml:space="preserve">1</w:t>
                  </w:r>
                </w:p>
              </w:tc>
              <w:tc>
                <w:tcPr/>
                <w:p>
                  <w:pPr>
                    <w:pStyle w:val="Compact"/>
                    <w:jc w:val="left"/>
                    <w:jc w:val="center"/>
                  </w:pPr>
                  <w:r>
                    <w:t xml:space="preserve">2.5</w:t>
                  </w:r>
                </w:p>
              </w:tc>
              <w:tc>
                <w:tcPr/>
                <w:p>
                  <w:pPr>
                    <w:pStyle w:val="Compact"/>
                    <w:jc w:val="left"/>
                    <w:jc w:val="center"/>
                  </w:pPr>
                  <w:r>
                    <w:t xml:space="preserve">MWh/MW solar</w:t>
                  </w:r>
                </w:p>
              </w:tc>
              <w:tc>
                <w:tcPr/>
                <w:p>
                  <w:pPr>
                    <w:pStyle w:val="Compact"/>
                    <w:jc w:val="left"/>
                    <w:jc w:val="center"/>
                  </w:pPr>
                  <w:r>
                    <w:t xml:space="preserve">NREL ATB 2024; cable baseload reduces storage needs. Low=minimal buffer; High=ex…</w:t>
                  </w:r>
                </w:p>
              </w:tc>
            </w:tr>
            <w:tr>
              <w:tc>
                <w:tcPr/>
                <w:p>
                  <w:pPr>
                    <w:pStyle w:val="Compact"/>
                    <w:jc w:val="left"/>
                    <w:jc w:val="center"/>
                  </w:pPr>
                  <w:r>
                    <w:t xml:space="preserve">Diesel Reserve Ratio</w:t>
                  </w:r>
                </w:p>
              </w:tc>
              <w:tc>
                <w:tcPr/>
                <w:p>
                  <w:pPr>
                    <w:pStyle w:val="Compact"/>
                    <w:jc w:val="right"/>
                    <w:jc w:val="center"/>
                  </w:pPr>
                  <w:r>
                    <w:t xml:space="preserve">0.05</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ratio</w:t>
                  </w:r>
                </w:p>
              </w:tc>
              <w:tc>
                <w:tcPr/>
                <w:p>
                  <w:pPr>
                    <w:pStyle w:val="Compact"/>
                    <w:jc w:val="left"/>
                    <w:jc w:val="center"/>
                  </w:pPr>
                  <w:r>
                    <w:t xml:space="preserve">Model design choice â€” 5% diesel reserve post-cable for emergency only. Consist…</w:t>
                  </w:r>
                </w:p>
              </w:tc>
            </w:tr>
            <w:tr>
              <w:tc>
                <w:tcPr/>
                <w:p>
                  <w:pPr>
                    <w:pStyle w:val="Compact"/>
                    <w:jc w:val="left"/>
                    <w:jc w:val="center"/>
                  </w:pPr>
                  <w:r>
                    <w:t xml:space="preserve">Diesel Backup Share</w:t>
                  </w:r>
                </w:p>
              </w:tc>
              <w:tc>
                <w:tcPr/>
                <w:p>
                  <w:pPr>
                    <w:pStyle w:val="Compact"/>
                    <w:jc w:val="right"/>
                    <w:jc w:val="center"/>
                  </w:pPr>
                  <w:r>
                    <w:t xml:space="preserve">0.2</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ratio</w:t>
                  </w:r>
                </w:p>
              </w:tc>
              <w:tc>
                <w:tcPr/>
                <w:p>
                  <w:pPr>
                    <w:pStyle w:val="Compact"/>
                    <w:jc w:val="left"/>
                    <w:jc w:val="center"/>
                  </w:pPr>
                  <w:r>
                    <w:t xml:space="preserve">Model design choice â€” 20% of peak capacity retained as diesel backup for cable…</w:t>
                  </w:r>
                </w:p>
              </w:tc>
            </w:tr>
            <w:tr>
              <w:tc>
                <w:tcPr/>
                <w:p>
                  <w:pPr>
                    <w:pStyle w:val="Compact"/>
                    <w:jc w:val="left"/>
                    <w:jc w:val="center"/>
                  </w:pPr>
                  <w:r>
                    <w:t xml:space="preserve">Diesel Retirement Rate</w:t>
                  </w:r>
                </w:p>
              </w:tc>
              <w:tc>
                <w:tcPr/>
                <w:p>
                  <w:pPr>
                    <w:pStyle w:val="Compact"/>
                    <w:jc w:val="right"/>
                    <w:jc w:val="center"/>
                  </w:pPr>
                  <w:r>
                    <w:t xml:space="preserve">0.1</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%/year</w:t>
                  </w:r>
                </w:p>
              </w:tc>
              <w:tc>
                <w:tcPr/>
                <w:p>
                  <w:pPr>
                    <w:pStyle w:val="Compact"/>
                    <w:jc w:val="left"/>
                    <w:jc w:val="center"/>
                  </w:pPr>
                  <w:r>
                    <w:t xml:space="preserve">Model design choice â€” 10% annual retirement rate post-cable = 10yr phase-out t…</w:t>
                  </w:r>
                </w:p>
              </w:tc>
            </w:tr>
            <w:tr>
              <w:tc>
                <w:tcPr/>
                <w:p>
                  <w:pPr>
                    <w:pStyle w:val="Compact"/>
                    <w:jc w:val="left"/>
                    <w:jc w:val="center"/>
                  </w:pPr>
                  <w:r>
                    <w:t xml:space="preserve">Inter-Island Build Start</w:t>
                  </w:r>
                </w:p>
              </w:tc>
              <w:tc>
                <w:tcPr/>
                <w:p>
                  <w:pPr>
                    <w:pStyle w:val="Compact"/>
                    <w:jc w:val="right"/>
                    <w:jc w:val="center"/>
                  </w:pPr>
                  <w:r>
                    <w:t xml:space="preserve">2027</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year</w:t>
                  </w:r>
                </w:p>
              </w:tc>
              <w:tc>
                <w:tcPr/>
                <w:p>
                  <w:pPr>
                    <w:pStyle w:val="Compact"/>
                    <w:jc w:val="left"/>
                    <w:jc w:val="center"/>
                  </w:pPr>
                  <w:r>
                    <w:t xml:space="preserve">Model design choice â€” aligned with GoM Energy Roadmap 2024-2033 infrastructure…</w:t>
                  </w:r>
                </w:p>
              </w:tc>
            </w:tr>
            <w:tr>
              <w:tc>
                <w:tcPr/>
                <w:p>
                  <w:pPr>
                    <w:pStyle w:val="Compact"/>
                    <w:jc w:val="left"/>
                    <w:jc w:val="center"/>
                  </w:pPr>
                  <w:r>
                    <w:t xml:space="preserve">Inter-Island Build End</w:t>
                  </w:r>
                </w:p>
              </w:tc>
              <w:tc>
                <w:tcPr/>
                <w:p>
                  <w:pPr>
                    <w:pStyle w:val="Compact"/>
                    <w:jc w:val="right"/>
                    <w:jc w:val="center"/>
                  </w:pPr>
                  <w:r>
                    <w:t xml:space="preserve">2028</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year</w:t>
                  </w:r>
                </w:p>
              </w:tc>
              <w:tc>
                <w:tcPr/>
                <w:p>
                  <w:pPr>
                    <w:pStyle w:val="Compact"/>
                    <w:jc w:val="left"/>
                    <w:jc w:val="center"/>
                  </w:pPr>
                  <w:r>
                    <w:t xml:space="preserve">Model design choice â€” 1-year inter-island cable phase for 14km total (3 short …</w:t>
                  </w:r>
                </w:p>
              </w:tc>
            </w:tr>
            <w:tr>
              <w:tc>
                <w:tcPr/>
                <w:p>
                  <w:pPr>
                    <w:pStyle w:val="Compact"/>
                    <w:jc w:val="left"/>
                    <w:jc w:val="center"/>
                  </w:pPr>
                  <w:r>
                    <w:t xml:space="preserve">Cable Construction Years</w:t>
                  </w:r>
                </w:p>
              </w:tc>
              <w:tc>
                <w:tcPr/>
                <w:p>
                  <w:pPr>
                    <w:pStyle w:val="Compact"/>
                    <w:jc w:val="right"/>
                    <w:jc w:val="center"/>
                  </w:pPr>
                  <w:r>
                    <w:t xml:space="preserve">3</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years</w:t>
                  </w:r>
                </w:p>
              </w:tc>
              <w:tc>
                <w:tcPr/>
                <w:p>
                  <w:pPr>
                    <w:pStyle w:val="Compact"/>
                    <w:jc w:val="left"/>
                    <w:jc w:val="center"/>
                  </w:pPr>
                  <w:r>
                    <w:t xml:space="preserve">Model design choice â€” aligned with India HVDC cable construction benchmarks (N…</w:t>
                  </w:r>
                </w:p>
              </w:tc>
            </w:tr>
          </w:tbl>
          <w:p>
            <w:pPr>
              <w:pStyle w:val="Heading3"/>
              <w:jc w:val="center"/>
            </w:pPr>
            <w:bookmarkStart w:id="366" w:name="operations"/>
            <w:r>
              <w:t xml:space="preserve">14.1.24 Operations</w:t>
            </w:r>
            <w:bookmarkEnd w:id="366"/>
          </w:p>
          <w:tbl>
            <w:tblPr>
              <w:tblStyle w:val="Table"/>
              <w:tblW w:type="pct" w:w="5000"/>
              <w:tblLayout w:type="fixed"/>
              <w:tblLook w:firstRow="1" w:lastRow="0" w:firstColumn="0" w:lastColumn="0" w:noHBand="0" w:noVBand="0" w:val="0020"/>
            </w:tblPr>
            <w:tblGrid>
              <w:gridCol w:w="1414"/>
              <w:gridCol w:w="509"/>
              <w:gridCol w:w="396"/>
              <w:gridCol w:w="452"/>
              <w:gridCol w:w="452"/>
              <w:gridCol w:w="4695"/>
            </w:tblGrid>
            <w:tr>
              <w:trPr>
                <w:tblHeader w:val="on"/>
              </w:trPr>
              <w:tc>
                <w:tcPr/>
                <w:p>
                  <w:pPr>
                    <w:pStyle w:val="Compact"/>
                    <w:jc w:val="left"/>
                    <w:jc w:val="center"/>
                  </w:pPr>
                  <w:r>
                    <w:t xml:space="preserve">Parameter</w:t>
                  </w:r>
                </w:p>
              </w:tc>
              <w:tc>
                <w:tcPr/>
                <w:p>
                  <w:pPr>
                    <w:pStyle w:val="Compact"/>
                    <w:jc w:val="right"/>
                    <w:jc w:val="center"/>
                  </w:pPr>
                  <w:r>
                    <w:t xml:space="preserve">Value</w:t>
                  </w:r>
                </w:p>
              </w:tc>
              <w:tc>
                <w:tcPr/>
                <w:p>
                  <w:pPr>
                    <w:pStyle w:val="Compact"/>
                    <w:jc w:val="left"/>
                    <w:jc w:val="center"/>
                  </w:pPr>
                  <w:r>
                    <w:t xml:space="preserve">Low</w:t>
                  </w:r>
                </w:p>
              </w:tc>
              <w:tc>
                <w:tcPr/>
                <w:p>
                  <w:pPr>
                    <w:pStyle w:val="Compact"/>
                    <w:jc w:val="left"/>
                    <w:jc w:val="center"/>
                  </w:pPr>
                  <w:r>
                    <w:t xml:space="preserve">High</w:t>
                  </w:r>
                </w:p>
              </w:tc>
              <w:tc>
                <w:tcPr/>
                <w:p>
                  <w:pPr>
                    <w:pStyle w:val="Compact"/>
                    <w:jc w:val="left"/>
                    <w:jc w:val="center"/>
                  </w:pPr>
                  <w:r>
                    <w:t xml:space="preserve">Unit</w:t>
                  </w:r>
                </w:p>
              </w:tc>
              <w:tc>
                <w:tcPr/>
                <w:p>
                  <w:pPr>
                    <w:pStyle w:val="Compact"/>
                    <w:jc w:val="left"/>
                    <w:jc w:val="center"/>
                  </w:pPr>
                  <w:r>
                    <w:t xml:space="preserve">Source</w:t>
                  </w:r>
                </w:p>
              </w:tc>
            </w:tr>
            <w:tr>
              <w:tc>
                <w:tcPr/>
                <w:p>
                  <w:pPr>
                    <w:pStyle w:val="Compact"/>
                    <w:jc w:val="left"/>
                    <w:jc w:val="center"/>
                  </w:pPr>
                  <w:r>
                    <w:t xml:space="preserve">Reserve Margin</w:t>
                  </w:r>
                </w:p>
              </w:tc>
              <w:tc>
                <w:tcPr/>
                <w:p>
                  <w:pPr>
                    <w:pStyle w:val="Compact"/>
                    <w:jc w:val="right"/>
                    <w:jc w:val="center"/>
                  </w:pPr>
                  <w:r>
                    <w:t xml:space="preserve">0.15</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ratio</w:t>
                  </w:r>
                </w:p>
              </w:tc>
              <w:tc>
                <w:tcPr/>
                <w:p>
                  <w:pPr>
                    <w:pStyle w:val="Compact"/>
                    <w:jc w:val="left"/>
                    <w:jc w:val="center"/>
                  </w:pPr>
                  <w:r>
                    <w:t xml:space="preserve">Model design choice â€” NERC standard 15% planning reserve margin; IEC 62786 isl…</w:t>
                  </w:r>
                </w:p>
              </w:tc>
            </w:tr>
            <w:tr>
              <w:tc>
                <w:tcPr/>
                <w:p>
                  <w:pPr>
                    <w:pStyle w:val="Compact"/>
                    <w:jc w:val="left"/>
                    <w:jc w:val="center"/>
                  </w:pPr>
                  <w:r>
                    <w:t xml:space="preserve">Min Diesel Backup</w:t>
                  </w:r>
                </w:p>
              </w:tc>
              <w:tc>
                <w:tcPr/>
                <w:p>
                  <w:pPr>
                    <w:pStyle w:val="Compact"/>
                    <w:jc w:val="right"/>
                    <w:jc w:val="center"/>
                  </w:pPr>
                  <w:r>
                    <w:t xml:space="preserve">0.2</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ratio</w:t>
                  </w:r>
                </w:p>
              </w:tc>
              <w:tc>
                <w:tcPr/>
                <w:p>
                  <w:pPr>
                    <w:pStyle w:val="Compact"/>
                    <w:jc w:val="left"/>
                    <w:jc w:val="center"/>
                  </w:pPr>
                  <w:r>
                    <w:t xml:space="preserve">Model design choice â€” mirrors One Grid Diesel Backup Share; ensures N-1 reliab…</w:t>
                  </w:r>
                </w:p>
              </w:tc>
            </w:tr>
            <w:tr>
              <w:tc>
                <w:tcPr/>
                <w:p>
                  <w:pPr>
                    <w:pStyle w:val="Compact"/>
                    <w:jc w:val="left"/>
                    <w:jc w:val="center"/>
                  </w:pPr>
                  <w:r>
                    <w:t xml:space="preserve">Solar Peak Contribution</w:t>
                  </w:r>
                </w:p>
              </w:tc>
              <w:tc>
                <w:tcPr/>
                <w:p>
                  <w:pPr>
                    <w:pStyle w:val="Compact"/>
                    <w:jc w:val="right"/>
                    <w:jc w:val="center"/>
                  </w:pPr>
                  <w:r>
                    <w:t xml:space="preserve">0.1</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ratio</w:t>
                  </w:r>
                </w:p>
              </w:tc>
              <w:tc>
                <w:tcPr/>
                <w:p>
                  <w:pPr>
                    <w:pStyle w:val="Compact"/>
                    <w:jc w:val="left"/>
                    <w:jc w:val="center"/>
                  </w:pPr>
                  <w:r>
                    <w:t xml:space="preserve">Model design choice â€” capacity credit of solar PV for peak planning. NREL (202…</w:t>
                  </w:r>
                </w:p>
              </w:tc>
            </w:tr>
          </w:tbl>
          <w:p>
            <w:pPr>
              <w:pStyle w:val="Heading3"/>
              <w:jc w:val="center"/>
            </w:pPr>
            <w:bookmarkStart w:id="367" w:name="dispatch"/>
            <w:r>
              <w:t xml:space="preserve">14.1.25 Dispatch</w:t>
            </w:r>
            <w:bookmarkEnd w:id="367"/>
          </w:p>
          <w:tbl>
            <w:tblPr>
              <w:tblStyle w:val="Table"/>
              <w:tblW w:type="pct" w:w="5000"/>
              <w:tblLayout w:type="fixed"/>
              <w:tblLook w:firstRow="1" w:lastRow="0" w:firstColumn="0" w:lastColumn="0" w:noHBand="0" w:noVBand="0" w:val="0020"/>
            </w:tblPr>
            <w:tblGrid>
              <w:gridCol w:w="1658"/>
              <w:gridCol w:w="535"/>
              <w:gridCol w:w="374"/>
              <w:gridCol w:w="428"/>
              <w:gridCol w:w="481"/>
              <w:gridCol w:w="4441"/>
            </w:tblGrid>
            <w:tr>
              <w:trPr>
                <w:tblHeader w:val="on"/>
              </w:trPr>
              <w:tc>
                <w:tcPr/>
                <w:p>
                  <w:pPr>
                    <w:pStyle w:val="Compact"/>
                    <w:jc w:val="left"/>
                    <w:jc w:val="center"/>
                  </w:pPr>
                  <w:r>
                    <w:t xml:space="preserve">Parameter</w:t>
                  </w:r>
                </w:p>
              </w:tc>
              <w:tc>
                <w:tcPr/>
                <w:p>
                  <w:pPr>
                    <w:pStyle w:val="Compact"/>
                    <w:jc w:val="right"/>
                    <w:jc w:val="center"/>
                  </w:pPr>
                  <w:r>
                    <w:t xml:space="preserve">Value</w:t>
                  </w:r>
                </w:p>
              </w:tc>
              <w:tc>
                <w:tcPr/>
                <w:p>
                  <w:pPr>
                    <w:pStyle w:val="Compact"/>
                    <w:jc w:val="left"/>
                    <w:jc w:val="center"/>
                  </w:pPr>
                  <w:r>
                    <w:t xml:space="preserve">Low</w:t>
                  </w:r>
                </w:p>
              </w:tc>
              <w:tc>
                <w:tcPr/>
                <w:p>
                  <w:pPr>
                    <w:pStyle w:val="Compact"/>
                    <w:jc w:val="left"/>
                    <w:jc w:val="center"/>
                  </w:pPr>
                  <w:r>
                    <w:t xml:space="preserve">High</w:t>
                  </w:r>
                </w:p>
              </w:tc>
              <w:tc>
                <w:tcPr/>
                <w:p>
                  <w:pPr>
                    <w:pStyle w:val="Compact"/>
                    <w:jc w:val="left"/>
                    <w:jc w:val="center"/>
                  </w:pPr>
                  <w:r>
                    <w:t xml:space="preserve">Unit</w:t>
                  </w:r>
                </w:p>
              </w:tc>
              <w:tc>
                <w:tcPr/>
                <w:p>
                  <w:pPr>
                    <w:pStyle w:val="Compact"/>
                    <w:jc w:val="left"/>
                    <w:jc w:val="center"/>
                  </w:pPr>
                  <w:r>
                    <w:t xml:space="preserve">Source</w:t>
                  </w:r>
                </w:p>
              </w:tc>
            </w:tr>
            <w:tr>
              <w:tc>
                <w:tcPr/>
                <w:p>
                  <w:pPr>
                    <w:pStyle w:val="Compact"/>
                    <w:jc w:val="left"/>
                    <w:jc w:val="center"/>
                  </w:pPr>
                  <w:r>
                    <w:t xml:space="preserve">Battery DoD Max</w:t>
                  </w:r>
                </w:p>
              </w:tc>
              <w:tc>
                <w:tcPr/>
                <w:p>
                  <w:pPr>
                    <w:pStyle w:val="Compact"/>
                    <w:jc w:val="right"/>
                    <w:jc w:val="center"/>
                  </w:pPr>
                  <w:r>
                    <w:t xml:space="preserve">0.8</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ratio</w:t>
                  </w:r>
                </w:p>
              </w:tc>
              <w:tc>
                <w:tcPr/>
                <w:p>
                  <w:pPr>
                    <w:pStyle w:val="Compact"/>
                    <w:jc w:val="left"/>
                    <w:jc w:val="center"/>
                  </w:pPr>
                  <w:r>
                    <w:t xml:space="preserve">GEP-OnSSET onsset.py L194; standard for LFP batteries</w:t>
                  </w:r>
                </w:p>
              </w:tc>
            </w:tr>
            <w:tr>
              <w:tc>
                <w:tcPr/>
                <w:p>
                  <w:pPr>
                    <w:pStyle w:val="Compact"/>
                    <w:jc w:val="left"/>
                    <w:jc w:val="center"/>
                  </w:pPr>
                  <w:r>
                    <w:t xml:space="preserve">Diesel Min Load Fraction</w:t>
                  </w:r>
                </w:p>
              </w:tc>
              <w:tc>
                <w:tcPr/>
                <w:p>
                  <w:pPr>
                    <w:pStyle w:val="Compact"/>
                    <w:jc w:val="right"/>
                    <w:jc w:val="center"/>
                  </w:pPr>
                  <w:r>
                    <w:t xml:space="preserve">0.4</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ratio</w:t>
                  </w:r>
                </w:p>
              </w:tc>
              <w:tc>
                <w:tcPr/>
                <w:p>
                  <w:pPr>
                    <w:pStyle w:val="Compact"/>
                    <w:jc w:val="left"/>
                    <w:jc w:val="center"/>
                  </w:pPr>
                  <w:r>
                    <w:t xml:space="preserve">GEP-OnSSET onsset.py L259; medium-speed diesel standard</w:t>
                  </w:r>
                </w:p>
              </w:tc>
            </w:tr>
            <w:tr>
              <w:tc>
                <w:tcPr/>
                <w:p>
                  <w:pPr>
                    <w:pStyle w:val="Compact"/>
                    <w:jc w:val="left"/>
                    <w:jc w:val="center"/>
                  </w:pPr>
                  <w:r>
                    <w:t xml:space="preserve">Fuel Curve Idle Coeff</w:t>
                  </w:r>
                </w:p>
              </w:tc>
              <w:tc>
                <w:tcPr/>
                <w:p>
                  <w:pPr>
                    <w:pStyle w:val="Compact"/>
                    <w:jc w:val="right"/>
                    <w:jc w:val="center"/>
                  </w:pPr>
                  <w:r>
                    <w:t xml:space="preserve">0.08145</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l/hr/kW</w:t>
                  </w:r>
                </w:p>
              </w:tc>
              <w:tc>
                <w:tcPr/>
                <w:p>
                  <w:pPr>
                    <w:pStyle w:val="Compact"/>
                    <w:jc w:val="left"/>
                    <w:jc w:val="center"/>
                  </w:pPr>
                  <w:r>
                    <w:t xml:space="preserve">GEP-OnSSET onsset.py L266; Mandelli et al. 2016</w:t>
                  </w:r>
                </w:p>
              </w:tc>
            </w:tr>
            <w:tr>
              <w:tc>
                <w:tcPr/>
                <w:p>
                  <w:pPr>
                    <w:pStyle w:val="Compact"/>
                    <w:jc w:val="left"/>
                    <w:jc w:val="center"/>
                  </w:pPr>
                  <w:r>
                    <w:t xml:space="preserve">Fuel Curve Proportional Coeff</w:t>
                  </w:r>
                </w:p>
              </w:tc>
              <w:tc>
                <w:tcPr/>
                <w:p>
                  <w:pPr>
                    <w:pStyle w:val="Compact"/>
                    <w:jc w:val="right"/>
                    <w:jc w:val="center"/>
                  </w:pPr>
                  <w:r>
                    <w:t xml:space="preserve">0.246</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l/kWh</w:t>
                  </w:r>
                </w:p>
              </w:tc>
              <w:tc>
                <w:tcPr/>
                <w:p>
                  <w:pPr>
                    <w:pStyle w:val="Compact"/>
                    <w:jc w:val="left"/>
                    <w:jc w:val="center"/>
                  </w:pPr>
                  <w:r>
                    <w:t xml:space="preserve">GEP-OnSSET onsset.py L266; Mandelli et al. 2016</w:t>
                  </w:r>
                </w:p>
              </w:tc>
            </w:tr>
            <w:tr>
              <w:tc>
                <w:tcPr/>
                <w:p>
                  <w:pPr>
                    <w:pStyle w:val="Compact"/>
                    <w:jc w:val="left"/>
                    <w:jc w:val="center"/>
                  </w:pPr>
                  <w:r>
                    <w:t xml:space="preserve">Battery Charge Efficiency</w:t>
                  </w:r>
                </w:p>
              </w:tc>
              <w:tc>
                <w:tcPr/>
                <w:p>
                  <w:pPr>
                    <w:pStyle w:val="Compact"/>
                    <w:jc w:val="right"/>
                    <w:jc w:val="center"/>
                  </w:pPr>
                  <w:r>
                    <w:t xml:space="preserve">0.938</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ratio</w:t>
                  </w:r>
                </w:p>
              </w:tc>
              <w:tc>
                <w:tcPr/>
                <w:p>
                  <w:pPr>
                    <w:pStyle w:val="Compact"/>
                    <w:jc w:val="left"/>
                    <w:jc w:val="center"/>
                  </w:pPr>
                  <w:r>
                    <w:t xml:space="preserve">sqrt(0.88 RT) â€” BNEF 2025 RT=0.88; C-WC-01 fix</w:t>
                  </w:r>
                </w:p>
              </w:tc>
            </w:tr>
            <w:tr>
              <w:tc>
                <w:tcPr/>
                <w:p>
                  <w:pPr>
                    <w:pStyle w:val="Compact"/>
                    <w:jc w:val="left"/>
                    <w:jc w:val="center"/>
                  </w:pPr>
                  <w:r>
                    <w:t xml:space="preserve">Battery Discharge Efficiency</w:t>
                  </w:r>
                </w:p>
              </w:tc>
              <w:tc>
                <w:tcPr/>
                <w:p>
                  <w:pPr>
                    <w:pStyle w:val="Compact"/>
                    <w:jc w:val="right"/>
                    <w:jc w:val="center"/>
                  </w:pPr>
                  <w:r>
                    <w:t xml:space="preserve">0.938</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ratio</w:t>
                  </w:r>
                </w:p>
              </w:tc>
              <w:tc>
                <w:tcPr/>
                <w:p>
                  <w:pPr>
                    <w:pStyle w:val="Compact"/>
                    <w:jc w:val="left"/>
                    <w:jc w:val="center"/>
                  </w:pPr>
                  <w:r>
                    <w:t xml:space="preserve">sqrt(0.88 RT) â€” BNEF 2025 RT=0.88; C-WC-01 fix</w:t>
                  </w:r>
                </w:p>
              </w:tc>
            </w:tr>
            <w:tr>
              <w:tc>
                <w:tcPr/>
                <w:p>
                  <w:pPr>
                    <w:pStyle w:val="Compact"/>
                    <w:jc w:val="left"/>
                    <w:jc w:val="center"/>
                  </w:pPr>
                  <w:r>
                    <w:t xml:space="preserve">Battery Self Discharge Rate</w:t>
                  </w:r>
                </w:p>
              </w:tc>
              <w:tc>
                <w:tcPr/>
                <w:p>
                  <w:pPr>
                    <w:pStyle w:val="Compact"/>
                    <w:jc w:val="right"/>
                    <w:jc w:val="center"/>
                  </w:pPr>
                  <w:r>
                    <w:t xml:space="preserve">0.0002</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/hr</w:t>
                  </w:r>
                </w:p>
              </w:tc>
              <w:tc>
                <w:tcPr/>
                <w:p>
                  <w:pPr>
                    <w:pStyle w:val="Compact"/>
                    <w:jc w:val="left"/>
                    <w:jc w:val="center"/>
                  </w:pPr>
                  <w:r>
                    <w:t xml:space="preserve">GEP-OnSSET onsset.py L251: soc *= 0.9998</w:t>
                  </w:r>
                </w:p>
              </w:tc>
            </w:tr>
            <w:tr>
              <w:tc>
                <w:tcPr/>
                <w:p>
                  <w:pPr>
                    <w:pStyle w:val="Compact"/>
                    <w:jc w:val="left"/>
                    <w:jc w:val="center"/>
                  </w:pPr>
                  <w:r>
                    <w:t xml:space="preserve">Break Hour</w:t>
                  </w:r>
                </w:p>
              </w:tc>
              <w:tc>
                <w:tcPr/>
                <w:p>
                  <w:pPr>
                    <w:pStyle w:val="Compact"/>
                    <w:jc w:val="right"/>
                    <w:jc w:val="center"/>
                  </w:pPr>
                  <w:r>
                    <w:t xml:space="preserve">17</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hour</w:t>
                  </w:r>
                </w:p>
              </w:tc>
              <w:tc>
                <w:tcPr/>
                <w:p>
                  <w:pPr>
                    <w:pStyle w:val="Compact"/>
                    <w:jc w:val="left"/>
                    <w:jc w:val="center"/>
                  </w:pPr>
                  <w:r>
                    <w:t xml:space="preserve">GEP-OnSSET dispatch strategy: battery priority before hour 17; diesel priority a…</w:t>
                  </w:r>
                </w:p>
              </w:tc>
            </w:tr>
            <w:tr>
              <w:tc>
                <w:tcPr/>
                <w:p>
                  <w:pPr>
                    <w:pStyle w:val="Compact"/>
                    <w:jc w:val="left"/>
                    <w:jc w:val="center"/>
                  </w:pPr>
                  <w:r>
                    <w:t xml:space="preserve">PV System Derating Factor</w:t>
                  </w:r>
                </w:p>
              </w:tc>
              <w:tc>
                <w:tcPr/>
                <w:p>
                  <w:pPr>
                    <w:pStyle w:val="Compact"/>
                    <w:jc w:val="right"/>
                    <w:jc w:val="center"/>
                  </w:pPr>
                  <w:r>
                    <w:t xml:space="preserve">0.9</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ratio</w:t>
                  </w:r>
                </w:p>
              </w:tc>
              <w:tc>
                <w:tcPr/>
                <w:p>
                  <w:pPr>
                    <w:pStyle w:val="Compact"/>
                    <w:jc w:val="left"/>
                    <w:jc w:val="center"/>
                  </w:pPr>
                  <w:r>
                    <w:t xml:space="preserve">GEP-OnSSET onsset.py: 0.9 module efficiency/mismatch/wiring losses</w:t>
                  </w:r>
                </w:p>
              </w:tc>
            </w:tr>
            <w:tr>
              <w:tc>
                <w:tcPr/>
                <w:p>
                  <w:pPr>
                    <w:pStyle w:val="Compact"/>
                    <w:jc w:val="left"/>
                    <w:jc w:val="center"/>
                  </w:pPr>
                  <w:r>
                    <w:t xml:space="preserve">Diesel Avg Capacity Factor</w:t>
                  </w:r>
                </w:p>
              </w:tc>
              <w:tc>
                <w:tcPr/>
                <w:p>
                  <w:pPr>
                    <w:pStyle w:val="Compact"/>
                    <w:jc w:val="right"/>
                    <w:jc w:val="center"/>
                  </w:pPr>
                  <w:r>
                    <w:t xml:space="preserve">0.6</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ratio</w:t>
                  </w:r>
                </w:p>
              </w:tc>
              <w:tc>
                <w:tcPr/>
                <w:p>
                  <w:pPr>
                    <w:pStyle w:val="Compact"/>
                    <w:jc w:val="left"/>
                    <w:jc w:val="center"/>
                  </w:pPr>
                  <w:r>
                    <w:t xml:space="preserve">Engineering estimate â€” diesel gensets on island systems typically 50-70% CF</w:t>
                  </w:r>
                </w:p>
              </w:tc>
            </w:tr>
            <w:tr>
              <w:tc>
                <w:tcPr/>
                <w:p>
                  <w:pPr>
                    <w:pStyle w:val="Compact"/>
                    <w:jc w:val="left"/>
                    <w:jc w:val="center"/>
                  </w:pPr>
                  <w:r>
                    <w:t xml:space="preserve">Hybrid Default Solar Share</w:t>
                  </w:r>
                </w:p>
              </w:tc>
              <w:tc>
                <w:tcPr/>
                <w:p>
                  <w:pPr>
                    <w:pStyle w:val="Compact"/>
                    <w:jc w:val="right"/>
                    <w:jc w:val="center"/>
                  </w:pPr>
                  <w:r>
                    <w:t xml:space="preserve">0.6</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ratio</w:t>
                  </w:r>
                </w:p>
              </w:tc>
              <w:tc>
                <w:tcPr/>
                <w:p>
                  <w:pPr>
                    <w:pStyle w:val="Compact"/>
                    <w:jc w:val="left"/>
                    <w:jc w:val="center"/>
                  </w:pPr>
                  <w:r>
                    <w:t xml:space="preserve">Engineering assumption â€” typical PV-diesel hybrid sizing targets 50-70% solar …</w:t>
                  </w:r>
                </w:p>
              </w:tc>
            </w:tr>
            <w:tr>
              <w:tc>
                <w:tcPr/>
                <w:p>
                  <w:pPr>
                    <w:pStyle w:val="Compact"/>
                    <w:jc w:val="left"/>
                    <w:jc w:val="center"/>
                  </w:pPr>
                  <w:r>
                    <w:t xml:space="preserve">Emergency Diesel CF</w:t>
                  </w:r>
                </w:p>
              </w:tc>
              <w:tc>
                <w:tcPr/>
                <w:p>
                  <w:pPr>
                    <w:pStyle w:val="Compact"/>
                    <w:jc w:val="right"/>
                    <w:jc w:val="center"/>
                  </w:pPr>
                  <w:r>
                    <w:t xml:space="preserve">0.6</w:t>
                  </w:r>
                </w:p>
              </w:tc>
              <w:tc>
                <w:tcPr/>
                <w:p>
                  <w:pPr>
                    <w:pStyle w:val="Compact"/>
                    <w:jc w:val="left"/>
                    <w:jc w:val="center"/>
                  </w:pPr>
                  <w:r>
                    <w:t xml:space="preserve">0.4</w:t>
                  </w:r>
                </w:p>
              </w:tc>
              <w:tc>
                <w:tcPr/>
                <w:p>
                  <w:pPr>
                    <w:pStyle w:val="Compact"/>
                    <w:jc w:val="left"/>
                    <w:jc w:val="center"/>
                  </w:pPr>
                  <w:r>
                    <w:t xml:space="preserve">0.8</w:t>
                  </w:r>
                </w:p>
              </w:tc>
              <w:tc>
                <w:tcPr/>
                <w:p>
                  <w:pPr>
                    <w:pStyle w:val="Compact"/>
                    <w:jc w:val="left"/>
                    <w:jc w:val="center"/>
                  </w:pPr>
                  <w:r>
                    <w:t xml:space="preserve">ratio</w:t>
                  </w:r>
                </w:p>
              </w:tc>
              <w:tc>
                <w:tcPr/>
                <w:p>
                  <w:pPr>
                    <w:pStyle w:val="Compact"/>
                    <w:jc w:val="left"/>
                    <w:jc w:val="center"/>
                  </w:pPr>
                  <w:r>
                    <w:t xml:space="preserve">Engineering estimate â€” diesel gensets during cable outage operate at 50-70% CF…</w:t>
                  </w:r>
                </w:p>
              </w:tc>
            </w:tr>
            <w:tr>
              <w:tc>
                <w:tcPr/>
                <w:p>
                  <w:pPr>
                    <w:pStyle w:val="Compact"/>
                    <w:jc w:val="left"/>
                    <w:jc w:val="center"/>
                  </w:pPr>
                  <w:r>
                    <w:t xml:space="preserve">Max SAIDI Reduction Fraction</w:t>
                  </w:r>
                </w:p>
              </w:tc>
              <w:tc>
                <w:tcPr/>
                <w:p>
                  <w:pPr>
                    <w:pStyle w:val="Compact"/>
                    <w:jc w:val="right"/>
                    <w:jc w:val="center"/>
                  </w:pPr>
                  <w:r>
                    <w:t xml:space="preserve">0.8</w:t>
                  </w:r>
                </w:p>
              </w:tc>
              <w:tc>
                <w:tcPr/>
                <w:p>
                  <w:pPr>
                    <w:pStyle w:val="Compact"/>
                    <w:jc w:val="left"/>
                    <w:jc w:val="center"/>
                  </w:pPr>
                  <w:r>
                    <w:t xml:space="preserve">0.6</w:t>
                  </w:r>
                </w:p>
              </w:tc>
              <w:tc>
                <w:tcPr/>
                <w:p>
                  <w:pPr>
                    <w:pStyle w:val="Compact"/>
                    <w:jc w:val="left"/>
                    <w:jc w:val="center"/>
                  </w:pPr>
                  <w:r>
                    <w:t xml:space="preserve">0.95</w:t>
                  </w:r>
                </w:p>
              </w:tc>
              <w:tc>
                <w:tcPr/>
                <w:p>
                  <w:pPr>
                    <w:pStyle w:val="Compact"/>
                    <w:jc w:val="left"/>
                    <w:jc w:val="center"/>
                  </w:pPr>
                  <w:r>
                    <w:t xml:space="preserve">ratio</w:t>
                  </w:r>
                </w:p>
              </w:tc>
              <w:tc>
                <w:tcPr/>
                <w:p>
                  <w:pPr>
                    <w:pStyle w:val="Compact"/>
                    <w:jc w:val="left"/>
                    <w:jc w:val="center"/>
                  </w:pPr>
                  <w:r>
                    <w:t xml:space="preserve">Engineering assumption â€” RE diversification can reduce SAIDI by up to 80%; dim…</w:t>
                  </w:r>
                </w:p>
              </w:tc>
            </w:tr>
          </w:tbl>
          <w:p>
            <w:pPr>
              <w:pStyle w:val="Heading3"/>
              <w:jc w:val="center"/>
            </w:pPr>
            <w:bookmarkStart w:id="368" w:name="losses"/>
            <w:r>
              <w:t xml:space="preserve">14.1.26 Losses</w:t>
            </w:r>
            <w:bookmarkEnd w:id="368"/>
          </w:p>
          <w:tbl>
            <w:tblPr>
              <w:tblStyle w:val="Table"/>
              <w:tblW w:type="pct" w:w="5000"/>
              <w:tblLayout w:type="fixed"/>
              <w:tblLook w:firstRow="1" w:lastRow="0" w:firstColumn="0" w:lastColumn="0" w:noHBand="0" w:noVBand="0" w:val="0020"/>
            </w:tblPr>
            <w:tblGrid>
              <w:gridCol w:w="1254"/>
              <w:gridCol w:w="594"/>
              <w:gridCol w:w="462"/>
              <w:gridCol w:w="528"/>
              <w:gridCol w:w="528"/>
              <w:gridCol w:w="4554"/>
            </w:tblGrid>
            <w:tr>
              <w:trPr>
                <w:tblHeader w:val="on"/>
              </w:trPr>
              <w:tc>
                <w:tcPr/>
                <w:p>
                  <w:pPr>
                    <w:pStyle w:val="Compact"/>
                    <w:jc w:val="left"/>
                    <w:jc w:val="center"/>
                  </w:pPr>
                  <w:r>
                    <w:t xml:space="preserve">Parameter</w:t>
                  </w:r>
                </w:p>
              </w:tc>
              <w:tc>
                <w:tcPr/>
                <w:p>
                  <w:pPr>
                    <w:pStyle w:val="Compact"/>
                    <w:jc w:val="right"/>
                    <w:jc w:val="center"/>
                  </w:pPr>
                  <w:r>
                    <w:t xml:space="preserve">Value</w:t>
                  </w:r>
                </w:p>
              </w:tc>
              <w:tc>
                <w:tcPr/>
                <w:p>
                  <w:pPr>
                    <w:pStyle w:val="Compact"/>
                    <w:jc w:val="left"/>
                    <w:jc w:val="center"/>
                  </w:pPr>
                  <w:r>
                    <w:t xml:space="preserve">Low</w:t>
                  </w:r>
                </w:p>
              </w:tc>
              <w:tc>
                <w:tcPr/>
                <w:p>
                  <w:pPr>
                    <w:pStyle w:val="Compact"/>
                    <w:jc w:val="left"/>
                    <w:jc w:val="center"/>
                  </w:pPr>
                  <w:r>
                    <w:t xml:space="preserve">High</w:t>
                  </w:r>
                </w:p>
              </w:tc>
              <w:tc>
                <w:tcPr/>
                <w:p>
                  <w:pPr>
                    <w:pStyle w:val="Compact"/>
                    <w:jc w:val="left"/>
                    <w:jc w:val="center"/>
                  </w:pPr>
                  <w:r>
                    <w:t xml:space="preserve">Unit</w:t>
                  </w:r>
                </w:p>
              </w:tc>
              <w:tc>
                <w:tcPr/>
                <w:p>
                  <w:pPr>
                    <w:pStyle w:val="Compact"/>
                    <w:jc w:val="left"/>
                    <w:jc w:val="center"/>
                  </w:pPr>
                  <w:r>
                    <w:t xml:space="preserve">Source</w:t>
                  </w:r>
                </w:p>
              </w:tc>
            </w:tr>
            <w:tr>
              <w:tc>
                <w:tcPr/>
                <w:p>
                  <w:pPr>
                    <w:pStyle w:val="Compact"/>
                    <w:jc w:val="left"/>
                    <w:jc w:val="center"/>
                  </w:pPr>
                  <w:r>
                    <w:t xml:space="preserve">Distribution Loss</w:t>
                  </w:r>
                </w:p>
              </w:tc>
              <w:tc>
                <w:tcPr/>
                <w:p>
                  <w:pPr>
                    <w:pStyle w:val="Compact"/>
                    <w:jc w:val="right"/>
                    <w:jc w:val="center"/>
                  </w:pPr>
                  <w:r>
                    <w:t xml:space="preserve">0.11</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ratio</w:t>
                  </w:r>
                </w:p>
              </w:tc>
              <w:tc>
                <w:tcPr/>
                <w:p>
                  <w:pPr>
                    <w:pStyle w:val="Compact"/>
                    <w:jc w:val="left"/>
                    <w:jc w:val="center"/>
                  </w:pPr>
                  <w:r>
                    <w:t xml:space="preserve">World Bank WDI: Maldives electric power T&amp;D losses ~11%</w:t>
                  </w:r>
                </w:p>
              </w:tc>
            </w:tr>
            <w:tr>
              <w:tc>
                <w:tcPr/>
                <w:p>
                  <w:pPr>
                    <w:pStyle w:val="Compact"/>
                    <w:jc w:val="left"/>
                    <w:jc w:val="center"/>
                  </w:pPr>
                  <w:r>
                    <w:t xml:space="preserve">Male Grid Loss</w:t>
                  </w:r>
                </w:p>
              </w:tc>
              <w:tc>
                <w:tcPr/>
                <w:p>
                  <w:pPr>
                    <w:pStyle w:val="Compact"/>
                    <w:jc w:val="right"/>
                    <w:jc w:val="center"/>
                  </w:pPr>
                  <w:r>
                    <w:t xml:space="preserve">0.08</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ratio</w:t>
                  </w:r>
                </w:p>
              </w:tc>
              <w:tc>
                <w:tcPr/>
                <w:p>
                  <w:pPr>
                    <w:pStyle w:val="Compact"/>
                    <w:jc w:val="left"/>
                    <w:jc w:val="center"/>
                  </w:pPr>
                  <w:r>
                    <w:t xml:space="preserve">STELCO Annual Report 2022; compact MalÃ© network, modern switchgear</w:t>
                  </w:r>
                </w:p>
              </w:tc>
            </w:tr>
            <w:tr>
              <w:tc>
                <w:tcPr/>
                <w:p>
                  <w:pPr>
                    <w:pStyle w:val="Compact"/>
                    <w:jc w:val="left"/>
                    <w:jc w:val="center"/>
                  </w:pPr>
                  <w:r>
                    <w:t xml:space="preserve">Outer Grid Loss</w:t>
                  </w:r>
                </w:p>
              </w:tc>
              <w:tc>
                <w:tcPr/>
                <w:p>
                  <w:pPr>
                    <w:pStyle w:val="Compact"/>
                    <w:jc w:val="right"/>
                    <w:jc w:val="center"/>
                  </w:pPr>
                  <w:r>
                    <w:t xml:space="preserve">0.12</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ratio</w:t>
                  </w:r>
                </w:p>
              </w:tc>
              <w:tc>
                <w:tcPr/>
                <w:p>
                  <w:pPr>
                    <w:pStyle w:val="Compact"/>
                    <w:jc w:val="left"/>
                    <w:jc w:val="center"/>
                  </w:pPr>
                  <w:r>
                    <w:t xml:space="preserve">World Bank WDI 2023; outer island long feeders + aging transformers</w:t>
                  </w:r>
                </w:p>
              </w:tc>
            </w:tr>
            <w:tr>
              <w:tc>
                <w:tcPr/>
                <w:p>
                  <w:pPr>
                    <w:pStyle w:val="Compact"/>
                    <w:jc w:val="left"/>
                    <w:jc w:val="center"/>
                  </w:pPr>
                  <w:r>
                    <w:t xml:space="preserve">HVDC Cable Loss</w:t>
                  </w:r>
                </w:p>
              </w:tc>
              <w:tc>
                <w:tcPr/>
                <w:p>
                  <w:pPr>
                    <w:pStyle w:val="Compact"/>
                    <w:jc w:val="right"/>
                    <w:jc w:val="center"/>
                  </w:pPr>
                  <w:r>
                    <w:t xml:space="preserve">0.04</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ratio</w:t>
                  </w:r>
                </w:p>
              </w:tc>
              <w:tc>
                <w:tcPr/>
                <w:p>
                  <w:pPr>
                    <w:pStyle w:val="Compact"/>
                    <w:jc w:val="left"/>
                    <w:jc w:val="center"/>
                  </w:pPr>
                  <w:r>
                    <w:t xml:space="preserve">Skog et al. CIGRE 2010 B1-106 p.10; NorNed measured 4.2%</w:t>
                  </w:r>
                </w:p>
              </w:tc>
            </w:tr>
          </w:tbl>
          <w:p>
            <w:pPr>
              <w:pStyle w:val="Heading3"/>
              <w:jc w:val="center"/>
            </w:pPr>
            <w:bookmarkStart w:id="369" w:name="cable-outage"/>
            <w:r>
              <w:t xml:space="preserve">14.1.27 Cable Outage</w:t>
            </w:r>
            <w:bookmarkEnd w:id="369"/>
          </w:p>
          <w:tbl>
            <w:tblPr>
              <w:tblStyle w:val="Table"/>
              <w:tblW w:type="pct" w:w="5000"/>
              <w:tblLayout w:type="fixed"/>
              <w:tblLook w:firstRow="1" w:lastRow="0" w:firstColumn="0" w:lastColumn="0" w:noHBand="0" w:noVBand="0" w:val="0020"/>
            </w:tblPr>
            <w:tblGrid>
              <w:gridCol w:w="1196"/>
              <w:gridCol w:w="512"/>
              <w:gridCol w:w="398"/>
              <w:gridCol w:w="455"/>
              <w:gridCol w:w="626"/>
              <w:gridCol w:w="4729"/>
            </w:tblGrid>
            <w:tr>
              <w:trPr>
                <w:tblHeader w:val="on"/>
              </w:trPr>
              <w:tc>
                <w:tcPr/>
                <w:p>
                  <w:pPr>
                    <w:pStyle w:val="Compact"/>
                    <w:jc w:val="left"/>
                    <w:jc w:val="center"/>
                  </w:pPr>
                  <w:r>
                    <w:t xml:space="preserve">Parameter</w:t>
                  </w:r>
                </w:p>
              </w:tc>
              <w:tc>
                <w:tcPr/>
                <w:p>
                  <w:pPr>
                    <w:pStyle w:val="Compact"/>
                    <w:jc w:val="right"/>
                    <w:jc w:val="center"/>
                  </w:pPr>
                  <w:r>
                    <w:t xml:space="preserve">Value</w:t>
                  </w:r>
                </w:p>
              </w:tc>
              <w:tc>
                <w:tcPr/>
                <w:p>
                  <w:pPr>
                    <w:pStyle w:val="Compact"/>
                    <w:jc w:val="left"/>
                    <w:jc w:val="center"/>
                  </w:pPr>
                  <w:r>
                    <w:t xml:space="preserve">Low</w:t>
                  </w:r>
                </w:p>
              </w:tc>
              <w:tc>
                <w:tcPr/>
                <w:p>
                  <w:pPr>
                    <w:pStyle w:val="Compact"/>
                    <w:jc w:val="left"/>
                    <w:jc w:val="center"/>
                  </w:pPr>
                  <w:r>
                    <w:t xml:space="preserve">High</w:t>
                  </w:r>
                </w:p>
              </w:tc>
              <w:tc>
                <w:tcPr/>
                <w:p>
                  <w:pPr>
                    <w:pStyle w:val="Compact"/>
                    <w:jc w:val="left"/>
                    <w:jc w:val="center"/>
                  </w:pPr>
                  <w:r>
                    <w:t xml:space="preserve">Unit</w:t>
                  </w:r>
                </w:p>
              </w:tc>
              <w:tc>
                <w:tcPr/>
                <w:p>
                  <w:pPr>
                    <w:pStyle w:val="Compact"/>
                    <w:jc w:val="left"/>
                    <w:jc w:val="center"/>
                  </w:pPr>
                  <w:r>
                    <w:t xml:space="preserve">Source</w:t>
                  </w:r>
                </w:p>
              </w:tc>
            </w:tr>
            <w:tr>
              <w:tc>
                <w:tcPr/>
                <w:p>
                  <w:pPr>
                    <w:pStyle w:val="Compact"/>
                    <w:jc w:val="left"/>
                    <w:jc w:val="center"/>
                  </w:pPr>
                  <w:r>
                    <w:t xml:space="preserve">Outage Rate</w:t>
                  </w:r>
                </w:p>
              </w:tc>
              <w:tc>
                <w:tcPr/>
                <w:p>
                  <w:pPr>
                    <w:pStyle w:val="Compact"/>
                    <w:jc w:val="right"/>
                    <w:jc w:val="center"/>
                  </w:pPr>
                  <w:r>
                    <w:t xml:space="preserve">0.15</w:t>
                  </w:r>
                </w:p>
              </w:tc>
              <w:tc>
                <w:tcPr/>
                <w:p>
                  <w:pPr>
                    <w:pStyle w:val="Compact"/>
                    <w:jc w:val="left"/>
                    <w:jc w:val="center"/>
                  </w:pPr>
                  <w:r>
                    <w:t xml:space="preserve">0.1</w:t>
                  </w:r>
                </w:p>
              </w:tc>
              <w:tc>
                <w:tcPr/>
                <w:p>
                  <w:pPr>
                    <w:pStyle w:val="Compact"/>
                    <w:jc w:val="left"/>
                    <w:jc w:val="center"/>
                  </w:pPr>
                  <w:r>
                    <w:t xml:space="preserve">0.2</w:t>
                  </w:r>
                </w:p>
              </w:tc>
              <w:tc>
                <w:tcPr/>
                <w:p>
                  <w:pPr>
                    <w:pStyle w:val="Compact"/>
                    <w:jc w:val="left"/>
                    <w:jc w:val="center"/>
                  </w:pPr>
                  <w:r>
                    <w:t xml:space="preserve">events/yr</w:t>
                  </w:r>
                </w:p>
              </w:tc>
              <w:tc>
                <w:tcPr/>
                <w:p>
                  <w:pPr>
                    <w:pStyle w:val="Compact"/>
                    <w:jc w:val="left"/>
                    <w:jc w:val="center"/>
                  </w:pPr>
                  <w:r>
                    <w:t xml:space="preserve">NorNed ~0.13/yr (2 in 15yr); Basslink ~0.18/yr (3 in 17yr); Wikipedia public rec…</w:t>
                  </w:r>
                </w:p>
              </w:tc>
            </w:tr>
            <w:tr>
              <w:tc>
                <w:tcPr/>
                <w:p>
                  <w:pPr>
                    <w:pStyle w:val="Compact"/>
                    <w:jc w:val="left"/>
                    <w:jc w:val="center"/>
                  </w:pPr>
                  <w:r>
                    <w:t xml:space="preserve">Min Outage Duration</w:t>
                  </w:r>
                </w:p>
              </w:tc>
              <w:tc>
                <w:tcPr/>
                <w:p>
                  <w:pPr>
                    <w:pStyle w:val="Compact"/>
                    <w:jc w:val="right"/>
                    <w:jc w:val="center"/>
                  </w:pPr>
                  <w:r>
                    <w:t xml:space="preserve">1</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months</w:t>
                  </w:r>
                </w:p>
              </w:tc>
              <w:tc>
                <w:tcPr/>
                <w:p>
                  <w:pPr>
                    <w:pStyle w:val="Compact"/>
                    <w:jc w:val="left"/>
                    <w:jc w:val="center"/>
                  </w:pPr>
                  <w:r>
                    <w:t xml:space="preserve">Basslink/NorNed repair histories</w:t>
                  </w:r>
                </w:p>
              </w:tc>
            </w:tr>
            <w:tr>
              <w:tc>
                <w:tcPr/>
                <w:p>
                  <w:pPr>
                    <w:pStyle w:val="Compact"/>
                    <w:jc w:val="left"/>
                    <w:jc w:val="center"/>
                  </w:pPr>
                  <w:r>
                    <w:t xml:space="preserve">Max Outage Duration</w:t>
                  </w:r>
                </w:p>
              </w:tc>
              <w:tc>
                <w:tcPr/>
                <w:p>
                  <w:pPr>
                    <w:pStyle w:val="Compact"/>
                    <w:jc w:val="right"/>
                    <w:jc w:val="center"/>
                  </w:pPr>
                  <w:r>
                    <w:t xml:space="preserve">6</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months</w:t>
                  </w:r>
                </w:p>
              </w:tc>
              <w:tc>
                <w:tcPr/>
                <w:p>
                  <w:pPr>
                    <w:pStyle w:val="Compact"/>
                    <w:jc w:val="left"/>
                    <w:jc w:val="center"/>
                  </w:pPr>
                  <w:r>
                    <w:t xml:space="preserve">Basslink 2015-16: 6 months; NorNed 2022: 5+ months</w:t>
                  </w:r>
                </w:p>
              </w:tc>
            </w:tr>
          </w:tbl>
          <w:p>
            <w:pPr>
              <w:pStyle w:val="Heading3"/>
              <w:jc w:val="center"/>
            </w:pPr>
            <w:bookmarkStart w:id="370" w:name="financing"/>
            <w:r>
              <w:t xml:space="preserve">14.1.28 Financing</w:t>
            </w:r>
            <w:bookmarkEnd w:id="370"/>
          </w:p>
          <w:tbl>
            <w:tblPr>
              <w:tblStyle w:val="Table"/>
              <w:tblW w:type="pct" w:w="5000"/>
              <w:tblLayout w:type="fixed"/>
              <w:tblLook w:firstRow="1" w:lastRow="0" w:firstColumn="0" w:lastColumn="0" w:noHBand="0" w:noVBand="0" w:val="0020"/>
            </w:tblPr>
            <w:tblGrid>
              <w:gridCol w:w="1529"/>
              <w:gridCol w:w="491"/>
              <w:gridCol w:w="382"/>
              <w:gridCol w:w="436"/>
              <w:gridCol w:w="546"/>
              <w:gridCol w:w="4533"/>
            </w:tblGrid>
            <w:tr>
              <w:trPr>
                <w:tblHeader w:val="on"/>
              </w:trPr>
              <w:tc>
                <w:tcPr/>
                <w:p>
                  <w:pPr>
                    <w:pStyle w:val="Compact"/>
                    <w:jc w:val="left"/>
                    <w:jc w:val="center"/>
                  </w:pPr>
                  <w:r>
                    <w:t xml:space="preserve">Parameter</w:t>
                  </w:r>
                </w:p>
              </w:tc>
              <w:tc>
                <w:tcPr/>
                <w:p>
                  <w:pPr>
                    <w:pStyle w:val="Compact"/>
                    <w:jc w:val="right"/>
                    <w:jc w:val="center"/>
                  </w:pPr>
                  <w:r>
                    <w:t xml:space="preserve">Value</w:t>
                  </w:r>
                </w:p>
              </w:tc>
              <w:tc>
                <w:tcPr/>
                <w:p>
                  <w:pPr>
                    <w:pStyle w:val="Compact"/>
                    <w:jc w:val="left"/>
                    <w:jc w:val="center"/>
                  </w:pPr>
                  <w:r>
                    <w:t xml:space="preserve">Low</w:t>
                  </w:r>
                </w:p>
              </w:tc>
              <w:tc>
                <w:tcPr/>
                <w:p>
                  <w:pPr>
                    <w:pStyle w:val="Compact"/>
                    <w:jc w:val="left"/>
                    <w:jc w:val="center"/>
                  </w:pPr>
                  <w:r>
                    <w:t xml:space="preserve">High</w:t>
                  </w:r>
                </w:p>
              </w:tc>
              <w:tc>
                <w:tcPr/>
                <w:p>
                  <w:pPr>
                    <w:pStyle w:val="Compact"/>
                    <w:jc w:val="left"/>
                    <w:jc w:val="center"/>
                  </w:pPr>
                  <w:r>
                    <w:t xml:space="preserve">Unit</w:t>
                  </w:r>
                </w:p>
              </w:tc>
              <w:tc>
                <w:tcPr/>
                <w:p>
                  <w:pPr>
                    <w:pStyle w:val="Compact"/>
                    <w:jc w:val="left"/>
                    <w:jc w:val="center"/>
                  </w:pPr>
                  <w:r>
                    <w:t xml:space="preserve">Source</w:t>
                  </w:r>
                </w:p>
              </w:tc>
            </w:tr>
            <w:tr>
              <w:tc>
                <w:tcPr/>
                <w:p>
                  <w:pPr>
                    <w:pStyle w:val="Compact"/>
                    <w:jc w:val="left"/>
                    <w:jc w:val="center"/>
                  </w:pPr>
                  <w:r>
                    <w:t xml:space="preserve">ADB SIDS Concessional Rate</w:t>
                  </w:r>
                </w:p>
              </w:tc>
              <w:tc>
                <w:tcPr/>
                <w:p>
                  <w:pPr>
                    <w:pStyle w:val="Compact"/>
                    <w:jc w:val="right"/>
                    <w:jc w:val="center"/>
                  </w:pPr>
                  <w:r>
                    <w:t xml:space="preserve">0.01</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ratio</w:t>
                  </w:r>
                </w:p>
              </w:tc>
              <w:tc>
                <w:tcPr/>
                <w:p>
                  <w:pPr>
                    <w:pStyle w:val="Compact"/>
                    <w:jc w:val="left"/>
                    <w:jc w:val="center"/>
                  </w:pPr>
                  <w:r>
                    <w:t xml:space="preserve">ADB Lending Policies and Rates 2026: Group A/B SIDS 1% per year</w:t>
                  </w:r>
                </w:p>
              </w:tc>
            </w:tr>
            <w:tr>
              <w:tc>
                <w:tcPr/>
                <w:p>
                  <w:pPr>
                    <w:pStyle w:val="Compact"/>
                    <w:jc w:val="left"/>
                    <w:jc w:val="center"/>
                  </w:pPr>
                  <w:r>
                    <w:t xml:space="preserve">ADB SIDS Maturity</w:t>
                  </w:r>
                </w:p>
              </w:tc>
              <w:tc>
                <w:tcPr/>
                <w:p>
                  <w:pPr>
                    <w:pStyle w:val="Compact"/>
                    <w:jc w:val="right"/>
                    <w:jc w:val="center"/>
                  </w:pPr>
                  <w:r>
                    <w:t xml:space="preserve">40</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years</w:t>
                  </w:r>
                </w:p>
              </w:tc>
              <w:tc>
                <w:tcPr/>
                <w:p>
                  <w:pPr>
                    <w:pStyle w:val="Compact"/>
                    <w:jc w:val="left"/>
                    <w:jc w:val="center"/>
                  </w:pPr>
                  <w:r>
                    <w:t xml:space="preserve">ADB Lending Policies and Rates 2026</w:t>
                  </w:r>
                </w:p>
              </w:tc>
            </w:tr>
            <w:tr>
              <w:tc>
                <w:tcPr/>
                <w:p>
                  <w:pPr>
                    <w:pStyle w:val="Compact"/>
                    <w:jc w:val="left"/>
                    <w:jc w:val="center"/>
                  </w:pPr>
                  <w:r>
                    <w:t xml:space="preserve">ADB SIDS Grace Period</w:t>
                  </w:r>
                </w:p>
              </w:tc>
              <w:tc>
                <w:tcPr/>
                <w:p>
                  <w:pPr>
                    <w:pStyle w:val="Compact"/>
                    <w:jc w:val="right"/>
                    <w:jc w:val="center"/>
                  </w:pPr>
                  <w:r>
                    <w:t xml:space="preserve">10</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years</w:t>
                  </w:r>
                </w:p>
              </w:tc>
              <w:tc>
                <w:tcPr/>
                <w:p>
                  <w:pPr>
                    <w:pStyle w:val="Compact"/>
                    <w:jc w:val="left"/>
                    <w:jc w:val="center"/>
                  </w:pPr>
                  <w:r>
                    <w:t xml:space="preserve">ADB Lending Policies and Rates 2026</w:t>
                  </w:r>
                </w:p>
              </w:tc>
            </w:tr>
            <w:tr>
              <w:tc>
                <w:tcPr/>
                <w:p>
                  <w:pPr>
                    <w:pStyle w:val="Compact"/>
                    <w:jc w:val="left"/>
                    <w:jc w:val="center"/>
                  </w:pPr>
                  <w:r>
                    <w:t xml:space="preserve">ADB Eligible CAPEX Share</w:t>
                  </w:r>
                </w:p>
              </w:tc>
              <w:tc>
                <w:tcPr/>
                <w:p>
                  <w:pPr>
                    <w:pStyle w:val="Compact"/>
                    <w:jc w:val="right"/>
                    <w:jc w:val="center"/>
                  </w:pPr>
                  <w:r>
                    <w:t xml:space="preserve">0.6</w:t>
                  </w:r>
                </w:p>
              </w:tc>
              <w:tc>
                <w:tcPr/>
                <w:p>
                  <w:pPr>
                    <w:pStyle w:val="Compact"/>
                    <w:jc w:val="left"/>
                    <w:jc w:val="center"/>
                  </w:pPr>
                  <w:r>
                    <w:t xml:space="preserve">0.4</w:t>
                  </w:r>
                </w:p>
              </w:tc>
              <w:tc>
                <w:tcPr/>
                <w:p>
                  <w:pPr>
                    <w:pStyle w:val="Compact"/>
                    <w:jc w:val="left"/>
                    <w:jc w:val="center"/>
                  </w:pPr>
                  <w:r>
                    <w:t xml:space="preserve">0.8</w:t>
                  </w:r>
                </w:p>
              </w:tc>
              <w:tc>
                <w:tcPr/>
                <w:p>
                  <w:pPr>
                    <w:pStyle w:val="Compact"/>
                    <w:jc w:val="left"/>
                    <w:jc w:val="center"/>
                  </w:pPr>
                  <w:r>
                    <w:t xml:space="preserve">fraction</w:t>
                  </w:r>
                </w:p>
              </w:tc>
              <w:tc>
                <w:tcPr/>
                <w:p>
                  <w:pPr>
                    <w:pStyle w:val="Compact"/>
                    <w:jc w:val="left"/>
                    <w:jc w:val="center"/>
                  </w:pPr>
                  <w:r>
                    <w:t xml:space="preserve">Illustrative â€” typical ADB/MDB energy sector financing covers 40-80% of projec…</w:t>
                  </w:r>
                </w:p>
              </w:tc>
            </w:tr>
            <w:tr>
              <w:tc>
                <w:tcPr/>
                <w:p>
                  <w:pPr>
                    <w:pStyle w:val="Compact"/>
                    <w:jc w:val="left"/>
                    <w:jc w:val="center"/>
                  </w:pPr>
                  <w:r>
                    <w:t xml:space="preserve">Commercial Loan Maturity</w:t>
                  </w:r>
                </w:p>
              </w:tc>
              <w:tc>
                <w:tcPr/>
                <w:p>
                  <w:pPr>
                    <w:pStyle w:val="Compact"/>
                    <w:jc w:val="right"/>
                    <w:jc w:val="center"/>
                  </w:pPr>
                  <w:r>
                    <w:t xml:space="preserve">20</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years</w:t>
                  </w:r>
                </w:p>
              </w:tc>
              <w:tc>
                <w:tcPr/>
                <w:p>
                  <w:pPr>
                    <w:pStyle w:val="Compact"/>
                    <w:jc w:val="left"/>
                    <w:jc w:val="center"/>
                  </w:pPr>
                  <w:r>
                    <w:t xml:space="preserve">Standard infrastructure project finance maturity; ADB/IFC SIDS precedent</w:t>
                  </w:r>
                </w:p>
              </w:tc>
            </w:tr>
            <w:tr>
              <w:tc>
                <w:tcPr/>
                <w:p>
                  <w:pPr>
                    <w:pStyle w:val="Compact"/>
                    <w:jc w:val="left"/>
                    <w:jc w:val="center"/>
                  </w:pPr>
                  <w:r>
                    <w:t xml:space="preserve">Commercial Loan Grace</w:t>
                  </w:r>
                </w:p>
              </w:tc>
              <w:tc>
                <w:tcPr/>
                <w:p>
                  <w:pPr>
                    <w:pStyle w:val="Compact"/>
                    <w:jc w:val="right"/>
                    <w:jc w:val="center"/>
                  </w:pPr>
                  <w:r>
                    <w:t xml:space="preserve">2</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years</w:t>
                  </w:r>
                </w:p>
              </w:tc>
              <w:tc>
                <w:tcPr/>
                <w:p>
                  <w:pPr>
                    <w:pStyle w:val="Compact"/>
                    <w:jc w:val="left"/>
                    <w:jc w:val="center"/>
                  </w:pPr>
                  <w:r>
                    <w:t xml:space="preserve">Standard 2yr construction grace; ADB/IFC SIDS precedent</w:t>
                  </w:r>
                </w:p>
              </w:tc>
            </w:tr>
          </w:tbl>
          <w:p>
            <w:pPr>
              <w:pStyle w:val="Heading3"/>
              <w:jc w:val="center"/>
            </w:pPr>
            <w:bookmarkStart w:id="371" w:name="health"/>
            <w:r>
              <w:t xml:space="preserve">14.1.29 Health</w:t>
            </w:r>
            <w:bookmarkEnd w:id="371"/>
          </w:p>
          <w:tbl>
            <w:tblPr>
              <w:tblStyle w:val="Table"/>
              <w:tblW w:type="pct" w:w="5000"/>
              <w:tblLayout w:type="fixed"/>
              <w:tblLook w:firstRow="1" w:lastRow="0" w:firstColumn="0" w:lastColumn="0" w:noHBand="0" w:noVBand="0" w:val="0020"/>
            </w:tblPr>
            <w:tblGrid>
              <w:gridCol w:w="1540"/>
              <w:gridCol w:w="495"/>
              <w:gridCol w:w="385"/>
              <w:gridCol w:w="440"/>
              <w:gridCol w:w="495"/>
              <w:gridCol w:w="4565"/>
            </w:tblGrid>
            <w:tr>
              <w:trPr>
                <w:tblHeader w:val="on"/>
              </w:trPr>
              <w:tc>
                <w:tcPr/>
                <w:p>
                  <w:pPr>
                    <w:pStyle w:val="Compact"/>
                    <w:jc w:val="left"/>
                    <w:jc w:val="center"/>
                  </w:pPr>
                  <w:r>
                    <w:t xml:space="preserve">Parameter</w:t>
                  </w:r>
                </w:p>
              </w:tc>
              <w:tc>
                <w:tcPr/>
                <w:p>
                  <w:pPr>
                    <w:pStyle w:val="Compact"/>
                    <w:jc w:val="right"/>
                    <w:jc w:val="center"/>
                  </w:pPr>
                  <w:r>
                    <w:t xml:space="preserve">Value</w:t>
                  </w:r>
                </w:p>
              </w:tc>
              <w:tc>
                <w:tcPr/>
                <w:p>
                  <w:pPr>
                    <w:pStyle w:val="Compact"/>
                    <w:jc w:val="left"/>
                    <w:jc w:val="center"/>
                  </w:pPr>
                  <w:r>
                    <w:t xml:space="preserve">Low</w:t>
                  </w:r>
                </w:p>
              </w:tc>
              <w:tc>
                <w:tcPr/>
                <w:p>
                  <w:pPr>
                    <w:pStyle w:val="Compact"/>
                    <w:jc w:val="left"/>
                    <w:jc w:val="center"/>
                  </w:pPr>
                  <w:r>
                    <w:t xml:space="preserve">High</w:t>
                  </w:r>
                </w:p>
              </w:tc>
              <w:tc>
                <w:tcPr/>
                <w:p>
                  <w:pPr>
                    <w:pStyle w:val="Compact"/>
                    <w:jc w:val="left"/>
                    <w:jc w:val="center"/>
                  </w:pPr>
                  <w:r>
                    <w:t xml:space="preserve">Unit</w:t>
                  </w:r>
                </w:p>
              </w:tc>
              <w:tc>
                <w:tcPr/>
                <w:p>
                  <w:pPr>
                    <w:pStyle w:val="Compact"/>
                    <w:jc w:val="left"/>
                    <w:jc w:val="center"/>
                  </w:pPr>
                  <w:r>
                    <w:t xml:space="preserve">Source</w:t>
                  </w:r>
                </w:p>
              </w:tc>
            </w:tr>
            <w:tr>
              <w:tc>
                <w:tcPr/>
                <w:p>
                  <w:pPr>
                    <w:pStyle w:val="Compact"/>
                    <w:jc w:val="left"/>
                    <w:jc w:val="center"/>
                  </w:pPr>
                  <w:r>
                    <w:t xml:space="preserve">Damage Cost per MWh Diesel</w:t>
                  </w:r>
                </w:p>
              </w:tc>
              <w:tc>
                <w:tcPr/>
                <w:p>
                  <w:pPr>
                    <w:pStyle w:val="Compact"/>
                    <w:jc w:val="right"/>
                    <w:jc w:val="center"/>
                  </w:pPr>
                  <w:r>
                    <w:t xml:space="preserve">40</w:t>
                  </w:r>
                </w:p>
              </w:tc>
              <w:tc>
                <w:tcPr/>
                <w:p>
                  <w:pPr>
                    <w:pStyle w:val="Compact"/>
                    <w:jc w:val="left"/>
                    <w:jc w:val="center"/>
                  </w:pPr>
                  <w:r>
                    <w:t xml:space="preserve">20</w:t>
                  </w:r>
                </w:p>
              </w:tc>
              <w:tc>
                <w:tcPr/>
                <w:p>
                  <w:pPr>
                    <w:pStyle w:val="Compact"/>
                    <w:jc w:val="left"/>
                    <w:jc w:val="center"/>
                  </w:pPr>
                  <w:r>
                    <w:t xml:space="preserve">80</w:t>
                  </w:r>
                </w:p>
              </w:tc>
              <w:tc>
                <w:tcPr/>
                <w:p>
                  <w:pPr>
                    <w:pStyle w:val="Compact"/>
                    <w:jc w:val="left"/>
                    <w:jc w:val="center"/>
                  </w:pPr>
                  <w:r>
                    <w:t xml:space="preserve">USD/MWh</w:t>
                  </w:r>
                </w:p>
              </w:tc>
              <w:tc>
                <w:tcPr/>
                <w:p>
                  <w:pPr>
                    <w:pStyle w:val="Compact"/>
                    <w:jc w:val="left"/>
                    <w:jc w:val="center"/>
                  </w:pPr>
                  <w:r>
                    <w:t xml:space="preserve">Parry et al. (2014) IMF WP/14/174 framework; updated by Black et al. (2023) IMF …</w:t>
                  </w:r>
                </w:p>
              </w:tc>
            </w:tr>
            <w:tr>
              <w:tc>
                <w:tcPr/>
                <w:p>
                  <w:pPr>
                    <w:pStyle w:val="Compact"/>
                    <w:jc w:val="left"/>
                    <w:jc w:val="center"/>
                  </w:pPr>
                  <w:r>
                    <w:t xml:space="preserve">PM25 Emission Factor</w:t>
                  </w:r>
                </w:p>
              </w:tc>
              <w:tc>
                <w:tcPr/>
                <w:p>
                  <w:pPr>
                    <w:pStyle w:val="Compact"/>
                    <w:jc w:val="right"/>
                    <w:jc w:val="center"/>
                  </w:pPr>
                  <w:r>
                    <w:t xml:space="preserve">0.0002</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t/MWh</w:t>
                  </w:r>
                </w:p>
              </w:tc>
              <w:tc>
                <w:tcPr/>
                <w:p>
                  <w:pPr>
                    <w:pStyle w:val="Compact"/>
                    <w:jc w:val="left"/>
                    <w:jc w:val="center"/>
                  </w:pPr>
                  <w:r>
                    <w:t xml:space="preserve">EPA AP-42 Ch.3.4 Diesel Engines</w:t>
                  </w:r>
                </w:p>
              </w:tc>
            </w:tr>
            <w:tr>
              <w:tc>
                <w:tcPr/>
                <w:p>
                  <w:pPr>
                    <w:pStyle w:val="Compact"/>
                    <w:jc w:val="left"/>
                    <w:jc w:val="center"/>
                  </w:pPr>
                  <w:r>
                    <w:t xml:space="preserve">NOx Emission Factor</w:t>
                  </w:r>
                </w:p>
              </w:tc>
              <w:tc>
                <w:tcPr/>
                <w:p>
                  <w:pPr>
                    <w:pStyle w:val="Compact"/>
                    <w:jc w:val="right"/>
                    <w:jc w:val="center"/>
                  </w:pPr>
                  <w:r>
                    <w:t xml:space="preserve">0.01</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t/MWh</w:t>
                  </w:r>
                </w:p>
              </w:tc>
              <w:tc>
                <w:tcPr/>
                <w:p>
                  <w:pPr>
                    <w:pStyle w:val="Compact"/>
                    <w:jc w:val="left"/>
                    <w:jc w:val="center"/>
                  </w:pPr>
                  <w:r>
                    <w:t xml:space="preserve">EPA AP-42 Ch.3.4 Diesel Engines</w:t>
                  </w:r>
                </w:p>
              </w:tc>
            </w:tr>
          </w:tbl>
          <w:p>
            <w:pPr>
              <w:pStyle w:val="Heading3"/>
              <w:jc w:val="center"/>
            </w:pPr>
            <w:bookmarkStart w:id="372" w:name="climate"/>
            <w:r>
              <w:t xml:space="preserve">14.1.30 Climate</w:t>
            </w:r>
            <w:bookmarkEnd w:id="372"/>
          </w:p>
          <w:tbl>
            <w:tblPr>
              <w:tblStyle w:val="Table"/>
              <w:tblW w:type="pct" w:w="5000"/>
              <w:tblLayout w:type="fixed"/>
              <w:tblLook w:firstRow="1" w:lastRow="0" w:firstColumn="0" w:lastColumn="0" w:noHBand="0" w:noVBand="0" w:val="0020"/>
            </w:tblPr>
            <w:tblGrid>
              <w:gridCol w:w="1430"/>
              <w:gridCol w:w="550"/>
              <w:gridCol w:w="385"/>
              <w:gridCol w:w="440"/>
              <w:gridCol w:w="550"/>
              <w:gridCol w:w="4565"/>
            </w:tblGrid>
            <w:tr>
              <w:trPr>
                <w:tblHeader w:val="on"/>
              </w:trPr>
              <w:tc>
                <w:tcPr/>
                <w:p>
                  <w:pPr>
                    <w:pStyle w:val="Compact"/>
                    <w:jc w:val="left"/>
                    <w:jc w:val="center"/>
                  </w:pPr>
                  <w:r>
                    <w:t xml:space="preserve">Parameter</w:t>
                  </w:r>
                </w:p>
              </w:tc>
              <w:tc>
                <w:tcPr/>
                <w:p>
                  <w:pPr>
                    <w:pStyle w:val="Compact"/>
                    <w:jc w:val="right"/>
                    <w:jc w:val="center"/>
                  </w:pPr>
                  <w:r>
                    <w:t xml:space="preserve">Value</w:t>
                  </w:r>
                </w:p>
              </w:tc>
              <w:tc>
                <w:tcPr/>
                <w:p>
                  <w:pPr>
                    <w:pStyle w:val="Compact"/>
                    <w:jc w:val="left"/>
                    <w:jc w:val="center"/>
                  </w:pPr>
                  <w:r>
                    <w:t xml:space="preserve">Low</w:t>
                  </w:r>
                </w:p>
              </w:tc>
              <w:tc>
                <w:tcPr/>
                <w:p>
                  <w:pPr>
                    <w:pStyle w:val="Compact"/>
                    <w:jc w:val="left"/>
                    <w:jc w:val="center"/>
                  </w:pPr>
                  <w:r>
                    <w:t xml:space="preserve">High</w:t>
                  </w:r>
                </w:p>
              </w:tc>
              <w:tc>
                <w:tcPr/>
                <w:p>
                  <w:pPr>
                    <w:pStyle w:val="Compact"/>
                    <w:jc w:val="left"/>
                    <w:jc w:val="center"/>
                  </w:pPr>
                  <w:r>
                    <w:t xml:space="preserve">Unit</w:t>
                  </w:r>
                </w:p>
              </w:tc>
              <w:tc>
                <w:tcPr/>
                <w:p>
                  <w:pPr>
                    <w:pStyle w:val="Compact"/>
                    <w:jc w:val="left"/>
                    <w:jc w:val="center"/>
                  </w:pPr>
                  <w:r>
                    <w:t xml:space="preserve">Source</w:t>
                  </w:r>
                </w:p>
              </w:tc>
            </w:tr>
            <w:tr>
              <w:tc>
                <w:tcPr/>
                <w:p>
                  <w:pPr>
                    <w:pStyle w:val="Compact"/>
                    <w:jc w:val="left"/>
                    <w:jc w:val="center"/>
                  </w:pPr>
                  <w:r>
                    <w:t xml:space="preserve">Adaptation CAPEX Premium</w:t>
                  </w:r>
                </w:p>
              </w:tc>
              <w:tc>
                <w:tcPr/>
                <w:p>
                  <w:pPr>
                    <w:pStyle w:val="Compact"/>
                    <w:jc w:val="right"/>
                    <w:jc w:val="center"/>
                  </w:pPr>
                  <w:r>
                    <w:t xml:space="preserve">0.075</w:t>
                  </w:r>
                </w:p>
              </w:tc>
              <w:tc>
                <w:tcPr/>
                <w:p>
                  <w:pPr>
                    <w:pStyle w:val="Compact"/>
                    <w:jc w:val="left"/>
                    <w:jc w:val="center"/>
                  </w:pPr>
                  <w:r>
                    <w:t xml:space="preserve">0.05</w:t>
                  </w:r>
                </w:p>
              </w:tc>
              <w:tc>
                <w:tcPr/>
                <w:p>
                  <w:pPr>
                    <w:pStyle w:val="Compact"/>
                    <w:jc w:val="left"/>
                    <w:jc w:val="center"/>
                  </w:pPr>
                  <w:r>
                    <w:t xml:space="preserve">0.15</w:t>
                  </w:r>
                </w:p>
              </w:tc>
              <w:tc>
                <w:tcPr/>
                <w:p>
                  <w:pPr>
                    <w:pStyle w:val="Compact"/>
                    <w:jc w:val="left"/>
                    <w:jc w:val="center"/>
                  </w:pPr>
                  <w:r>
                    <w:t xml:space="preserve">fraction</w:t>
                  </w:r>
                </w:p>
              </w:tc>
              <w:tc>
                <w:tcPr/>
                <w:p>
                  <w:pPr>
                    <w:pStyle w:val="Compact"/>
                    <w:jc w:val="left"/>
                    <w:jc w:val="center"/>
                  </w:pPr>
                  <w:r>
                    <w:t xml:space="preserve">GCA (2025)</w:t>
                  </w:r>
                  <w:r>
                    <w:t xml:space="preserve"> </w:t>
                  </w:r>
                  <w:r>
                    <w:t xml:space="preserve">‘Adapt Now: SIDS’</w:t>
                  </w:r>
                  <w:r>
                    <w:t xml:space="preserve"> </w:t>
                  </w:r>
                  <w:r>
                    <w:t xml:space="preserve">â€” BCR 6.5 for Maldives. Base 7.5% per MDB SIDS pr…</w:t>
                  </w:r>
                </w:p>
              </w:tc>
            </w:tr>
            <w:tr>
              <w:tc>
                <w:tcPr/>
                <w:p>
                  <w:pPr>
                    <w:pStyle w:val="Compact"/>
                    <w:jc w:val="left"/>
                    <w:jc w:val="center"/>
                  </w:pPr>
                  <w:r>
                    <w:t xml:space="preserve">RCP45 GHI Change 2050</w:t>
                  </w:r>
                </w:p>
              </w:tc>
              <w:tc>
                <w:tcPr/>
                <w:p>
                  <w:pPr>
                    <w:pStyle w:val="Compact"/>
                    <w:jc w:val="right"/>
                    <w:jc w:val="center"/>
                  </w:pPr>
                  <w:r>
                    <w:t xml:space="preserve">-0.02</w:t>
                  </w:r>
                </w:p>
              </w:tc>
              <w:tc>
                <w:tcPr/>
                <w:p>
                  <w:pPr>
                    <w:pStyle w:val="Compact"/>
                    <w:jc w:val="left"/>
                    <w:jc w:val="center"/>
                  </w:pPr>
                  <w:r>
                    <w:t xml:space="preserve">-0.04</w:t>
                  </w:r>
                </w:p>
              </w:tc>
              <w:tc>
                <w:tcPr/>
                <w:p>
                  <w:pPr>
                    <w:pStyle w:val="Compact"/>
                    <w:jc w:val="left"/>
                    <w:jc w:val="center"/>
                  </w:pPr>
                  <w:r>
                    <w:t xml:space="preserve">-0.01</w:t>
                  </w:r>
                </w:p>
              </w:tc>
              <w:tc>
                <w:tcPr/>
                <w:p>
                  <w:pPr>
                    <w:pStyle w:val="Compact"/>
                    <w:jc w:val="left"/>
                    <w:jc w:val="center"/>
                  </w:pPr>
                  <w:r>
                    <w:t xml:space="preserve">ratio</w:t>
                  </w:r>
                </w:p>
              </w:tc>
              <w:tc>
                <w:tcPr/>
                <w:p>
                  <w:pPr>
                    <w:pStyle w:val="Compact"/>
                    <w:jc w:val="left"/>
                    <w:jc w:val="center"/>
                  </w:pPr>
                  <w:r>
                    <w:t xml:space="preserve">IPCC AR6 WG1 (2021) Ch.7 Table 7.2; Crook et al. (2011) Energy &amp; Env. Science 4:…</w:t>
                  </w:r>
                </w:p>
              </w:tc>
            </w:tr>
            <w:tr>
              <w:tc>
                <w:tcPr/>
                <w:p>
                  <w:pPr>
                    <w:pStyle w:val="Compact"/>
                    <w:jc w:val="left"/>
                    <w:jc w:val="center"/>
                  </w:pPr>
                  <w:r>
                    <w:t xml:space="preserve">RCP85 GHI Change 2050</w:t>
                  </w:r>
                </w:p>
              </w:tc>
              <w:tc>
                <w:tcPr/>
                <w:p>
                  <w:pPr>
                    <w:pStyle w:val="Compact"/>
                    <w:jc w:val="right"/>
                    <w:jc w:val="center"/>
                  </w:pPr>
                  <w:r>
                    <w:t xml:space="preserve">-0.05</w:t>
                  </w:r>
                </w:p>
              </w:tc>
              <w:tc>
                <w:tcPr/>
                <w:p>
                  <w:pPr>
                    <w:pStyle w:val="Compact"/>
                    <w:jc w:val="left"/>
                    <w:jc w:val="center"/>
                  </w:pPr>
                  <w:r>
                    <w:t xml:space="preserve">-0.08</w:t>
                  </w:r>
                </w:p>
              </w:tc>
              <w:tc>
                <w:tcPr/>
                <w:p>
                  <w:pPr>
                    <w:pStyle w:val="Compact"/>
                    <w:jc w:val="left"/>
                    <w:jc w:val="center"/>
                  </w:pPr>
                  <w:r>
                    <w:t xml:space="preserve">-0.03</w:t>
                  </w:r>
                </w:p>
              </w:tc>
              <w:tc>
                <w:tcPr/>
                <w:p>
                  <w:pPr>
                    <w:pStyle w:val="Compact"/>
                    <w:jc w:val="left"/>
                    <w:jc w:val="center"/>
                  </w:pPr>
                  <w:r>
                    <w:t xml:space="preserve">ratio</w:t>
                  </w:r>
                </w:p>
              </w:tc>
              <w:tc>
                <w:tcPr/>
                <w:p>
                  <w:pPr>
                    <w:pStyle w:val="Compact"/>
                    <w:jc w:val="left"/>
                    <w:jc w:val="center"/>
                  </w:pPr>
                  <w:r>
                    <w:t xml:space="preserve">IPCC AR6 WG1 (2021) Ch.7; Wild et al. (2015) J. Geophys. Res. 120:8141 â€” tropi…</w:t>
                  </w:r>
                </w:p>
              </w:tc>
            </w:tr>
            <w:tr>
              <w:tc>
                <w:tcPr/>
                <w:p>
                  <w:pPr>
                    <w:pStyle w:val="Compact"/>
                    <w:jc w:val="left"/>
                    <w:jc w:val="center"/>
                  </w:pPr>
                  <w:r>
                    <w:t xml:space="preserve">RCP45 Temp Rise 2050</w:t>
                  </w:r>
                </w:p>
              </w:tc>
              <w:tc>
                <w:tcPr/>
                <w:p>
                  <w:pPr>
                    <w:pStyle w:val="Compact"/>
                    <w:jc w:val="right"/>
                    <w:jc w:val="center"/>
                  </w:pPr>
                  <w:r>
                    <w:t xml:space="preserve">1.5</w:t>
                  </w:r>
                </w:p>
              </w:tc>
              <w:tc>
                <w:tcPr/>
                <w:p>
                  <w:pPr>
                    <w:pStyle w:val="Compact"/>
                    <w:jc w:val="left"/>
                    <w:jc w:val="center"/>
                  </w:pPr>
                  <w:r>
                    <w:t xml:space="preserve">1</w:t>
                  </w:r>
                </w:p>
              </w:tc>
              <w:tc>
                <w:tcPr/>
                <w:p>
                  <w:pPr>
                    <w:pStyle w:val="Compact"/>
                    <w:jc w:val="left"/>
                    <w:jc w:val="center"/>
                  </w:pPr>
                  <w:r>
                    <w:t xml:space="preserve">2</w:t>
                  </w:r>
                </w:p>
              </w:tc>
              <w:tc>
                <w:tcPr/>
                <w:p>
                  <w:pPr>
                    <w:pStyle w:val="Compact"/>
                    <w:jc w:val="left"/>
                    <w:jc w:val="center"/>
                  </w:pPr>
                  <w:r>
                    <w:t xml:space="preserve">degC</w:t>
                  </w:r>
                </w:p>
              </w:tc>
              <w:tc>
                <w:tcPr/>
                <w:p>
                  <w:pPr>
                    <w:pStyle w:val="Compact"/>
                    <w:jc w:val="left"/>
                    <w:jc w:val="center"/>
                  </w:pPr>
                  <w:r>
                    <w:t xml:space="preserve">IPCC AR6 WG1 (2021) Table 4.5 â€” tropical Indian Ocean warming by 2050 vs 2010</w:t>
                  </w:r>
                </w:p>
              </w:tc>
            </w:tr>
            <w:tr>
              <w:tc>
                <w:tcPr/>
                <w:p>
                  <w:pPr>
                    <w:pStyle w:val="Compact"/>
                    <w:jc w:val="left"/>
                    <w:jc w:val="center"/>
                  </w:pPr>
                  <w:r>
                    <w:t xml:space="preserve">RCP85 Temp Rise 2050</w:t>
                  </w:r>
                </w:p>
              </w:tc>
              <w:tc>
                <w:tcPr/>
                <w:p>
                  <w:pPr>
                    <w:pStyle w:val="Compact"/>
                    <w:jc w:val="right"/>
                    <w:jc w:val="center"/>
                  </w:pPr>
                  <w:r>
                    <w:t xml:space="preserve">3</w:t>
                  </w:r>
                </w:p>
              </w:tc>
              <w:tc>
                <w:tcPr/>
                <w:p>
                  <w:pPr>
                    <w:pStyle w:val="Compact"/>
                    <w:jc w:val="left"/>
                    <w:jc w:val="center"/>
                  </w:pPr>
                  <w:r>
                    <w:t xml:space="preserve">2</w:t>
                  </w:r>
                </w:p>
              </w:tc>
              <w:tc>
                <w:tcPr/>
                <w:p>
                  <w:pPr>
                    <w:pStyle w:val="Compact"/>
                    <w:jc w:val="left"/>
                    <w:jc w:val="center"/>
                  </w:pPr>
                  <w:r>
                    <w:t xml:space="preserve">4</w:t>
                  </w:r>
                </w:p>
              </w:tc>
              <w:tc>
                <w:tcPr/>
                <w:p>
                  <w:pPr>
                    <w:pStyle w:val="Compact"/>
                    <w:jc w:val="left"/>
                    <w:jc w:val="center"/>
                  </w:pPr>
                  <w:r>
                    <w:t xml:space="preserve">degC</w:t>
                  </w:r>
                </w:p>
              </w:tc>
              <w:tc>
                <w:tcPr/>
                <w:p>
                  <w:pPr>
                    <w:pStyle w:val="Compact"/>
                    <w:jc w:val="left"/>
                    <w:jc w:val="center"/>
                  </w:pPr>
                  <w:r>
                    <w:t xml:space="preserve">IPCC AR6 WG1 (2021) Table 4.5 â€” tropical Indian Ocean warming by 2050 vs 2010</w:t>
                  </w:r>
                </w:p>
              </w:tc>
            </w:tr>
            <w:tr>
              <w:tc>
                <w:tcPr/>
                <w:p>
                  <w:pPr>
                    <w:pStyle w:val="Compact"/>
                    <w:jc w:val="left"/>
                    <w:jc w:val="center"/>
                  </w:pPr>
                  <w:r>
                    <w:t xml:space="preserve">Climate Scenario Year</w:t>
                  </w:r>
                </w:p>
              </w:tc>
              <w:tc>
                <w:tcPr/>
                <w:p>
                  <w:pPr>
                    <w:pStyle w:val="Compact"/>
                    <w:jc w:val="right"/>
                    <w:jc w:val="center"/>
                  </w:pPr>
                  <w:r>
                    <w:t xml:space="preserve">2050</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year</w:t>
                  </w:r>
                </w:p>
              </w:tc>
              <w:tc>
                <w:tcPr/>
                <w:p>
                  <w:pPr>
                    <w:pStyle w:val="Compact"/>
                    <w:jc w:val="left"/>
                    <w:jc w:val="center"/>
                  </w:pPr>
                  <w:r>
                    <w:t xml:space="preserve">IPCC AR6 projection horizon</w:t>
                  </w:r>
                </w:p>
              </w:tc>
            </w:tr>
          </w:tbl>
          <w:p>
            <w:pPr>
              <w:pStyle w:val="Heading3"/>
              <w:jc w:val="center"/>
            </w:pPr>
            <w:bookmarkStart w:id="373" w:name="connection"/>
            <w:r>
              <w:t xml:space="preserve">14.1.31 Connection</w:t>
            </w:r>
            <w:bookmarkEnd w:id="373"/>
          </w:p>
          <w:tbl>
            <w:tblPr>
              <w:tblStyle w:val="Table"/>
              <w:tblW w:type="pct" w:w="5000"/>
              <w:tblLayout w:type="fixed"/>
              <w:tblLook w:firstRow="1" w:lastRow="0" w:firstColumn="0" w:lastColumn="0" w:noHBand="0" w:noVBand="0" w:val="0020"/>
            </w:tblPr>
            <w:tblGrid>
              <w:gridCol w:w="1391"/>
              <w:gridCol w:w="481"/>
              <w:gridCol w:w="374"/>
              <w:gridCol w:w="428"/>
              <w:gridCol w:w="802"/>
              <w:gridCol w:w="4441"/>
            </w:tblGrid>
            <w:tr>
              <w:trPr>
                <w:tblHeader w:val="on"/>
              </w:trPr>
              <w:tc>
                <w:tcPr/>
                <w:p>
                  <w:pPr>
                    <w:pStyle w:val="Compact"/>
                    <w:jc w:val="left"/>
                    <w:jc w:val="center"/>
                  </w:pPr>
                  <w:r>
                    <w:t xml:space="preserve">Parameter</w:t>
                  </w:r>
                </w:p>
              </w:tc>
              <w:tc>
                <w:tcPr/>
                <w:p>
                  <w:pPr>
                    <w:pStyle w:val="Compact"/>
                    <w:jc w:val="right"/>
                    <w:jc w:val="center"/>
                  </w:pPr>
                  <w:r>
                    <w:t xml:space="preserve">Value</w:t>
                  </w:r>
                </w:p>
              </w:tc>
              <w:tc>
                <w:tcPr/>
                <w:p>
                  <w:pPr>
                    <w:pStyle w:val="Compact"/>
                    <w:jc w:val="left"/>
                    <w:jc w:val="center"/>
                  </w:pPr>
                  <w:r>
                    <w:t xml:space="preserve">Low</w:t>
                  </w:r>
                </w:p>
              </w:tc>
              <w:tc>
                <w:tcPr/>
                <w:p>
                  <w:pPr>
                    <w:pStyle w:val="Compact"/>
                    <w:jc w:val="left"/>
                    <w:jc w:val="center"/>
                  </w:pPr>
                  <w:r>
                    <w:t xml:space="preserve">High</w:t>
                  </w:r>
                </w:p>
              </w:tc>
              <w:tc>
                <w:tcPr/>
                <w:p>
                  <w:pPr>
                    <w:pStyle w:val="Compact"/>
                    <w:jc w:val="left"/>
                    <w:jc w:val="center"/>
                  </w:pPr>
                  <w:r>
                    <w:t xml:space="preserve">Unit</w:t>
                  </w:r>
                </w:p>
              </w:tc>
              <w:tc>
                <w:tcPr/>
                <w:p>
                  <w:pPr>
                    <w:pStyle w:val="Compact"/>
                    <w:jc w:val="left"/>
                    <w:jc w:val="center"/>
                  </w:pPr>
                  <w:r>
                    <w:t xml:space="preserve">Source</w:t>
                  </w:r>
                </w:p>
              </w:tc>
            </w:tr>
            <w:tr>
              <w:tc>
                <w:tcPr/>
                <w:p>
                  <w:pPr>
                    <w:pStyle w:val="Compact"/>
                    <w:jc w:val="left"/>
                    <w:jc w:val="center"/>
                  </w:pPr>
                  <w:r>
                    <w:t xml:space="preserve">Cost per Household</w:t>
                  </w:r>
                </w:p>
              </w:tc>
              <w:tc>
                <w:tcPr/>
                <w:p>
                  <w:pPr>
                    <w:pStyle w:val="Compact"/>
                    <w:jc w:val="right"/>
                    <w:jc w:val="center"/>
                  </w:pPr>
                  <w:r>
                    <w:t xml:space="preserve">200</w:t>
                  </w:r>
                </w:p>
              </w:tc>
              <w:tc>
                <w:tcPr/>
                <w:p>
                  <w:pPr>
                    <w:pStyle w:val="Compact"/>
                    <w:jc w:val="left"/>
                    <w:jc w:val="center"/>
                  </w:pPr>
                  <w:r>
                    <w:t xml:space="preserve">150</w:t>
                  </w:r>
                </w:p>
              </w:tc>
              <w:tc>
                <w:tcPr/>
                <w:p>
                  <w:pPr>
                    <w:pStyle w:val="Compact"/>
                    <w:jc w:val="left"/>
                    <w:jc w:val="center"/>
                  </w:pPr>
                  <w:r>
                    <w:t xml:space="preserve">300</w:t>
                  </w:r>
                </w:p>
              </w:tc>
              <w:tc>
                <w:tcPr/>
                <w:p>
                  <w:pPr>
                    <w:pStyle w:val="Compact"/>
                    <w:jc w:val="left"/>
                    <w:jc w:val="center"/>
                  </w:pPr>
                  <w:r>
                    <w:t xml:space="preserve">USD/household</w:t>
                  </w:r>
                </w:p>
              </w:tc>
              <w:tc>
                <w:tcPr/>
                <w:p>
                  <w:pPr>
                    <w:pStyle w:val="Compact"/>
                    <w:jc w:val="left"/>
                    <w:jc w:val="center"/>
                  </w:pPr>
                  <w:r>
                    <w:t xml:space="preserve">World Bank ESMAP (2019) Mini-Grid Design Manual; ADB POISED PCR 2023: $150-250/H…</w:t>
                  </w:r>
                </w:p>
              </w:tc>
            </w:tr>
            <w:tr>
              <w:tc>
                <w:tcPr/>
                <w:p>
                  <w:pPr>
                    <w:pStyle w:val="Compact"/>
                    <w:jc w:val="left"/>
                    <w:jc w:val="center"/>
                  </w:pPr>
                  <w:r>
                    <w:t xml:space="preserve">Number of Households</w:t>
                  </w:r>
                </w:p>
              </w:tc>
              <w:tc>
                <w:tcPr/>
                <w:p>
                  <w:pPr>
                    <w:pStyle w:val="Compact"/>
                    <w:jc w:val="right"/>
                    <w:jc w:val="center"/>
                  </w:pPr>
                  <w:r>
                    <w:t xml:space="preserve">100000</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count</w:t>
                  </w:r>
                </w:p>
              </w:tc>
              <w:tc>
                <w:tcPr/>
                <w:p>
                  <w:pPr>
                    <w:pStyle w:val="Compact"/>
                    <w:jc w:val="left"/>
                    <w:jc w:val="center"/>
                  </w:pPr>
                  <w:r>
                    <w:t xml:space="preserve">NBS Population and Housing Census 2022: ~515k population / ~5.1 persons per hous…</w:t>
                  </w:r>
                </w:p>
              </w:tc>
            </w:tr>
            <w:tr>
              <w:tc>
                <w:tcPr/>
                <w:p>
                  <w:pPr>
                    <w:pStyle w:val="Compact"/>
                    <w:jc w:val="left"/>
                    <w:jc w:val="center"/>
                  </w:pPr>
                  <w:r>
                    <w:t xml:space="preserve">Connection Rollout Years</w:t>
                  </w:r>
                </w:p>
              </w:tc>
              <w:tc>
                <w:tcPr/>
                <w:p>
                  <w:pPr>
                    <w:pStyle w:val="Compact"/>
                    <w:jc w:val="right"/>
                    <w:jc w:val="center"/>
                  </w:pPr>
                  <w:r>
                    <w:t xml:space="preserve">5</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years</w:t>
                  </w:r>
                </w:p>
              </w:tc>
              <w:tc>
                <w:tcPr/>
                <w:p>
                  <w:pPr>
                    <w:pStyle w:val="Compact"/>
                    <w:jc w:val="left"/>
                    <w:jc w:val="center"/>
                  </w:pPr>
                  <w:r>
                    <w:t xml:space="preserve">Illustrative â€” phased rollout 2027-2031 for grid scenarios</w:t>
                  </w:r>
                </w:p>
              </w:tc>
            </w:tr>
          </w:tbl>
          <w:p>
            <w:pPr>
              <w:pStyle w:val="Heading3"/>
              <w:jc w:val="center"/>
            </w:pPr>
            <w:bookmarkStart w:id="374" w:name="environment"/>
            <w:r>
              <w:t xml:space="preserve">14.1.32 Environment</w:t>
            </w:r>
            <w:bookmarkEnd w:id="374"/>
          </w:p>
          <w:tbl>
            <w:tblPr>
              <w:tblStyle w:val="Table"/>
              <w:tblW w:type="pct" w:w="5000"/>
              <w:tblLayout w:type="fixed"/>
              <w:tblLook w:firstRow="1" w:lastRow="0" w:firstColumn="0" w:lastColumn="0" w:noHBand="0" w:noVBand="0" w:val="0020"/>
            </w:tblPr>
            <w:tblGrid>
              <w:gridCol w:w="1875"/>
              <w:gridCol w:w="468"/>
              <w:gridCol w:w="364"/>
              <w:gridCol w:w="416"/>
              <w:gridCol w:w="468"/>
              <w:gridCol w:w="4324"/>
            </w:tblGrid>
            <w:tr>
              <w:trPr>
                <w:tblHeader w:val="on"/>
              </w:trPr>
              <w:tc>
                <w:tcPr/>
                <w:p>
                  <w:pPr>
                    <w:pStyle w:val="Compact"/>
                    <w:jc w:val="left"/>
                    <w:jc w:val="center"/>
                  </w:pPr>
                  <w:r>
                    <w:t xml:space="preserve">Parameter</w:t>
                  </w:r>
                </w:p>
              </w:tc>
              <w:tc>
                <w:tcPr/>
                <w:p>
                  <w:pPr>
                    <w:pStyle w:val="Compact"/>
                    <w:jc w:val="right"/>
                    <w:jc w:val="center"/>
                  </w:pPr>
                  <w:r>
                    <w:t xml:space="preserve">Value</w:t>
                  </w:r>
                </w:p>
              </w:tc>
              <w:tc>
                <w:tcPr/>
                <w:p>
                  <w:pPr>
                    <w:pStyle w:val="Compact"/>
                    <w:jc w:val="right"/>
                    <w:jc w:val="center"/>
                  </w:pPr>
                  <w:r>
                    <w:t xml:space="preserve">Low</w:t>
                  </w:r>
                </w:p>
              </w:tc>
              <w:tc>
                <w:tcPr/>
                <w:p>
                  <w:pPr>
                    <w:pStyle w:val="Compact"/>
                    <w:jc w:val="right"/>
                    <w:jc w:val="center"/>
                  </w:pPr>
                  <w:r>
                    <w:t xml:space="preserve">High</w:t>
                  </w:r>
                </w:p>
              </w:tc>
              <w:tc>
                <w:tcPr/>
                <w:p>
                  <w:pPr>
                    <w:pStyle w:val="Compact"/>
                    <w:jc w:val="left"/>
                    <w:jc w:val="center"/>
                  </w:pPr>
                  <w:r>
                    <w:t xml:space="preserve">Unit</w:t>
                  </w:r>
                </w:p>
              </w:tc>
              <w:tc>
                <w:tcPr/>
                <w:p>
                  <w:pPr>
                    <w:pStyle w:val="Compact"/>
                    <w:jc w:val="left"/>
                    <w:jc w:val="center"/>
                  </w:pPr>
                  <w:r>
                    <w:t xml:space="preserve">Source</w:t>
                  </w:r>
                </w:p>
              </w:tc>
            </w:tr>
            <w:tr>
              <w:tc>
                <w:tcPr/>
                <w:p>
                  <w:pPr>
                    <w:pStyle w:val="Compact"/>
                    <w:jc w:val="left"/>
                    <w:jc w:val="center"/>
                  </w:pPr>
                  <w:r>
                    <w:t xml:space="preserve">Noise Damage per MWh Diesel</w:t>
                  </w:r>
                </w:p>
              </w:tc>
              <w:tc>
                <w:tcPr/>
                <w:p>
                  <w:pPr>
                    <w:pStyle w:val="Compact"/>
                    <w:jc w:val="right"/>
                    <w:jc w:val="center"/>
                  </w:pPr>
                  <w:r>
                    <w:t xml:space="preserve">5</w:t>
                  </w:r>
                </w:p>
              </w:tc>
              <w:tc>
                <w:tcPr/>
                <w:p>
                  <w:pPr>
                    <w:pStyle w:val="Compact"/>
                    <w:jc w:val="right"/>
                    <w:jc w:val="center"/>
                  </w:pPr>
                  <w:r>
                    <w:t xml:space="preserve">2</w:t>
                  </w:r>
                </w:p>
              </w:tc>
              <w:tc>
                <w:tcPr/>
                <w:p>
                  <w:pPr>
                    <w:pStyle w:val="Compact"/>
                    <w:jc w:val="right"/>
                    <w:jc w:val="center"/>
                  </w:pPr>
                  <w:r>
                    <w:t xml:space="preserve">10</w:t>
                  </w:r>
                </w:p>
              </w:tc>
              <w:tc>
                <w:tcPr/>
                <w:p>
                  <w:pPr>
                    <w:pStyle w:val="Compact"/>
                    <w:jc w:val="left"/>
                    <w:jc w:val="center"/>
                  </w:pPr>
                  <w:r>
                    <w:t xml:space="preserve">USD/MWh</w:t>
                  </w:r>
                </w:p>
              </w:tc>
              <w:tc>
                <w:tcPr/>
                <w:p>
                  <w:pPr>
                    <w:pStyle w:val="Compact"/>
                    <w:jc w:val="left"/>
                    <w:jc w:val="center"/>
                  </w:pPr>
                  <w:r>
                    <w:t xml:space="preserve">ExternE (2005) Methodology Update; Mattmann et al. (2016) meta-analysis; SIDS pr…</w:t>
                  </w:r>
                </w:p>
              </w:tc>
            </w:tr>
            <w:tr>
              <w:tc>
                <w:tcPr/>
                <w:p>
                  <w:pPr>
                    <w:pStyle w:val="Compact"/>
                    <w:jc w:val="left"/>
                    <w:jc w:val="center"/>
                  </w:pPr>
                  <w:r>
                    <w:t xml:space="preserve">Fuel Spill Risk per MWh Diesel</w:t>
                  </w:r>
                </w:p>
              </w:tc>
              <w:tc>
                <w:tcPr/>
                <w:p>
                  <w:pPr>
                    <w:pStyle w:val="Compact"/>
                    <w:jc w:val="right"/>
                    <w:jc w:val="center"/>
                  </w:pPr>
                  <w:r>
                    <w:t xml:space="preserve">3</w:t>
                  </w:r>
                </w:p>
              </w:tc>
              <w:tc>
                <w:tcPr/>
                <w:p>
                  <w:pPr>
                    <w:pStyle w:val="Compact"/>
                    <w:jc w:val="right"/>
                    <w:jc w:val="center"/>
                  </w:pPr>
                  <w:r>
                    <w:t xml:space="preserve">1</w:t>
                  </w:r>
                </w:p>
              </w:tc>
              <w:tc>
                <w:tcPr/>
                <w:p>
                  <w:pPr>
                    <w:pStyle w:val="Compact"/>
                    <w:jc w:val="right"/>
                    <w:jc w:val="center"/>
                  </w:pPr>
                  <w:r>
                    <w:t xml:space="preserve">8</w:t>
                  </w:r>
                </w:p>
              </w:tc>
              <w:tc>
                <w:tcPr/>
                <w:p>
                  <w:pPr>
                    <w:pStyle w:val="Compact"/>
                    <w:jc w:val="left"/>
                    <w:jc w:val="center"/>
                  </w:pPr>
                  <w:r>
                    <w:t xml:space="preserve">USD/MWh</w:t>
                  </w:r>
                </w:p>
              </w:tc>
              <w:tc>
                <w:tcPr/>
                <w:p>
                  <w:pPr>
                    <w:pStyle w:val="Compact"/>
                    <w:jc w:val="left"/>
                    <w:jc w:val="center"/>
                  </w:pPr>
                  <w:r>
                    <w:t xml:space="preserve">Etkin (2004) J. Environmental Management; IMO IOPC Fund Claims Manual 2024; SIDS…</w:t>
                  </w:r>
                </w:p>
              </w:tc>
            </w:tr>
            <w:tr>
              <w:tc>
                <w:tcPr/>
                <w:p>
                  <w:pPr>
                    <w:pStyle w:val="Compact"/>
                    <w:jc w:val="left"/>
                    <w:jc w:val="center"/>
                  </w:pPr>
                  <w:r>
                    <w:t xml:space="preserve">Biodiversity Impact per MWh Diesel</w:t>
                  </w:r>
                </w:p>
              </w:tc>
              <w:tc>
                <w:tcPr/>
                <w:p>
                  <w:pPr>
                    <w:pStyle w:val="Compact"/>
                    <w:jc w:val="right"/>
                    <w:jc w:val="center"/>
                  </w:pPr>
                  <w:r>
                    <w:t xml:space="preserve">2</w:t>
                  </w:r>
                </w:p>
              </w:tc>
              <w:tc>
                <w:tcPr/>
                <w:p>
                  <w:pPr>
                    <w:pStyle w:val="Compact"/>
                    <w:jc w:val="right"/>
                    <w:jc w:val="center"/>
                  </w:pPr>
                  <w:r>
                    <w:t xml:space="preserve">1</w:t>
                  </w:r>
                </w:p>
              </w:tc>
              <w:tc>
                <w:tcPr/>
                <w:p>
                  <w:pPr>
                    <w:pStyle w:val="Compact"/>
                    <w:jc w:val="right"/>
                    <w:jc w:val="center"/>
                  </w:pPr>
                  <w:r>
                    <w:t xml:space="preserve">5</w:t>
                  </w:r>
                </w:p>
              </w:tc>
              <w:tc>
                <w:tcPr/>
                <w:p>
                  <w:pPr>
                    <w:pStyle w:val="Compact"/>
                    <w:jc w:val="left"/>
                    <w:jc w:val="center"/>
                  </w:pPr>
                  <w:r>
                    <w:t xml:space="preserve">USD/MWh</w:t>
                  </w:r>
                </w:p>
              </w:tc>
              <w:tc>
                <w:tcPr/>
                <w:p>
                  <w:pPr>
                    <w:pStyle w:val="Compact"/>
                    <w:jc w:val="left"/>
                    <w:jc w:val="center"/>
                  </w:pPr>
                  <w:r>
                    <w:t xml:space="preserve">TEEB (2010) Economics of Ecosystems and Biodiversity; Costanza et al. (2014) Glo…</w:t>
                  </w:r>
                </w:p>
              </w:tc>
            </w:tr>
          </w:tbl>
          <w:p>
            <w:pPr>
              <w:pStyle w:val="Heading3"/>
              <w:jc w:val="center"/>
            </w:pPr>
            <w:bookmarkStart w:id="375" w:name="tourism"/>
            <w:r>
              <w:t xml:space="preserve">14.1.33 Tourism</w:t>
            </w:r>
            <w:bookmarkEnd w:id="375"/>
          </w:p>
          <w:tbl>
            <w:tblPr>
              <w:tblStyle w:val="Table"/>
              <w:tblW w:type="pct" w:w="5000"/>
              <w:tblLayout w:type="fixed"/>
              <w:tblLook w:firstRow="1" w:lastRow="0" w:firstColumn="0" w:lastColumn="0" w:noHBand="0" w:noVBand="0" w:val="0020"/>
            </w:tblPr>
            <w:tblGrid>
              <w:gridCol w:w="1573"/>
              <w:gridCol w:w="507"/>
              <w:gridCol w:w="355"/>
              <w:gridCol w:w="406"/>
              <w:gridCol w:w="863"/>
              <w:gridCol w:w="4213"/>
            </w:tblGrid>
            <w:tr>
              <w:trPr>
                <w:tblHeader w:val="on"/>
              </w:trPr>
              <w:tc>
                <w:tcPr/>
                <w:p>
                  <w:pPr>
                    <w:pStyle w:val="Compact"/>
                    <w:jc w:val="left"/>
                    <w:jc w:val="center"/>
                  </w:pPr>
                  <w:r>
                    <w:t xml:space="preserve">Parameter</w:t>
                  </w:r>
                </w:p>
              </w:tc>
              <w:tc>
                <w:tcPr/>
                <w:p>
                  <w:pPr>
                    <w:pStyle w:val="Compact"/>
                    <w:jc w:val="right"/>
                    <w:jc w:val="center"/>
                  </w:pPr>
                  <w:r>
                    <w:t xml:space="preserve">Value</w:t>
                  </w:r>
                </w:p>
              </w:tc>
              <w:tc>
                <w:tcPr/>
                <w:p>
                  <w:pPr>
                    <w:pStyle w:val="Compact"/>
                    <w:jc w:val="left"/>
                    <w:jc w:val="center"/>
                  </w:pPr>
                  <w:r>
                    <w:t xml:space="preserve">Low</w:t>
                  </w:r>
                </w:p>
              </w:tc>
              <w:tc>
                <w:tcPr/>
                <w:p>
                  <w:pPr>
                    <w:pStyle w:val="Compact"/>
                    <w:jc w:val="left"/>
                    <w:jc w:val="center"/>
                  </w:pPr>
                  <w:r>
                    <w:t xml:space="preserve">High</w:t>
                  </w:r>
                </w:p>
              </w:tc>
              <w:tc>
                <w:tcPr/>
                <w:p>
                  <w:pPr>
                    <w:pStyle w:val="Compact"/>
                    <w:jc w:val="left"/>
                    <w:jc w:val="center"/>
                  </w:pPr>
                  <w:r>
                    <w:t xml:space="preserve">Unit</w:t>
                  </w:r>
                </w:p>
              </w:tc>
              <w:tc>
                <w:tcPr/>
                <w:p>
                  <w:pPr>
                    <w:pStyle w:val="Compact"/>
                    <w:jc w:val="left"/>
                    <w:jc w:val="center"/>
                  </w:pPr>
                  <w:r>
                    <w:t xml:space="preserve">Source</w:t>
                  </w:r>
                </w:p>
              </w:tc>
            </w:tr>
            <w:tr>
              <w:tc>
                <w:tcPr/>
                <w:p>
                  <w:pPr>
                    <w:pStyle w:val="Compact"/>
                    <w:jc w:val="left"/>
                    <w:jc w:val="center"/>
                  </w:pPr>
                  <w:r>
                    <w:t xml:space="preserve">Resort Electricity Demand</w:t>
                  </w:r>
                </w:p>
              </w:tc>
              <w:tc>
                <w:tcPr/>
                <w:p>
                  <w:pPr>
                    <w:pStyle w:val="Compact"/>
                    <w:jc w:val="right"/>
                    <w:jc w:val="center"/>
                  </w:pPr>
                  <w:r>
                    <w:t xml:space="preserve">1050</w:t>
                  </w:r>
                </w:p>
              </w:tc>
              <w:tc>
                <w:tcPr/>
                <w:p>
                  <w:pPr>
                    <w:pStyle w:val="Compact"/>
                    <w:jc w:val="left"/>
                    <w:jc w:val="center"/>
                  </w:pPr>
                  <w:r>
                    <w:t xml:space="preserve">900</w:t>
                  </w:r>
                </w:p>
              </w:tc>
              <w:tc>
                <w:tcPr/>
                <w:p>
                  <w:pPr>
                    <w:pStyle w:val="Compact"/>
                    <w:jc w:val="left"/>
                    <w:jc w:val="center"/>
                  </w:pPr>
                  <w:r>
                    <w:t xml:space="preserve">1200</w:t>
                  </w:r>
                </w:p>
              </w:tc>
              <w:tc>
                <w:tcPr/>
                <w:p>
                  <w:pPr>
                    <w:pStyle w:val="Compact"/>
                    <w:jc w:val="left"/>
                    <w:jc w:val="center"/>
                  </w:pPr>
                  <w:r>
                    <w:t xml:space="preserve">GWh/year</w:t>
                  </w:r>
                </w:p>
              </w:tc>
              <w:tc>
                <w:tcPr/>
                <w:p>
                  <w:pPr>
                    <w:pStyle w:val="Compact"/>
                    <w:jc w:val="left"/>
                    <w:jc w:val="center"/>
                  </w:pPr>
                  <w:r>
                    <w:t xml:space="preserve">USAID/SARI Maldives Energy Detail; World Bank (2020): 170+ resorts Ã— ~6 GWh/res…</w:t>
                  </w:r>
                </w:p>
              </w:tc>
            </w:tr>
            <w:tr>
              <w:tc>
                <w:tcPr/>
                <w:p>
                  <w:pPr>
                    <w:pStyle w:val="Compact"/>
                    <w:jc w:val="left"/>
                    <w:jc w:val="center"/>
                  </w:pPr>
                  <w:r>
                    <w:t xml:space="preserve">Green Premium per kWh</w:t>
                  </w:r>
                </w:p>
              </w:tc>
              <w:tc>
                <w:tcPr/>
                <w:p>
                  <w:pPr>
                    <w:pStyle w:val="Compact"/>
                    <w:jc w:val="right"/>
                    <w:jc w:val="center"/>
                  </w:pPr>
                  <w:r>
                    <w:t xml:space="preserve">0.075</w:t>
                  </w:r>
                </w:p>
              </w:tc>
              <w:tc>
                <w:tcPr/>
                <w:p>
                  <w:pPr>
                    <w:pStyle w:val="Compact"/>
                    <w:jc w:val="left"/>
                    <w:jc w:val="center"/>
                  </w:pPr>
                  <w:r>
                    <w:t xml:space="preserve">0.05</w:t>
                  </w:r>
                </w:p>
              </w:tc>
              <w:tc>
                <w:tcPr/>
                <w:p>
                  <w:pPr>
                    <w:pStyle w:val="Compact"/>
                    <w:jc w:val="left"/>
                    <w:jc w:val="center"/>
                  </w:pPr>
                  <w:r>
                    <w:t xml:space="preserve">0.1</w:t>
                  </w:r>
                </w:p>
              </w:tc>
              <w:tc>
                <w:tcPr/>
                <w:p>
                  <w:pPr>
                    <w:pStyle w:val="Compact"/>
                    <w:jc w:val="left"/>
                    <w:jc w:val="center"/>
                  </w:pPr>
                  <w:r>
                    <w:t xml:space="preserve">USD/kWh</w:t>
                  </w:r>
                </w:p>
              </w:tc>
              <w:tc>
                <w:tcPr/>
                <w:p>
                  <w:pPr>
                    <w:pStyle w:val="Compact"/>
                    <w:jc w:val="left"/>
                    <w:jc w:val="center"/>
                  </w:pPr>
                  <w:r>
                    <w:t xml:space="preserve">IRENA (2020) Renewable Energy and Jobs; Cornell Hotel Quarterly (2022): tourist …</w:t>
                  </w:r>
                </w:p>
              </w:tc>
            </w:tr>
            <w:tr>
              <w:tc>
                <w:tcPr/>
                <w:p>
                  <w:pPr>
                    <w:pStyle w:val="Compact"/>
                    <w:jc w:val="left"/>
                    <w:jc w:val="center"/>
                  </w:pPr>
                  <w:r>
                    <w:t xml:space="preserve">Resort Diesel Emission Factor</w:t>
                  </w:r>
                </w:p>
              </w:tc>
              <w:tc>
                <w:tcPr/>
                <w:p>
                  <w:pPr>
                    <w:pStyle w:val="Compact"/>
                    <w:jc w:val="right"/>
                    <w:jc w:val="center"/>
                  </w:pPr>
                  <w:r>
                    <w:t xml:space="preserve">0.85</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kgCO2/kWh</w:t>
                  </w:r>
                </w:p>
              </w:tc>
              <w:tc>
                <w:tcPr/>
                <w:p>
                  <w:pPr>
                    <w:pStyle w:val="Compact"/>
                    <w:jc w:val="left"/>
                    <w:jc w:val="center"/>
                  </w:pPr>
                  <w:r>
                    <w:t xml:space="preserve">IPCC 2006 adjusted for small diesel gensets (&lt;500kW) typical in resorts; lower e…</w:t>
                  </w:r>
                </w:p>
              </w:tc>
            </w:tr>
            <w:tr>
              <w:tc>
                <w:tcPr/>
                <w:p>
                  <w:pPr>
                    <w:pStyle w:val="Compact"/>
                    <w:jc w:val="left"/>
                    <w:jc w:val="center"/>
                  </w:pPr>
                  <w:r>
                    <w:t xml:space="preserve">Resort kWh per Guest Night</w:t>
                  </w:r>
                </w:p>
              </w:tc>
              <w:tc>
                <w:tcPr/>
                <w:p>
                  <w:pPr>
                    <w:pStyle w:val="Compact"/>
                    <w:jc w:val="right"/>
                    <w:jc w:val="center"/>
                  </w:pPr>
                  <w:r>
                    <w:t xml:space="preserve">60</w:t>
                  </w:r>
                </w:p>
              </w:tc>
              <w:tc>
                <w:tcPr/>
                <w:p>
                  <w:pPr>
                    <w:pStyle w:val="Compact"/>
                    <w:jc w:val="left"/>
                    <w:jc w:val="center"/>
                  </w:pPr>
                  <w:r>
                    <w:t xml:space="preserve">50</w:t>
                  </w:r>
                </w:p>
              </w:tc>
              <w:tc>
                <w:tcPr/>
                <w:p>
                  <w:pPr>
                    <w:pStyle w:val="Compact"/>
                    <w:jc w:val="left"/>
                    <w:jc w:val="center"/>
                  </w:pPr>
                  <w:r>
                    <w:t xml:space="preserve">200</w:t>
                  </w:r>
                </w:p>
              </w:tc>
              <w:tc>
                <w:tcPr/>
                <w:p>
                  <w:pPr>
                    <w:pStyle w:val="Compact"/>
                    <w:jc w:val="left"/>
                    <w:jc w:val="center"/>
                  </w:pPr>
                  <w:r>
                    <w:t xml:space="preserve">kWh/guest-night</w:t>
                  </w:r>
                </w:p>
              </w:tc>
              <w:tc>
                <w:tcPr/>
                <w:p>
                  <w:pPr>
                    <w:pStyle w:val="Compact"/>
                    <w:jc w:val="left"/>
                    <w:jc w:val="center"/>
                  </w:pPr>
                  <w:r>
                    <w:t xml:space="preserve">Komandoo Island Resort (2020): 58.3; Crown &amp; Champa Resorts (2017): 53; Sun Siya…</w:t>
                  </w:r>
                </w:p>
              </w:tc>
            </w:tr>
          </w:tbl>
          <w:p>
            <w:pPr>
              <w:pStyle w:val="Heading3"/>
              <w:jc w:val="center"/>
            </w:pPr>
            <w:bookmarkStart w:id="376" w:name="supply-security"/>
            <w:r>
              <w:t xml:space="preserve">14.1.34 Supply Security</w:t>
            </w:r>
            <w:bookmarkEnd w:id="376"/>
          </w:p>
          <w:tbl>
            <w:tblPr>
              <w:tblStyle w:val="Table"/>
              <w:tblW w:type="pct" w:w="5000"/>
              <w:tblLayout w:type="fixed"/>
              <w:tblLook w:firstRow="1" w:lastRow="0" w:firstColumn="0" w:lastColumn="0" w:noHBand="0" w:noVBand="0" w:val="0020"/>
            </w:tblPr>
            <w:tblGrid>
              <w:gridCol w:w="1754"/>
              <w:gridCol w:w="451"/>
              <w:gridCol w:w="350"/>
              <w:gridCol w:w="401"/>
              <w:gridCol w:w="802"/>
              <w:gridCol w:w="4160"/>
            </w:tblGrid>
            <w:tr>
              <w:trPr>
                <w:tblHeader w:val="on"/>
              </w:trPr>
              <w:tc>
                <w:tcPr/>
                <w:p>
                  <w:pPr>
                    <w:pStyle w:val="Compact"/>
                    <w:jc w:val="left"/>
                    <w:jc w:val="center"/>
                  </w:pPr>
                  <w:r>
                    <w:t xml:space="preserve">Parameter</w:t>
                  </w:r>
                </w:p>
              </w:tc>
              <w:tc>
                <w:tcPr/>
                <w:p>
                  <w:pPr>
                    <w:pStyle w:val="Compact"/>
                    <w:jc w:val="right"/>
                    <w:jc w:val="center"/>
                  </w:pPr>
                  <w:r>
                    <w:t xml:space="preserve">Value</w:t>
                  </w:r>
                </w:p>
              </w:tc>
              <w:tc>
                <w:tcPr/>
                <w:p>
                  <w:pPr>
                    <w:pStyle w:val="Compact"/>
                    <w:jc w:val="right"/>
                    <w:jc w:val="center"/>
                  </w:pPr>
                  <w:r>
                    <w:t xml:space="preserve">Low</w:t>
                  </w:r>
                </w:p>
              </w:tc>
              <w:tc>
                <w:tcPr/>
                <w:p>
                  <w:pPr>
                    <w:pStyle w:val="Compact"/>
                    <w:jc w:val="right"/>
                    <w:jc w:val="center"/>
                  </w:pPr>
                  <w:r>
                    <w:t xml:space="preserve">High</w:t>
                  </w:r>
                </w:p>
              </w:tc>
              <w:tc>
                <w:tcPr/>
                <w:p>
                  <w:pPr>
                    <w:pStyle w:val="Compact"/>
                    <w:jc w:val="left"/>
                    <w:jc w:val="center"/>
                  </w:pPr>
                  <w:r>
                    <w:t xml:space="preserve">Unit</w:t>
                  </w:r>
                </w:p>
              </w:tc>
              <w:tc>
                <w:tcPr/>
                <w:p>
                  <w:pPr>
                    <w:pStyle w:val="Compact"/>
                    <w:jc w:val="left"/>
                    <w:jc w:val="center"/>
                  </w:pPr>
                  <w:r>
                    <w:t xml:space="preserve">Source</w:t>
                  </w:r>
                </w:p>
              </w:tc>
            </w:tr>
            <w:tr>
              <w:tc>
                <w:tcPr/>
                <w:p>
                  <w:pPr>
                    <w:pStyle w:val="Compact"/>
                    <w:jc w:val="left"/>
                    <w:jc w:val="center"/>
                  </w:pPr>
                  <w:r>
                    <w:t xml:space="preserve">Idle Fleet Annual Cost</w:t>
                  </w:r>
                </w:p>
              </w:tc>
              <w:tc>
                <w:tcPr/>
                <w:p>
                  <w:pPr>
                    <w:pStyle w:val="Compact"/>
                    <w:jc w:val="right"/>
                    <w:jc w:val="center"/>
                  </w:pPr>
                  <w:r>
                    <w:t xml:space="preserve">8</w:t>
                  </w:r>
                </w:p>
              </w:tc>
              <w:tc>
                <w:tcPr/>
                <w:p>
                  <w:pPr>
                    <w:pStyle w:val="Compact"/>
                    <w:jc w:val="right"/>
                    <w:jc w:val="center"/>
                  </w:pPr>
                  <w:r>
                    <w:t xml:space="preserve">5</w:t>
                  </w:r>
                </w:p>
              </w:tc>
              <w:tc>
                <w:tcPr/>
                <w:p>
                  <w:pPr>
                    <w:pStyle w:val="Compact"/>
                    <w:jc w:val="right"/>
                    <w:jc w:val="center"/>
                  </w:pPr>
                  <w:r>
                    <w:t xml:space="preserve">13</w:t>
                  </w:r>
                </w:p>
              </w:tc>
              <w:tc>
                <w:tcPr/>
                <w:p>
                  <w:pPr>
                    <w:pStyle w:val="Compact"/>
                    <w:jc w:val="left"/>
                    <w:jc w:val="center"/>
                  </w:pPr>
                  <w:r>
                    <w:t xml:space="preserve">million USD/yr</w:t>
                  </w:r>
                </w:p>
              </w:tc>
              <w:tc>
                <w:tcPr/>
                <w:p>
                  <w:pPr>
                    <w:pStyle w:val="Compact"/>
                    <w:jc w:val="left"/>
                    <w:jc w:val="center"/>
                  </w:pPr>
                  <w:r>
                    <w:t xml:space="preserve">Engineering estimate: 240MW Ã— $500-800/kW Ã— 2-4% standby O&amp;M. Cross-checked: S…</w:t>
                  </w:r>
                </w:p>
              </w:tc>
            </w:tr>
            <w:tr>
              <w:tc>
                <w:tcPr/>
                <w:p>
                  <w:pPr>
                    <w:pStyle w:val="Compact"/>
                    <w:jc w:val="left"/>
                    <w:jc w:val="center"/>
                  </w:pPr>
                  <w:r>
                    <w:t xml:space="preserve">Diesel Fuel Premium During Outage</w:t>
                  </w:r>
                </w:p>
              </w:tc>
              <w:tc>
                <w:tcPr/>
                <w:p>
                  <w:pPr>
                    <w:pStyle w:val="Compact"/>
                    <w:jc w:val="right"/>
                    <w:jc w:val="center"/>
                  </w:pPr>
                  <w:r>
                    <w:t xml:space="preserve">0.2</w:t>
                  </w:r>
                </w:p>
              </w:tc>
              <w:tc>
                <w:tcPr/>
                <w:p>
                  <w:pPr>
                    <w:pStyle w:val="Compact"/>
                    <w:jc w:val="right"/>
                    <w:jc w:val="center"/>
                  </w:pPr>
                  <w:r>
                    <w:t xml:space="preserve">0.1</w:t>
                  </w:r>
                </w:p>
              </w:tc>
              <w:tc>
                <w:tcPr/>
                <w:p>
                  <w:pPr>
                    <w:pStyle w:val="Compact"/>
                    <w:jc w:val="right"/>
                    <w:jc w:val="center"/>
                  </w:pPr>
                  <w:r>
                    <w:t xml:space="preserve">0.3</w:t>
                  </w:r>
                </w:p>
              </w:tc>
              <w:tc>
                <w:tcPr/>
                <w:p>
                  <w:pPr>
                    <w:pStyle w:val="Compact"/>
                    <w:jc w:val="left"/>
                    <w:jc w:val="center"/>
                  </w:pPr>
                  <w:r>
                    <w:t xml:space="preserve">fraction</w:t>
                  </w:r>
                </w:p>
              </w:tc>
              <w:tc>
                <w:tcPr/>
                <w:p>
                  <w:pPr>
                    <w:pStyle w:val="Compact"/>
                    <w:jc w:val="left"/>
                    <w:jc w:val="center"/>
                  </w:pPr>
                  <w:r>
                    <w:t xml:space="preserve">Engineering estimate â€” emergency procurement premium during cable outage</w:t>
                  </w:r>
                </w:p>
              </w:tc>
            </w:tr>
          </w:tbl>
          <w:p>
            <w:pPr>
              <w:pStyle w:val="Heading3"/>
              <w:jc w:val="center"/>
            </w:pPr>
            <w:bookmarkStart w:id="377" w:name="electricity-structure"/>
            <w:r>
              <w:t xml:space="preserve">14.1.35 Electricity Structure</w:t>
            </w:r>
            <w:bookmarkEnd w:id="377"/>
          </w:p>
          <w:tbl>
            <w:tblPr>
              <w:tblStyle w:val="Table"/>
              <w:tblW w:type="pct" w:w="5000"/>
              <w:tblLayout w:type="fixed"/>
              <w:tblLook w:firstRow="1" w:lastRow="0" w:firstColumn="0" w:lastColumn="0" w:noHBand="0" w:noVBand="0" w:val="0020"/>
            </w:tblPr>
            <w:tblGrid>
              <w:gridCol w:w="1742"/>
              <w:gridCol w:w="475"/>
              <w:gridCol w:w="369"/>
              <w:gridCol w:w="422"/>
              <w:gridCol w:w="528"/>
              <w:gridCol w:w="4382"/>
            </w:tblGrid>
            <w:tr>
              <w:trPr>
                <w:tblHeader w:val="on"/>
              </w:trPr>
              <w:tc>
                <w:tcPr/>
                <w:p>
                  <w:pPr>
                    <w:pStyle w:val="Compact"/>
                    <w:jc w:val="left"/>
                    <w:jc w:val="center"/>
                  </w:pPr>
                  <w:r>
                    <w:t xml:space="preserve">Parameter</w:t>
                  </w:r>
                </w:p>
              </w:tc>
              <w:tc>
                <w:tcPr/>
                <w:p>
                  <w:pPr>
                    <w:pStyle w:val="Compact"/>
                    <w:jc w:val="right"/>
                    <w:jc w:val="center"/>
                  </w:pPr>
                  <w:r>
                    <w:t xml:space="preserve">Value</w:t>
                  </w:r>
                </w:p>
              </w:tc>
              <w:tc>
                <w:tcPr/>
                <w:p>
                  <w:pPr>
                    <w:pStyle w:val="Compact"/>
                    <w:jc w:val="left"/>
                    <w:jc w:val="center"/>
                  </w:pPr>
                  <w:r>
                    <w:t xml:space="preserve">Low</w:t>
                  </w:r>
                </w:p>
              </w:tc>
              <w:tc>
                <w:tcPr/>
                <w:p>
                  <w:pPr>
                    <w:pStyle w:val="Compact"/>
                    <w:jc w:val="left"/>
                    <w:jc w:val="center"/>
                  </w:pPr>
                  <w:r>
                    <w:t xml:space="preserve">High</w:t>
                  </w:r>
                </w:p>
              </w:tc>
              <w:tc>
                <w:tcPr/>
                <w:p>
                  <w:pPr>
                    <w:pStyle w:val="Compact"/>
                    <w:jc w:val="left"/>
                    <w:jc w:val="center"/>
                  </w:pPr>
                  <w:r>
                    <w:t xml:space="preserve">Unit</w:t>
                  </w:r>
                </w:p>
              </w:tc>
              <w:tc>
                <w:tcPr/>
                <w:p>
                  <w:pPr>
                    <w:pStyle w:val="Compact"/>
                    <w:jc w:val="left"/>
                    <w:jc w:val="center"/>
                  </w:pPr>
                  <w:r>
                    <w:t xml:space="preserve">Source</w:t>
                  </w:r>
                </w:p>
              </w:tc>
            </w:tr>
            <w:tr>
              <w:tc>
                <w:tcPr/>
                <w:p>
                  <w:pPr>
                    <w:pStyle w:val="Compact"/>
                    <w:jc w:val="left"/>
                    <w:jc w:val="center"/>
                  </w:pPr>
                  <w:r>
                    <w:t xml:space="preserve">Male Electricity Share</w:t>
                  </w:r>
                </w:p>
              </w:tc>
              <w:tc>
                <w:tcPr/>
                <w:p>
                  <w:pPr>
                    <w:pStyle w:val="Compact"/>
                    <w:jc w:val="right"/>
                    <w:jc w:val="center"/>
                  </w:pPr>
                  <w:r>
                    <w:t xml:space="preserve">0.57</w:t>
                  </w:r>
                </w:p>
              </w:tc>
              <w:tc>
                <w:tcPr/>
                <w:p>
                  <w:pPr>
                    <w:pStyle w:val="Compact"/>
                    <w:jc w:val="left"/>
                    <w:jc w:val="center"/>
                  </w:pPr>
                  <w:r>
                    <w:t xml:space="preserve">0.55</w:t>
                  </w:r>
                </w:p>
              </w:tc>
              <w:tc>
                <w:tcPr/>
                <w:p>
                  <w:pPr>
                    <w:pStyle w:val="Compact"/>
                    <w:jc w:val="left"/>
                    <w:jc w:val="center"/>
                  </w:pPr>
                  <w:r>
                    <w:t xml:space="preserve">0.6</w:t>
                  </w:r>
                </w:p>
              </w:tc>
              <w:tc>
                <w:tcPr/>
                <w:p>
                  <w:pPr>
                    <w:pStyle w:val="Compact"/>
                    <w:jc w:val="left"/>
                    <w:jc w:val="center"/>
                  </w:pPr>
                  <w:r>
                    <w:t xml:space="preserve">fraction</w:t>
                  </w:r>
                </w:p>
              </w:tc>
              <w:tc>
                <w:tcPr/>
                <w:p>
                  <w:pPr>
                    <w:pStyle w:val="Compact"/>
                    <w:jc w:val="left"/>
                    <w:jc w:val="center"/>
                  </w:pPr>
                  <w:r>
                    <w:t xml:space="preserve">Island Electricity Data Book 2016-2018 (Ministry of Environment and Energy Maldi…</w:t>
                  </w:r>
                </w:p>
              </w:tc>
            </w:tr>
            <w:tr>
              <w:tc>
                <w:tcPr/>
                <w:p>
                  <w:pPr>
                    <w:pStyle w:val="Compact"/>
                    <w:jc w:val="left"/>
                    <w:jc w:val="center"/>
                  </w:pPr>
                  <w:r>
                    <w:t xml:space="preserve">Outer Island Electricity Cost</w:t>
                  </w:r>
                </w:p>
              </w:tc>
              <w:tc>
                <w:tcPr/>
                <w:p>
                  <w:pPr>
                    <w:pStyle w:val="Compact"/>
                    <w:jc w:val="right"/>
                    <w:jc w:val="center"/>
                  </w:pPr>
                  <w:r>
                    <w:t xml:space="preserve">0.45</w:t>
                  </w:r>
                </w:p>
              </w:tc>
              <w:tc>
                <w:tcPr/>
                <w:p>
                  <w:pPr>
                    <w:pStyle w:val="Compact"/>
                    <w:jc w:val="left"/>
                    <w:jc w:val="center"/>
                  </w:pPr>
                  <w:r>
                    <w:t xml:space="preserve">0.3</w:t>
                  </w:r>
                </w:p>
              </w:tc>
              <w:tc>
                <w:tcPr/>
                <w:p>
                  <w:pPr>
                    <w:pStyle w:val="Compact"/>
                    <w:jc w:val="left"/>
                    <w:jc w:val="center"/>
                  </w:pPr>
                  <w:r>
                    <w:t xml:space="preserve">0.7</w:t>
                  </w:r>
                </w:p>
              </w:tc>
              <w:tc>
                <w:tcPr/>
                <w:p>
                  <w:pPr>
                    <w:pStyle w:val="Compact"/>
                    <w:jc w:val="left"/>
                    <w:jc w:val="center"/>
                  </w:pPr>
                  <w:r>
                    <w:t xml:space="preserve">USD/kWh</w:t>
                  </w:r>
                </w:p>
              </w:tc>
              <w:tc>
                <w:tcPr/>
                <w:p>
                  <w:pPr>
                    <w:pStyle w:val="Compact"/>
                    <w:jc w:val="left"/>
                    <w:jc w:val="center"/>
                  </w:pPr>
                  <w:r>
                    <w:t xml:space="preserve">ADB POISED (CIF 2019): $0.30-0.70/kWh outer islands; Maldives Policy Think Tank …</w:t>
                  </w:r>
                </w:p>
              </w:tc>
            </w:tr>
            <w:tr>
              <w:tc>
                <w:tcPr/>
                <w:p>
                  <w:pPr>
                    <w:pStyle w:val="Compact"/>
                    <w:jc w:val="left"/>
                    <w:jc w:val="center"/>
                  </w:pPr>
                  <w:r>
                    <w:t xml:space="preserve">Resort Installed Capacity Share</w:t>
                  </w:r>
                </w:p>
              </w:tc>
              <w:tc>
                <w:tcPr/>
                <w:p>
                  <w:pPr>
                    <w:pStyle w:val="Compact"/>
                    <w:jc w:val="right"/>
                    <w:jc w:val="center"/>
                  </w:pPr>
                  <w:r>
                    <w:t xml:space="preserve">0.48</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fraction</w:t>
                  </w:r>
                </w:p>
              </w:tc>
              <w:tc>
                <w:tcPr/>
                <w:p>
                  <w:pPr>
                    <w:pStyle w:val="Compact"/>
                    <w:jc w:val="left"/>
                    <w:jc w:val="center"/>
                  </w:pPr>
                  <w:r>
                    <w:t xml:space="preserve">USAID/SARI Maldives Energy Detail: 48.3% of national installed capacity on resor…</w:t>
                  </w:r>
                </w:p>
              </w:tc>
            </w:tr>
            <w:tr>
              <w:tc>
                <w:tcPr/>
                <w:p>
                  <w:pPr>
                    <w:pStyle w:val="Compact"/>
                    <w:jc w:val="left"/>
                    <w:jc w:val="center"/>
                  </w:pPr>
                  <w:r>
                    <w:t xml:space="preserve">Male Rooftop Solar Potential</w:t>
                  </w:r>
                </w:p>
              </w:tc>
              <w:tc>
                <w:tcPr/>
                <w:p>
                  <w:pPr>
                    <w:pStyle w:val="Compact"/>
                    <w:jc w:val="right"/>
                    <w:jc w:val="center"/>
                  </w:pPr>
                  <w:r>
                    <w:t xml:space="preserve">34</w:t>
                  </w:r>
                </w:p>
              </w:tc>
              <w:tc>
                <w:tcPr/>
                <w:p>
                  <w:pPr>
                    <w:pStyle w:val="Compact"/>
                    <w:jc w:val="left"/>
                    <w:jc w:val="center"/>
                  </w:pPr>
                  <w:r>
                    <w:t xml:space="preserve">18</w:t>
                  </w:r>
                </w:p>
              </w:tc>
              <w:tc>
                <w:tcPr/>
                <w:p>
                  <w:pPr>
                    <w:pStyle w:val="Compact"/>
                    <w:jc w:val="left"/>
                    <w:jc w:val="center"/>
                  </w:pPr>
                  <w:r>
                    <w:t xml:space="preserve">50</w:t>
                  </w:r>
                </w:p>
              </w:tc>
              <w:tc>
                <w:tcPr/>
                <w:p>
                  <w:pPr>
                    <w:pStyle w:val="Compact"/>
                    <w:jc w:val="left"/>
                    <w:jc w:val="center"/>
                  </w:pPr>
                  <w:r>
                    <w:t xml:space="preserve">MWp</w:t>
                  </w:r>
                </w:p>
              </w:tc>
              <w:tc>
                <w:tcPr/>
                <w:p>
                  <w:pPr>
                    <w:pStyle w:val="Compact"/>
                    <w:jc w:val="left"/>
                    <w:jc w:val="center"/>
                  </w:pPr>
                  <w:r>
                    <w:t xml:space="preserve">ADB Energy Roadmap 2024-2033 (Table 8): 4 MW ASSURE rooftop + 5 MW additional ro…</w:t>
                  </w:r>
                </w:p>
              </w:tc>
            </w:tr>
            <w:tr>
              <w:tc>
                <w:tcPr/>
                <w:p>
                  <w:pPr>
                    <w:pStyle w:val="Compact"/>
                    <w:jc w:val="left"/>
                    <w:jc w:val="center"/>
                  </w:pPr>
                  <w:r>
                    <w:t xml:space="preserve">Sectoral Split Residential</w:t>
                  </w:r>
                </w:p>
              </w:tc>
              <w:tc>
                <w:tcPr/>
                <w:p>
                  <w:pPr>
                    <w:pStyle w:val="Compact"/>
                    <w:jc w:val="right"/>
                    <w:jc w:val="center"/>
                  </w:pPr>
                  <w:r>
                    <w:t xml:space="preserve">0.52</w:t>
                  </w:r>
                </w:p>
              </w:tc>
              <w:tc>
                <w:tcPr/>
                <w:p>
                  <w:pPr>
                    <w:pStyle w:val="Compact"/>
                    <w:jc w:val="left"/>
                    <w:jc w:val="center"/>
                  </w:pPr>
                  <w:r>
                    <w:t xml:space="preserve">0.4</w:t>
                  </w:r>
                </w:p>
              </w:tc>
              <w:tc>
                <w:tcPr/>
                <w:p>
                  <w:pPr>
                    <w:pStyle w:val="Compact"/>
                    <w:jc w:val="left"/>
                    <w:jc w:val="center"/>
                  </w:pPr>
                  <w:r>
                    <w:t xml:space="preserve">0.65</w:t>
                  </w:r>
                </w:p>
              </w:tc>
              <w:tc>
                <w:tcPr/>
                <w:p>
                  <w:pPr>
                    <w:pStyle w:val="Compact"/>
                    <w:jc w:val="left"/>
                    <w:jc w:val="center"/>
                  </w:pPr>
                  <w:r>
                    <w:t xml:space="preserve">fraction</w:t>
                  </w:r>
                </w:p>
              </w:tc>
              <w:tc>
                <w:tcPr/>
                <w:p>
                  <w:pPr>
                    <w:pStyle w:val="Compact"/>
                    <w:jc w:val="left"/>
                    <w:jc w:val="center"/>
                  </w:pPr>
                  <w:r>
                    <w:t xml:space="preserve">SAARC Energy Data Centre â€” 2005 Maldives Energy Balance (via SAARC Energy Prof…</w:t>
                  </w:r>
                </w:p>
              </w:tc>
            </w:tr>
            <w:tr>
              <w:tc>
                <w:tcPr/>
                <w:p>
                  <w:pPr>
                    <w:pStyle w:val="Compact"/>
                    <w:jc w:val="left"/>
                    <w:jc w:val="center"/>
                  </w:pPr>
                  <w:r>
                    <w:t xml:space="preserve">Sectoral Split Commercial</w:t>
                  </w:r>
                </w:p>
              </w:tc>
              <w:tc>
                <w:tcPr/>
                <w:p>
                  <w:pPr>
                    <w:pStyle w:val="Compact"/>
                    <w:jc w:val="right"/>
                    <w:jc w:val="center"/>
                  </w:pPr>
                  <w:r>
                    <w:t xml:space="preserve">0.24</w:t>
                  </w:r>
                </w:p>
              </w:tc>
              <w:tc>
                <w:tcPr/>
                <w:p>
                  <w:pPr>
                    <w:pStyle w:val="Compact"/>
                    <w:jc w:val="left"/>
                    <w:jc w:val="center"/>
                  </w:pPr>
                  <w:r>
                    <w:t xml:space="preserve">0.15</w:t>
                  </w:r>
                </w:p>
              </w:tc>
              <w:tc>
                <w:tcPr/>
                <w:p>
                  <w:pPr>
                    <w:pStyle w:val="Compact"/>
                    <w:jc w:val="left"/>
                    <w:jc w:val="center"/>
                  </w:pPr>
                  <w:r>
                    <w:t xml:space="preserve">0.35</w:t>
                  </w:r>
                </w:p>
              </w:tc>
              <w:tc>
                <w:tcPr/>
                <w:p>
                  <w:pPr>
                    <w:pStyle w:val="Compact"/>
                    <w:jc w:val="left"/>
                    <w:jc w:val="center"/>
                  </w:pPr>
                  <w:r>
                    <w:t xml:space="preserve">fraction</w:t>
                  </w:r>
                </w:p>
              </w:tc>
              <w:tc>
                <w:tcPr/>
                <w:p>
                  <w:pPr>
                    <w:pStyle w:val="Compact"/>
                    <w:jc w:val="left"/>
                    <w:jc w:val="center"/>
                  </w:pPr>
                  <w:r>
                    <w:t xml:space="preserve">SAARC 2005 Energy Balance: manufacturing &amp; commerce ~24% of end-use</w:t>
                  </w:r>
                </w:p>
              </w:tc>
            </w:tr>
            <w:tr>
              <w:tc>
                <w:tcPr/>
                <w:p>
                  <w:pPr>
                    <w:pStyle w:val="Compact"/>
                    <w:jc w:val="left"/>
                    <w:jc w:val="center"/>
                  </w:pPr>
                  <w:r>
                    <w:t xml:space="preserve">Sectoral Split Public</w:t>
                  </w:r>
                </w:p>
              </w:tc>
              <w:tc>
                <w:tcPr/>
                <w:p>
                  <w:pPr>
                    <w:pStyle w:val="Compact"/>
                    <w:jc w:val="right"/>
                    <w:jc w:val="center"/>
                  </w:pPr>
                  <w:r>
                    <w:t xml:space="preserve">0.24</w:t>
                  </w:r>
                </w:p>
              </w:tc>
              <w:tc>
                <w:tcPr/>
                <w:p>
                  <w:pPr>
                    <w:pStyle w:val="Compact"/>
                    <w:jc w:val="left"/>
                    <w:jc w:val="center"/>
                  </w:pPr>
                  <w:r>
                    <w:t xml:space="preserve">0.15</w:t>
                  </w:r>
                </w:p>
              </w:tc>
              <w:tc>
                <w:tcPr/>
                <w:p>
                  <w:pPr>
                    <w:pStyle w:val="Compact"/>
                    <w:jc w:val="left"/>
                    <w:jc w:val="center"/>
                  </w:pPr>
                  <w:r>
                    <w:t xml:space="preserve">0.35</w:t>
                  </w:r>
                </w:p>
              </w:tc>
              <w:tc>
                <w:tcPr/>
                <w:p>
                  <w:pPr>
                    <w:pStyle w:val="Compact"/>
                    <w:jc w:val="left"/>
                    <w:jc w:val="center"/>
                  </w:pPr>
                  <w:r>
                    <w:t xml:space="preserve">fraction</w:t>
                  </w:r>
                </w:p>
              </w:tc>
              <w:tc>
                <w:tcPr/>
                <w:p>
                  <w:pPr>
                    <w:pStyle w:val="Compact"/>
                    <w:jc w:val="left"/>
                    <w:jc w:val="center"/>
                  </w:pPr>
                  <w:r>
                    <w:t xml:space="preserve">SAARC 2005 Energy Balance: public + government ~24% of end-use</w:t>
                  </w:r>
                </w:p>
              </w:tc>
            </w:tr>
          </w:tbl>
          <w:p>
            <w:pPr>
              <w:pStyle w:val="Heading3"/>
              <w:jc w:val="center"/>
            </w:pPr>
            <w:bookmarkStart w:id="378" w:name="macro"/>
            <w:r>
              <w:t xml:space="preserve">14.1.36 Macro</w:t>
            </w:r>
            <w:bookmarkEnd w:id="378"/>
          </w:p>
          <w:tbl>
            <w:tblPr>
              <w:tblStyle w:val="Table"/>
              <w:tblW w:type="pct" w:w="5000"/>
              <w:tblLayout w:type="fixed"/>
              <w:tblLook w:firstRow="1" w:lastRow="0" w:firstColumn="0" w:lastColumn="0" w:noHBand="0" w:noVBand="0" w:val="0020"/>
            </w:tblPr>
            <w:tblGrid>
              <w:gridCol w:w="1754"/>
              <w:gridCol w:w="601"/>
              <w:gridCol w:w="350"/>
              <w:gridCol w:w="401"/>
              <w:gridCol w:w="651"/>
              <w:gridCol w:w="4160"/>
            </w:tblGrid>
            <w:tr>
              <w:trPr>
                <w:tblHeader w:val="on"/>
              </w:trPr>
              <w:tc>
                <w:tcPr/>
                <w:p>
                  <w:pPr>
                    <w:pStyle w:val="Compact"/>
                    <w:jc w:val="left"/>
                    <w:jc w:val="center"/>
                  </w:pPr>
                  <w:r>
                    <w:t xml:space="preserve">Parameter</w:t>
                  </w:r>
                </w:p>
              </w:tc>
              <w:tc>
                <w:tcPr/>
                <w:p>
                  <w:pPr>
                    <w:pStyle w:val="Compact"/>
                    <w:jc w:val="right"/>
                    <w:jc w:val="center"/>
                  </w:pPr>
                  <w:r>
                    <w:t xml:space="preserve">Value</w:t>
                  </w:r>
                </w:p>
              </w:tc>
              <w:tc>
                <w:tcPr/>
                <w:p>
                  <w:pPr>
                    <w:pStyle w:val="Compact"/>
                    <w:jc w:val="left"/>
                    <w:jc w:val="center"/>
                  </w:pPr>
                  <w:r>
                    <w:t xml:space="preserve">Low</w:t>
                  </w:r>
                </w:p>
              </w:tc>
              <w:tc>
                <w:tcPr/>
                <w:p>
                  <w:pPr>
                    <w:pStyle w:val="Compact"/>
                    <w:jc w:val="left"/>
                    <w:jc w:val="center"/>
                  </w:pPr>
                  <w:r>
                    <w:t xml:space="preserve">High</w:t>
                  </w:r>
                </w:p>
              </w:tc>
              <w:tc>
                <w:tcPr/>
                <w:p>
                  <w:pPr>
                    <w:pStyle w:val="Compact"/>
                    <w:jc w:val="left"/>
                    <w:jc w:val="center"/>
                  </w:pPr>
                  <w:r>
                    <w:t xml:space="preserve">Unit</w:t>
                  </w:r>
                </w:p>
              </w:tc>
              <w:tc>
                <w:tcPr/>
                <w:p>
                  <w:pPr>
                    <w:pStyle w:val="Compact"/>
                    <w:jc w:val="left"/>
                    <w:jc w:val="center"/>
                  </w:pPr>
                  <w:r>
                    <w:t xml:space="preserve">Source</w:t>
                  </w:r>
                </w:p>
              </w:tc>
            </w:tr>
            <w:tr>
              <w:tc>
                <w:tcPr/>
                <w:p>
                  <w:pPr>
                    <w:pStyle w:val="Compact"/>
                    <w:jc w:val="left"/>
                    <w:jc w:val="center"/>
                  </w:pPr>
                  <w:r>
                    <w:t xml:space="preserve">GDP Billion USD</w:t>
                  </w:r>
                </w:p>
              </w:tc>
              <w:tc>
                <w:tcPr/>
                <w:p>
                  <w:pPr>
                    <w:pStyle w:val="Compact"/>
                    <w:jc w:val="right"/>
                    <w:jc w:val="center"/>
                  </w:pPr>
                  <w:r>
                    <w:t xml:space="preserve">6</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billion USD</w:t>
                  </w:r>
                </w:p>
              </w:tc>
              <w:tc>
                <w:tcPr/>
                <w:p>
                  <w:pPr>
                    <w:pStyle w:val="Compact"/>
                    <w:jc w:val="left"/>
                    <w:jc w:val="center"/>
                  </w:pPr>
                  <w:r>
                    <w:t xml:space="preserve">World Bank WDI 2023: Maldives GDP at current prices $6.0B</w:t>
                  </w:r>
                </w:p>
              </w:tc>
            </w:tr>
            <w:tr>
              <w:tc>
                <w:tcPr/>
                <w:p>
                  <w:pPr>
                    <w:pStyle w:val="Compact"/>
                    <w:jc w:val="left"/>
                    <w:jc w:val="center"/>
                  </w:pPr>
                  <w:r>
                    <w:t xml:space="preserve">GDP Growth Rate</w:t>
                  </w:r>
                </w:p>
              </w:tc>
              <w:tc>
                <w:tcPr/>
                <w:p>
                  <w:pPr>
                    <w:pStyle w:val="Compact"/>
                    <w:jc w:val="right"/>
                    <w:jc w:val="center"/>
                  </w:pPr>
                  <w:r>
                    <w:t xml:space="preserve">0.05</w:t>
                  </w:r>
                </w:p>
              </w:tc>
              <w:tc>
                <w:tcPr/>
                <w:p>
                  <w:pPr>
                    <w:pStyle w:val="Compact"/>
                    <w:jc w:val="left"/>
                    <w:jc w:val="center"/>
                  </w:pPr>
                  <w:r>
                    <w:t xml:space="preserve">0.03</w:t>
                  </w:r>
                </w:p>
              </w:tc>
              <w:tc>
                <w:tcPr/>
                <w:p>
                  <w:pPr>
                    <w:pStyle w:val="Compact"/>
                    <w:jc w:val="left"/>
                    <w:jc w:val="center"/>
                  </w:pPr>
                  <w:r>
                    <w:t xml:space="preserve">0.07</w:t>
                  </w:r>
                </w:p>
              </w:tc>
              <w:tc>
                <w:tcPr/>
                <w:p>
                  <w:pPr>
                    <w:pStyle w:val="Compact"/>
                    <w:jc w:val="left"/>
                    <w:jc w:val="center"/>
                  </w:pPr>
                  <w:r>
                    <w:t xml:space="preserve">%/yr</w:t>
                  </w:r>
                </w:p>
              </w:tc>
              <w:tc>
                <w:tcPr/>
                <w:p>
                  <w:pPr>
                    <w:pStyle w:val="Compact"/>
                    <w:jc w:val="left"/>
                    <w:jc w:val="center"/>
                  </w:pPr>
                  <w:r>
                    <w:t xml:space="preserve">IMF Article IV 2024 Maldives: real GDP growth 5.2% (2024), 5.4% (2025 proj.); Wo…</w:t>
                  </w:r>
                </w:p>
              </w:tc>
            </w:tr>
            <w:tr>
              <w:tc>
                <w:tcPr/>
                <w:p>
                  <w:pPr>
                    <w:pStyle w:val="Compact"/>
                    <w:jc w:val="left"/>
                    <w:jc w:val="center"/>
                  </w:pPr>
                  <w:r>
                    <w:t xml:space="preserve">Number of Households</w:t>
                  </w:r>
                </w:p>
              </w:tc>
              <w:tc>
                <w:tcPr/>
                <w:p>
                  <w:pPr>
                    <w:pStyle w:val="Compact"/>
                    <w:jc w:val="right"/>
                    <w:jc w:val="center"/>
                  </w:pPr>
                  <w:r>
                    <w:t xml:space="preserve">100000</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count</w:t>
                  </w:r>
                </w:p>
              </w:tc>
              <w:tc>
                <w:tcPr/>
                <w:p>
                  <w:pPr>
                    <w:pStyle w:val="Compact"/>
                    <w:jc w:val="left"/>
                    <w:jc w:val="center"/>
                  </w:pPr>
                  <w:r>
                    <w:t xml:space="preserve">NBS Population and Housing Census 2022; ~515k population / ~5.1 persons per hous…</w:t>
                  </w:r>
                </w:p>
              </w:tc>
            </w:tr>
            <w:tr>
              <w:tc>
                <w:tcPr/>
                <w:p>
                  <w:pPr>
                    <w:pStyle w:val="Compact"/>
                    <w:jc w:val="left"/>
                    <w:jc w:val="center"/>
                  </w:pPr>
                  <w:r>
                    <w:t xml:space="preserve">Avg Household Monthly Consumption</w:t>
                  </w:r>
                </w:p>
              </w:tc>
              <w:tc>
                <w:tcPr/>
                <w:p>
                  <w:pPr>
                    <w:pStyle w:val="Compact"/>
                    <w:jc w:val="right"/>
                    <w:jc w:val="center"/>
                  </w:pPr>
                  <w:r>
                    <w:t xml:space="preserve">300</w:t>
                  </w:r>
                </w:p>
              </w:tc>
              <w:tc>
                <w:tcPr/>
                <w:p>
                  <w:pPr>
                    <w:pStyle w:val="Compact"/>
                    <w:jc w:val="left"/>
                    <w:jc w:val="center"/>
                  </w:pPr>
                  <w:r>
                    <w:t xml:space="preserve">250</w:t>
                  </w:r>
                </w:p>
              </w:tc>
              <w:tc>
                <w:tcPr/>
                <w:p>
                  <w:pPr>
                    <w:pStyle w:val="Compact"/>
                    <w:jc w:val="left"/>
                    <w:jc w:val="center"/>
                  </w:pPr>
                  <w:r>
                    <w:t xml:space="preserve">400</w:t>
                  </w:r>
                </w:p>
              </w:tc>
              <w:tc>
                <w:tcPr/>
                <w:p>
                  <w:pPr>
                    <w:pStyle w:val="Compact"/>
                    <w:jc w:val="left"/>
                    <w:jc w:val="center"/>
                  </w:pPr>
                  <w:r>
                    <w:t xml:space="preserve">kWh/month</w:t>
                  </w:r>
                </w:p>
              </w:tc>
              <w:tc>
                <w:tcPr/>
                <w:p>
                  <w:pPr>
                    <w:pStyle w:val="Compact"/>
                    <w:jc w:val="left"/>
                    <w:jc w:val="center"/>
                  </w:pPr>
                  <w:r>
                    <w:t xml:space="preserve">STELCO Annual Report 2023: residential avg ~3600 kWh/yr = 300 kWh/month</w:t>
                  </w:r>
                </w:p>
              </w:tc>
            </w:tr>
            <w:tr>
              <w:tc>
                <w:tcPr/>
                <w:p>
                  <w:pPr>
                    <w:pStyle w:val="Compact"/>
                    <w:jc w:val="left"/>
                    <w:jc w:val="center"/>
                  </w:pPr>
                  <w:r>
                    <w:t xml:space="preserve">Current Retail Tariff</w:t>
                  </w:r>
                </w:p>
              </w:tc>
              <w:tc>
                <w:tcPr/>
                <w:p>
                  <w:pPr>
                    <w:pStyle w:val="Compact"/>
                    <w:jc w:val="right"/>
                    <w:jc w:val="center"/>
                  </w:pPr>
                  <w:r>
                    <w:t xml:space="preserve">0.25</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USD/kWh</w:t>
                  </w:r>
                </w:p>
              </w:tc>
              <w:tc>
                <w:tcPr/>
                <w:p>
                  <w:pPr>
                    <w:pStyle w:val="Compact"/>
                    <w:jc w:val="left"/>
                    <w:jc w:val="center"/>
                  </w:pPr>
                  <w:r>
                    <w:t xml:space="preserve">STELCO Domestic Tariff Schedule 2024: block-weighted average ~MVR 3.85/kWh â‰ˆ $…</w:t>
                  </w:r>
                </w:p>
              </w:tc>
            </w:tr>
            <w:tr>
              <w:tc>
                <w:tcPr/>
                <w:p>
                  <w:pPr>
                    <w:pStyle w:val="Compact"/>
                    <w:jc w:val="left"/>
                    <w:jc w:val="center"/>
                  </w:pPr>
                  <w:r>
                    <w:t xml:space="preserve">India Domestic Rate</w:t>
                  </w:r>
                </w:p>
              </w:tc>
              <w:tc>
                <w:tcPr/>
                <w:p>
                  <w:pPr>
                    <w:pStyle w:val="Compact"/>
                    <w:jc w:val="right"/>
                    <w:jc w:val="center"/>
                  </w:pPr>
                  <w:r>
                    <w:t xml:space="preserve">0.1</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USD/kWh</w:t>
                  </w:r>
                </w:p>
              </w:tc>
              <w:tc>
                <w:tcPr/>
                <w:p>
                  <w:pPr>
                    <w:pStyle w:val="Compact"/>
                    <w:jc w:val="left"/>
                    <w:jc w:val="center"/>
                  </w:pPr>
                  <w:r>
                    <w:t xml:space="preserve">India CEA General Review 2024: national avg retail tariff Rs 8.4/kWh â‰ˆ $0.10/k…</w:t>
                  </w:r>
                </w:p>
              </w:tc>
            </w:tr>
            <w:tr>
              <w:tc>
                <w:tcPr/>
                <w:p>
                  <w:pPr>
                    <w:pStyle w:val="Compact"/>
                    <w:jc w:val="left"/>
                    <w:jc w:val="center"/>
                  </w:pPr>
                  <w:r>
                    <w:t xml:space="preserve">Current Subsidy per kWh</w:t>
                  </w:r>
                </w:p>
              </w:tc>
              <w:tc>
                <w:tcPr/>
                <w:p>
                  <w:pPr>
                    <w:pStyle w:val="Compact"/>
                    <w:jc w:val="right"/>
                    <w:jc w:val="center"/>
                  </w:pPr>
                  <w:r>
                    <w:t xml:space="preserve">0.15</w:t>
                  </w:r>
                </w:p>
              </w:tc>
              <w:tc>
                <w:tcPr/>
                <w:p>
                  <w:pPr>
                    <w:pStyle w:val="Compact"/>
                    <w:jc w:val="left"/>
                    <w:jc w:val="center"/>
                  </w:pPr>
                  <w:r>
                    <w:t xml:space="preserve">0.1</w:t>
                  </w:r>
                </w:p>
              </w:tc>
              <w:tc>
                <w:tcPr/>
                <w:p>
                  <w:pPr>
                    <w:pStyle w:val="Compact"/>
                    <w:jc w:val="left"/>
                    <w:jc w:val="center"/>
                  </w:pPr>
                  <w:r>
                    <w:t xml:space="preserve">0.2</w:t>
                  </w:r>
                </w:p>
              </w:tc>
              <w:tc>
                <w:tcPr/>
                <w:p>
                  <w:pPr>
                    <w:pStyle w:val="Compact"/>
                    <w:jc w:val="left"/>
                    <w:jc w:val="center"/>
                  </w:pPr>
                  <w:r>
                    <w:t xml:space="preserve">USD/kWh</w:t>
                  </w:r>
                </w:p>
              </w:tc>
              <w:tc>
                <w:tcPr/>
                <w:p>
                  <w:pPr>
                    <w:pStyle w:val="Compact"/>
                    <w:jc w:val="left"/>
                    <w:jc w:val="center"/>
                  </w:pPr>
                  <w:r>
                    <w:t xml:space="preserve">GoM Budget 2024: electricity subsidy allocation ~MVR 2.3/kWh â‰ˆ $0.15/kWh; STEL…</w:t>
                  </w:r>
                </w:p>
              </w:tc>
            </w:tr>
            <w:tr>
              <w:tc>
                <w:tcPr/>
                <w:p>
                  <w:pPr>
                    <w:pStyle w:val="Compact"/>
                    <w:jc w:val="left"/>
                    <w:jc w:val="center"/>
                  </w:pPr>
                  <w:r>
                    <w:t xml:space="preserve">Population 2026</w:t>
                  </w:r>
                </w:p>
              </w:tc>
              <w:tc>
                <w:tcPr/>
                <w:p>
                  <w:pPr>
                    <w:pStyle w:val="Compact"/>
                    <w:jc w:val="right"/>
                    <w:jc w:val="center"/>
                  </w:pPr>
                  <w:r>
                    <w:t xml:space="preserve">515000</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persons</w:t>
                  </w:r>
                </w:p>
              </w:tc>
              <w:tc>
                <w:tcPr/>
                <w:p>
                  <w:pPr>
                    <w:pStyle w:val="Compact"/>
                    <w:jc w:val="left"/>
                    <w:jc w:val="center"/>
                  </w:pPr>
                  <w:r>
                    <w:t xml:space="preserve">NBS Census 2022 projection; GoM National Bureau of Statistics</w:t>
                  </w:r>
                </w:p>
              </w:tc>
            </w:tr>
            <w:tr>
              <w:tc>
                <w:tcPr/>
                <w:p>
                  <w:pPr>
                    <w:pStyle w:val="Compact"/>
                    <w:jc w:val="left"/>
                    <w:jc w:val="center"/>
                  </w:pPr>
                  <w:r>
                    <w:t xml:space="preserve">Population Growth Rate</w:t>
                  </w:r>
                </w:p>
              </w:tc>
              <w:tc>
                <w:tcPr/>
                <w:p>
                  <w:pPr>
                    <w:pStyle w:val="Compact"/>
                    <w:jc w:val="right"/>
                    <w:jc w:val="center"/>
                  </w:pPr>
                  <w:r>
                    <w:t xml:space="preserve">0.015</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ratio/year</w:t>
                  </w:r>
                </w:p>
              </w:tc>
              <w:tc>
                <w:tcPr/>
                <w:p>
                  <w:pPr>
                    <w:pStyle w:val="Compact"/>
                    <w:jc w:val="left"/>
                    <w:jc w:val="center"/>
                  </w:pPr>
                  <w:r>
                    <w:t xml:space="preserve">UN World Population Prospects 2024: Maldives 2020-2030 avg 1.5%/yr (declining fr…</w:t>
                  </w:r>
                </w:p>
              </w:tc>
            </w:tr>
            <w:tr>
              <w:tc>
                <w:tcPr/>
                <w:p>
                  <w:pPr>
                    <w:pStyle w:val="Compact"/>
                    <w:jc w:val="left"/>
                    <w:jc w:val="center"/>
                  </w:pPr>
                  <w:r>
                    <w:t xml:space="preserve">Subsidy Reform Start Year</w:t>
                  </w:r>
                </w:p>
              </w:tc>
              <w:tc>
                <w:tcPr/>
                <w:p>
                  <w:pPr>
                    <w:pStyle w:val="Compact"/>
                    <w:jc w:val="right"/>
                    <w:jc w:val="center"/>
                  </w:pPr>
                  <w:r>
                    <w:t xml:space="preserve">2030</w:t>
                  </w:r>
                </w:p>
              </w:tc>
              <w:tc>
                <w:tcPr/>
                <w:p>
                  <w:pPr>
                    <w:pStyle w:val="Compact"/>
                    <w:jc w:val="left"/>
                    <w:jc w:val="center"/>
                  </w:pPr>
                  <w:r>
                    <w:t xml:space="preserve">2028</w:t>
                  </w:r>
                </w:p>
              </w:tc>
              <w:tc>
                <w:tcPr/>
                <w:p>
                  <w:pPr>
                    <w:pStyle w:val="Compact"/>
                    <w:jc w:val="left"/>
                    <w:jc w:val="center"/>
                  </w:pPr>
                  <w:r>
                    <w:t xml:space="preserve">2035</w:t>
                  </w:r>
                </w:p>
              </w:tc>
              <w:tc>
                <w:tcPr/>
                <w:p>
                  <w:pPr>
                    <w:pStyle w:val="Compact"/>
                    <w:jc w:val="left"/>
                    <w:jc w:val="center"/>
                  </w:pPr>
                  <w:r>
                    <w:t xml:space="preserve">year</w:t>
                  </w:r>
                </w:p>
              </w:tc>
              <w:tc>
                <w:tcPr/>
                <w:p>
                  <w:pPr>
                    <w:pStyle w:val="Compact"/>
                    <w:jc w:val="left"/>
                    <w:jc w:val="center"/>
                  </w:pPr>
                  <w:r>
                    <w:t xml:space="preserve">GoM Medium-Term Fiscal Strategy 2024; ADB Maldives Country Partnership Strategy …</w:t>
                  </w:r>
                </w:p>
              </w:tc>
            </w:tr>
            <w:tr>
              <w:tc>
                <w:tcPr/>
                <w:p>
                  <w:pPr>
                    <w:pStyle w:val="Compact"/>
                    <w:jc w:val="left"/>
                    <w:jc w:val="center"/>
                  </w:pPr>
                  <w:r>
                    <w:t xml:space="preserve">Subsidy Reform End Year</w:t>
                  </w:r>
                </w:p>
              </w:tc>
              <w:tc>
                <w:tcPr/>
                <w:p>
                  <w:pPr>
                    <w:pStyle w:val="Compact"/>
                    <w:jc w:val="right"/>
                    <w:jc w:val="center"/>
                  </w:pPr>
                  <w:r>
                    <w:t xml:space="preserve">2040</w:t>
                  </w:r>
                </w:p>
              </w:tc>
              <w:tc>
                <w:tcPr/>
                <w:p>
                  <w:pPr>
                    <w:pStyle w:val="Compact"/>
                    <w:jc w:val="left"/>
                    <w:jc w:val="center"/>
                  </w:pPr>
                  <w:r>
                    <w:t xml:space="preserve">2035</w:t>
                  </w:r>
                </w:p>
              </w:tc>
              <w:tc>
                <w:tcPr/>
                <w:p>
                  <w:pPr>
                    <w:pStyle w:val="Compact"/>
                    <w:jc w:val="left"/>
                    <w:jc w:val="center"/>
                  </w:pPr>
                  <w:r>
                    <w:t xml:space="preserve">2050</w:t>
                  </w:r>
                </w:p>
              </w:tc>
              <w:tc>
                <w:tcPr/>
                <w:p>
                  <w:pPr>
                    <w:pStyle w:val="Compact"/>
                    <w:jc w:val="left"/>
                    <w:jc w:val="center"/>
                  </w:pPr>
                  <w:r>
                    <w:t xml:space="preserve">year</w:t>
                  </w:r>
                </w:p>
              </w:tc>
              <w:tc>
                <w:tcPr/>
                <w:p>
                  <w:pPr>
                    <w:pStyle w:val="Compact"/>
                    <w:jc w:val="left"/>
                    <w:jc w:val="center"/>
                  </w:pPr>
                  <w:r>
                    <w:t xml:space="preserve">GoM Medium-Term Fiscal Strategy 2024; full cost recovery target by 2040 (10-year…</w:t>
                  </w:r>
                </w:p>
              </w:tc>
            </w:tr>
          </w:tbl>
          <w:p>
            <w:pPr>
              <w:pStyle w:val="Heading3"/>
              <w:jc w:val="center"/>
            </w:pPr>
            <w:bookmarkStart w:id="379" w:name="benchmarks"/>
            <w:r>
              <w:t xml:space="preserve">14.1.37 Benchmarks</w:t>
            </w:r>
            <w:bookmarkEnd w:id="379"/>
          </w:p>
          <w:tbl>
            <w:tblPr>
              <w:tblStyle w:val="Table"/>
              <w:tblW w:type="pct" w:w="5000"/>
              <w:tblLayout w:type="fixed"/>
              <w:tblLook w:firstRow="1" w:lastRow="0" w:firstColumn="0" w:lastColumn="0" w:noHBand="0" w:noVBand="0" w:val="0020"/>
            </w:tblPr>
            <w:tblGrid>
              <w:gridCol w:w="1450"/>
              <w:gridCol w:w="501"/>
              <w:gridCol w:w="390"/>
              <w:gridCol w:w="446"/>
              <w:gridCol w:w="501"/>
              <w:gridCol w:w="4629"/>
            </w:tblGrid>
            <w:tr>
              <w:trPr>
                <w:tblHeader w:val="on"/>
              </w:trPr>
              <w:tc>
                <w:tcPr/>
                <w:p>
                  <w:pPr>
                    <w:pStyle w:val="Compact"/>
                    <w:jc w:val="left"/>
                    <w:jc w:val="center"/>
                  </w:pPr>
                  <w:r>
                    <w:t xml:space="preserve">Parameter</w:t>
                  </w:r>
                </w:p>
              </w:tc>
              <w:tc>
                <w:tcPr/>
                <w:p>
                  <w:pPr>
                    <w:pStyle w:val="Compact"/>
                    <w:jc w:val="right"/>
                    <w:jc w:val="center"/>
                  </w:pPr>
                  <w:r>
                    <w:t xml:space="preserve">Value</w:t>
                  </w:r>
                </w:p>
              </w:tc>
              <w:tc>
                <w:tcPr/>
                <w:p>
                  <w:pPr>
                    <w:pStyle w:val="Compact"/>
                    <w:jc w:val="left"/>
                    <w:jc w:val="center"/>
                  </w:pPr>
                  <w:r>
                    <w:t xml:space="preserve">Low</w:t>
                  </w:r>
                </w:p>
              </w:tc>
              <w:tc>
                <w:tcPr/>
                <w:p>
                  <w:pPr>
                    <w:pStyle w:val="Compact"/>
                    <w:jc w:val="left"/>
                    <w:jc w:val="center"/>
                  </w:pPr>
                  <w:r>
                    <w:t xml:space="preserve">High</w:t>
                  </w:r>
                </w:p>
              </w:tc>
              <w:tc>
                <w:tcPr/>
                <w:p>
                  <w:pPr>
                    <w:pStyle w:val="Compact"/>
                    <w:jc w:val="left"/>
                    <w:jc w:val="center"/>
                  </w:pPr>
                  <w:r>
                    <w:t xml:space="preserve">Unit</w:t>
                  </w:r>
                </w:p>
              </w:tc>
              <w:tc>
                <w:tcPr/>
                <w:p>
                  <w:pPr>
                    <w:pStyle w:val="Compact"/>
                    <w:jc w:val="left"/>
                    <w:jc w:val="center"/>
                  </w:pPr>
                  <w:r>
                    <w:t xml:space="preserve">Source</w:t>
                  </w:r>
                </w:p>
              </w:tc>
            </w:tr>
            <w:tr>
              <w:tc>
                <w:tcPr/>
                <w:p>
                  <w:pPr>
                    <w:pStyle w:val="Compact"/>
                    <w:jc w:val="left"/>
                    <w:jc w:val="center"/>
                  </w:pPr>
                  <w:r>
                    <w:t xml:space="preserve">Global Solar LCOE</w:t>
                  </w:r>
                </w:p>
              </w:tc>
              <w:tc>
                <w:tcPr/>
                <w:p>
                  <w:pPr>
                    <w:pStyle w:val="Compact"/>
                    <w:jc w:val="right"/>
                    <w:jc w:val="center"/>
                  </w:pPr>
                  <w:r>
                    <w:t xml:space="preserve">0.049</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USD/kWh</w:t>
                  </w:r>
                </w:p>
              </w:tc>
              <w:tc>
                <w:tcPr/>
                <w:p>
                  <w:pPr>
                    <w:pStyle w:val="Compact"/>
                    <w:jc w:val="left"/>
                    <w:jc w:val="center"/>
                  </w:pPr>
                  <w:r>
                    <w:t xml:space="preserve">IRENA Renewable Power Generation Costs 2024: global weighted-average utility PV …</w:t>
                  </w:r>
                </w:p>
              </w:tc>
            </w:tr>
            <w:tr>
              <w:tc>
                <w:tcPr/>
                <w:p>
                  <w:pPr>
                    <w:pStyle w:val="Compact"/>
                    <w:jc w:val="left"/>
                    <w:jc w:val="center"/>
                  </w:pPr>
                  <w:r>
                    <w:t xml:space="preserve">Global Diesel Gen LCOE</w:t>
                  </w:r>
                </w:p>
              </w:tc>
              <w:tc>
                <w:tcPr/>
                <w:p>
                  <w:pPr>
                    <w:pStyle w:val="Compact"/>
                    <w:jc w:val="right"/>
                    <w:jc w:val="center"/>
                  </w:pPr>
                  <w:r>
                    <w:t xml:space="preserve">0.28</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USD/kWh</w:t>
                  </w:r>
                </w:p>
              </w:tc>
              <w:tc>
                <w:tcPr/>
                <w:p>
                  <w:pPr>
                    <w:pStyle w:val="Compact"/>
                    <w:jc w:val="left"/>
                    <w:jc w:val="center"/>
                  </w:pPr>
                  <w:r>
                    <w:t xml:space="preserve">IRENA Off-Grid Renewable Energy Statistics 2024: diesel mini-grid range $0.25-0.…</w:t>
                  </w:r>
                </w:p>
              </w:tc>
            </w:tr>
            <w:tr>
              <w:tc>
                <w:tcPr/>
                <w:p>
                  <w:pPr>
                    <w:pStyle w:val="Compact"/>
                    <w:jc w:val="left"/>
                    <w:jc w:val="center"/>
                  </w:pPr>
                  <w:r>
                    <w:t xml:space="preserve">SIDS Avg Renewable LCOE</w:t>
                  </w:r>
                </w:p>
              </w:tc>
              <w:tc>
                <w:tcPr/>
                <w:p>
                  <w:pPr>
                    <w:pStyle w:val="Compact"/>
                    <w:jc w:val="right"/>
                    <w:jc w:val="center"/>
                  </w:pPr>
                  <w:r>
                    <w:t xml:space="preserve">0.16</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USD/kWh</w:t>
                  </w:r>
                </w:p>
              </w:tc>
              <w:tc>
                <w:tcPr/>
                <w:p>
                  <w:pPr>
                    <w:pStyle w:val="Compact"/>
                    <w:jc w:val="left"/>
                    <w:jc w:val="center"/>
                  </w:pPr>
                  <w:r>
                    <w:t xml:space="preserve">Surroop et al. (2024) MDPI Energies: SIDS renewable LCOE survey avg $0.14-0.18/k…</w:t>
                  </w:r>
                </w:p>
              </w:tc>
            </w:tr>
            <w:tr>
              <w:tc>
                <w:tcPr/>
                <w:p>
                  <w:pPr>
                    <w:pStyle w:val="Compact"/>
                    <w:jc w:val="left"/>
                    <w:jc w:val="center"/>
                  </w:pPr>
                  <w:r>
                    <w:t xml:space="preserve">Maldives CIF ASPIRE LCOE</w:t>
                  </w:r>
                </w:p>
              </w:tc>
              <w:tc>
                <w:tcPr/>
                <w:p>
                  <w:pPr>
                    <w:pStyle w:val="Compact"/>
                    <w:jc w:val="right"/>
                    <w:jc w:val="center"/>
                  </w:pPr>
                  <w:r>
                    <w:t xml:space="preserve">0.099</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USD/kWh</w:t>
                  </w:r>
                </w:p>
              </w:tc>
              <w:tc>
                <w:tcPr/>
                <w:p>
                  <w:pPr>
                    <w:pStyle w:val="Compact"/>
                    <w:jc w:val="left"/>
                    <w:jc w:val="center"/>
                  </w:pPr>
                  <w:r>
                    <w:t xml:space="preserve">World Bank ASPIRE Phase III ICR 2023: awarded solar PPA at $0.099/kWh</w:t>
                  </w:r>
                </w:p>
              </w:tc>
            </w:tr>
            <w:tr>
              <w:tc>
                <w:tcPr/>
                <w:p>
                  <w:pPr>
                    <w:pStyle w:val="Compact"/>
                    <w:jc w:val="left"/>
                    <w:jc w:val="center"/>
                  </w:pPr>
                  <w:r>
                    <w:t xml:space="preserve">Tokelau LCOE</w:t>
                  </w:r>
                </w:p>
              </w:tc>
              <w:tc>
                <w:tcPr/>
                <w:p>
                  <w:pPr>
                    <w:pStyle w:val="Compact"/>
                    <w:jc w:val="right"/>
                    <w:jc w:val="center"/>
                  </w:pPr>
                  <w:r>
                    <w:t xml:space="preserve">0.22</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USD/kWh</w:t>
                  </w:r>
                </w:p>
              </w:tc>
              <w:tc>
                <w:tcPr/>
                <w:p>
                  <w:pPr>
                    <w:pStyle w:val="Compact"/>
                    <w:jc w:val="left"/>
                    <w:jc w:val="center"/>
                  </w:pPr>
                  <w:r>
                    <w:t xml:space="preserve">Tokelau Renewable Energy Project Final Report 2017: 100% solar+battery LCOE ~$0.…</w:t>
                  </w:r>
                </w:p>
              </w:tc>
            </w:tr>
            <w:tr>
              <w:tc>
                <w:tcPr/>
                <w:p>
                  <w:pPr>
                    <w:pStyle w:val="Compact"/>
                    <w:jc w:val="left"/>
                    <w:jc w:val="center"/>
                  </w:pPr>
                  <w:r>
                    <w:t xml:space="preserve">Cook Islands LCOE</w:t>
                  </w:r>
                </w:p>
              </w:tc>
              <w:tc>
                <w:tcPr/>
                <w:p>
                  <w:pPr>
                    <w:pStyle w:val="Compact"/>
                    <w:jc w:val="right"/>
                    <w:jc w:val="center"/>
                  </w:pPr>
                  <w:r>
                    <w:t xml:space="preserve">0.25</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USD/kWh</w:t>
                  </w:r>
                </w:p>
              </w:tc>
              <w:tc>
                <w:tcPr/>
                <w:p>
                  <w:pPr>
                    <w:pStyle w:val="Compact"/>
                    <w:jc w:val="left"/>
                    <w:jc w:val="center"/>
                  </w:pPr>
                  <w:r>
                    <w:t xml:space="preserve">ADB Pacific Energy Update 2023: Cook Islands solar hybrid LCOE $0.23-0.27/kWh; m…</w:t>
                  </w:r>
                </w:p>
              </w:tc>
            </w:tr>
            <w:tr>
              <w:tc>
                <w:tcPr/>
                <w:p>
                  <w:pPr>
                    <w:pStyle w:val="Compact"/>
                    <w:jc w:val="left"/>
                    <w:jc w:val="center"/>
                  </w:pPr>
                  <w:r>
                    <w:t xml:space="preserve">Barbados LCOE</w:t>
                  </w:r>
                </w:p>
              </w:tc>
              <w:tc>
                <w:tcPr/>
                <w:p>
                  <w:pPr>
                    <w:pStyle w:val="Compact"/>
                    <w:jc w:val="right"/>
                    <w:jc w:val="center"/>
                  </w:pPr>
                  <w:r>
                    <w:t xml:space="preserve">0.19</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USD/kWh</w:t>
                  </w:r>
                </w:p>
              </w:tc>
              <w:tc>
                <w:tcPr/>
                <w:p>
                  <w:pPr>
                    <w:pStyle w:val="Compact"/>
                    <w:jc w:val="left"/>
                    <w:jc w:val="center"/>
                  </w:pPr>
                  <w:r>
                    <w:t xml:space="preserve">BNEF Caribbean Energy Outlook 2024: Barbados blended solar+gas LCOE ~$0.19/kWh</w:t>
                  </w:r>
                </w:p>
              </w:tc>
            </w:tr>
            <w:tr>
              <w:tc>
                <w:tcPr/>
                <w:p>
                  <w:pPr>
                    <w:pStyle w:val="Compact"/>
                    <w:jc w:val="left"/>
                    <w:jc w:val="center"/>
                  </w:pPr>
                  <w:r>
                    <w:t xml:space="preserve">Fiji LCOE</w:t>
                  </w:r>
                </w:p>
              </w:tc>
              <w:tc>
                <w:tcPr/>
                <w:p>
                  <w:pPr>
                    <w:pStyle w:val="Compact"/>
                    <w:jc w:val="right"/>
                    <w:jc w:val="center"/>
                  </w:pPr>
                  <w:r>
                    <w:t xml:space="preserve">0.15</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USD/kWh</w:t>
                  </w:r>
                </w:p>
              </w:tc>
              <w:tc>
                <w:tcPr/>
                <w:p>
                  <w:pPr>
                    <w:pStyle w:val="Compact"/>
                    <w:jc w:val="left"/>
                    <w:jc w:val="center"/>
                  </w:pPr>
                  <w:r>
                    <w:t xml:space="preserve">Fiji Electricity Authority Annual Report 2023: blended LCOE ~$0.15/kWh (hydro-do…</w:t>
                  </w:r>
                </w:p>
              </w:tc>
            </w:tr>
          </w:tbl>
          <w:p>
            <w:pPr>
              <w:pStyle w:val="Heading3"/>
              <w:jc w:val="center"/>
            </w:pPr>
            <w:bookmarkStart w:id="380" w:name="distributional"/>
            <w:r>
              <w:t xml:space="preserve">14.1.38 Distributional</w:t>
            </w:r>
            <w:bookmarkEnd w:id="380"/>
          </w:p>
          <w:tbl>
            <w:tblPr>
              <w:tblStyle w:val="Table"/>
              <w:tblW w:type="pct" w:w="5000"/>
              <w:tblLayout w:type="fixed"/>
              <w:tblLook w:firstRow="1" w:lastRow="0" w:firstColumn="0" w:lastColumn="0" w:noHBand="0" w:noVBand="0" w:val="0020"/>
            </w:tblPr>
            <w:tblGrid>
              <w:gridCol w:w="1450"/>
              <w:gridCol w:w="501"/>
              <w:gridCol w:w="390"/>
              <w:gridCol w:w="446"/>
              <w:gridCol w:w="501"/>
              <w:gridCol w:w="4629"/>
            </w:tblGrid>
            <w:tr>
              <w:trPr>
                <w:tblHeader w:val="on"/>
              </w:trPr>
              <w:tc>
                <w:tcPr/>
                <w:p>
                  <w:pPr>
                    <w:pStyle w:val="Compact"/>
                    <w:jc w:val="left"/>
                    <w:jc w:val="center"/>
                  </w:pPr>
                  <w:r>
                    <w:t xml:space="preserve">Parameter</w:t>
                  </w:r>
                </w:p>
              </w:tc>
              <w:tc>
                <w:tcPr/>
                <w:p>
                  <w:pPr>
                    <w:pStyle w:val="Compact"/>
                    <w:jc w:val="right"/>
                    <w:jc w:val="center"/>
                  </w:pPr>
                  <w:r>
                    <w:t xml:space="preserve">Value</w:t>
                  </w:r>
                </w:p>
              </w:tc>
              <w:tc>
                <w:tcPr/>
                <w:p>
                  <w:pPr>
                    <w:pStyle w:val="Compact"/>
                    <w:jc w:val="left"/>
                    <w:jc w:val="center"/>
                  </w:pPr>
                  <w:r>
                    <w:t xml:space="preserve">Low</w:t>
                  </w:r>
                </w:p>
              </w:tc>
              <w:tc>
                <w:tcPr/>
                <w:p>
                  <w:pPr>
                    <w:pStyle w:val="Compact"/>
                    <w:jc w:val="left"/>
                    <w:jc w:val="center"/>
                  </w:pPr>
                  <w:r>
                    <w:t xml:space="preserve">High</w:t>
                  </w:r>
                </w:p>
              </w:tc>
              <w:tc>
                <w:tcPr/>
                <w:p>
                  <w:pPr>
                    <w:pStyle w:val="Compact"/>
                    <w:jc w:val="left"/>
                    <w:jc w:val="center"/>
                  </w:pPr>
                  <w:r>
                    <w:t xml:space="preserve">Unit</w:t>
                  </w:r>
                </w:p>
              </w:tc>
              <w:tc>
                <w:tcPr/>
                <w:p>
                  <w:pPr>
                    <w:pStyle w:val="Compact"/>
                    <w:jc w:val="left"/>
                    <w:jc w:val="center"/>
                  </w:pPr>
                  <w:r>
                    <w:t xml:space="preserve">Source</w:t>
                  </w:r>
                </w:p>
              </w:tc>
            </w:tr>
            <w:tr>
              <w:tc>
                <w:tcPr/>
                <w:p>
                  <w:pPr>
                    <w:pStyle w:val="Compact"/>
                    <w:jc w:val="left"/>
                    <w:jc w:val="center"/>
                  </w:pPr>
                  <w:r>
                    <w:t xml:space="preserve">Cost Share Government</w:t>
                  </w:r>
                </w:p>
              </w:tc>
              <w:tc>
                <w:tcPr/>
                <w:p>
                  <w:pPr>
                    <w:pStyle w:val="Compact"/>
                    <w:jc w:val="right"/>
                    <w:jc w:val="center"/>
                  </w:pPr>
                  <w:r>
                    <w:t xml:space="preserve">25</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percent</w:t>
                  </w:r>
                </w:p>
              </w:tc>
              <w:tc>
                <w:tcPr/>
                <w:p>
                  <w:pPr>
                    <w:pStyle w:val="Compact"/>
                    <w:jc w:val="left"/>
                    <w:jc w:val="center"/>
                  </w:pPr>
                  <w:r>
                    <w:t xml:space="preserve">Illustrative â€” based on GoM PSIP 2024 infrastructure financing patterns; typic…</w:t>
                  </w:r>
                </w:p>
              </w:tc>
            </w:tr>
            <w:tr>
              <w:tc>
                <w:tcPr/>
                <w:p>
                  <w:pPr>
                    <w:pStyle w:val="Compact"/>
                    <w:jc w:val="left"/>
                    <w:jc w:val="center"/>
                  </w:pPr>
                  <w:r>
                    <w:t xml:space="preserve">Cost Share MDBs</w:t>
                  </w:r>
                </w:p>
              </w:tc>
              <w:tc>
                <w:tcPr/>
                <w:p>
                  <w:pPr>
                    <w:pStyle w:val="Compact"/>
                    <w:jc w:val="right"/>
                    <w:jc w:val="center"/>
                  </w:pPr>
                  <w:r>
                    <w:t xml:space="preserve">30</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percent</w:t>
                  </w:r>
                </w:p>
              </w:tc>
              <w:tc>
                <w:tcPr/>
                <w:p>
                  <w:pPr>
                    <w:pStyle w:val="Compact"/>
                    <w:jc w:val="left"/>
                    <w:jc w:val="center"/>
                  </w:pPr>
                  <w:r>
                    <w:t xml:space="preserve">Illustrative â€” based on ADB/World Bank SIDS energy portfolio 2020-2024; MDBs t…</w:t>
                  </w:r>
                </w:p>
              </w:tc>
            </w:tr>
            <w:tr>
              <w:tc>
                <w:tcPr/>
                <w:p>
                  <w:pPr>
                    <w:pStyle w:val="Compact"/>
                    <w:jc w:val="left"/>
                    <w:jc w:val="center"/>
                  </w:pPr>
                  <w:r>
                    <w:t xml:space="preserve">Cost Share India</w:t>
                  </w:r>
                </w:p>
              </w:tc>
              <w:tc>
                <w:tcPr/>
                <w:p>
                  <w:pPr>
                    <w:pStyle w:val="Compact"/>
                    <w:jc w:val="right"/>
                    <w:jc w:val="center"/>
                  </w:pPr>
                  <w:r>
                    <w:t xml:space="preserve">25</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percent</w:t>
                  </w:r>
                </w:p>
              </w:tc>
              <w:tc>
                <w:tcPr/>
                <w:p>
                  <w:pPr>
                    <w:pStyle w:val="Compact"/>
                    <w:jc w:val="left"/>
                    <w:jc w:val="center"/>
                  </w:pPr>
                  <w:r>
                    <w:t xml:space="preserve">Illustrative â€” based on India OSOWOG/ISA proposals; India expected to fund cab…</w:t>
                  </w:r>
                </w:p>
              </w:tc>
            </w:tr>
            <w:tr>
              <w:tc>
                <w:tcPr/>
                <w:p>
                  <w:pPr>
                    <w:pStyle w:val="Compact"/>
                    <w:jc w:val="left"/>
                    <w:jc w:val="center"/>
                  </w:pPr>
                  <w:r>
                    <w:t xml:space="preserve">Cost Share Private</w:t>
                  </w:r>
                </w:p>
              </w:tc>
              <w:tc>
                <w:tcPr/>
                <w:p>
                  <w:pPr>
                    <w:pStyle w:val="Compact"/>
                    <w:jc w:val="right"/>
                    <w:jc w:val="center"/>
                  </w:pPr>
                  <w:r>
                    <w:t xml:space="preserve">20</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percent</w:t>
                  </w:r>
                </w:p>
              </w:tc>
              <w:tc>
                <w:tcPr/>
                <w:p>
                  <w:pPr>
                    <w:pStyle w:val="Compact"/>
                    <w:jc w:val="left"/>
                    <w:jc w:val="center"/>
                  </w:pPr>
                  <w:r>
                    <w:t xml:space="preserve">Illustrative â€” based on SIDS IPP experience; Maldives CIF/ASPIRE attracted 15-…</w:t>
                  </w:r>
                </w:p>
              </w:tc>
            </w:tr>
            <w:tr>
              <w:tc>
                <w:tcPr/>
                <w:p>
                  <w:pPr>
                    <w:pStyle w:val="Compact"/>
                    <w:jc w:val="left"/>
                    <w:jc w:val="center"/>
                  </w:pPr>
                  <w:r>
                    <w:t xml:space="preserve">Benefit Share Households</w:t>
                  </w:r>
                </w:p>
              </w:tc>
              <w:tc>
                <w:tcPr/>
                <w:p>
                  <w:pPr>
                    <w:pStyle w:val="Compact"/>
                    <w:jc w:val="right"/>
                    <w:jc w:val="center"/>
                  </w:pPr>
                  <w:r>
                    <w:t xml:space="preserve">35</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percent</w:t>
                  </w:r>
                </w:p>
              </w:tc>
              <w:tc>
                <w:tcPr/>
                <w:p>
                  <w:pPr>
                    <w:pStyle w:val="Compact"/>
                    <w:jc w:val="left"/>
                    <w:jc w:val="center"/>
                  </w:pPr>
                  <w:r>
                    <w:t xml:space="preserve">Illustrative â€” households receive largest benefit through lower electricity bi…</w:t>
                  </w:r>
                </w:p>
              </w:tc>
            </w:tr>
            <w:tr>
              <w:tc>
                <w:tcPr/>
                <w:p>
                  <w:pPr>
                    <w:pStyle w:val="Compact"/>
                    <w:jc w:val="left"/>
                    <w:jc w:val="center"/>
                  </w:pPr>
                  <w:r>
                    <w:t xml:space="preserve">Benefit Share Businesses</w:t>
                  </w:r>
                </w:p>
              </w:tc>
              <w:tc>
                <w:tcPr/>
                <w:p>
                  <w:pPr>
                    <w:pStyle w:val="Compact"/>
                    <w:jc w:val="right"/>
                    <w:jc w:val="center"/>
                  </w:pPr>
                  <w:r>
                    <w:t xml:space="preserve">25</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percent</w:t>
                  </w:r>
                </w:p>
              </w:tc>
              <w:tc>
                <w:tcPr/>
                <w:p>
                  <w:pPr>
                    <w:pStyle w:val="Compact"/>
                    <w:jc w:val="left"/>
                    <w:jc w:val="center"/>
                  </w:pPr>
                  <w:r>
                    <w:t xml:space="preserve">Illustrative â€” commercial/tourism sector ~40% of consumption but less price-se…</w:t>
                  </w:r>
                </w:p>
              </w:tc>
            </w:tr>
            <w:tr>
              <w:tc>
                <w:tcPr/>
                <w:p>
                  <w:pPr>
                    <w:pStyle w:val="Compact"/>
                    <w:jc w:val="left"/>
                    <w:jc w:val="center"/>
                  </w:pPr>
                  <w:r>
                    <w:t xml:space="preserve">Benefit Share Government</w:t>
                  </w:r>
                </w:p>
              </w:tc>
              <w:tc>
                <w:tcPr/>
                <w:p>
                  <w:pPr>
                    <w:pStyle w:val="Compact"/>
                    <w:jc w:val="right"/>
                    <w:jc w:val="center"/>
                  </w:pPr>
                  <w:r>
                    <w:t xml:space="preserve">15</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percent</w:t>
                  </w:r>
                </w:p>
              </w:tc>
              <w:tc>
                <w:tcPr/>
                <w:p>
                  <w:pPr>
                    <w:pStyle w:val="Compact"/>
                    <w:jc w:val="left"/>
                    <w:jc w:val="center"/>
                  </w:pPr>
                  <w:r>
                    <w:t xml:space="preserve">Illustrative â€” government benefits through reduced subsidy burden</w:t>
                  </w:r>
                </w:p>
              </w:tc>
            </w:tr>
            <w:tr>
              <w:tc>
                <w:tcPr/>
                <w:p>
                  <w:pPr>
                    <w:pStyle w:val="Compact"/>
                    <w:jc w:val="left"/>
                    <w:jc w:val="center"/>
                  </w:pPr>
                  <w:r>
                    <w:t xml:space="preserve">Benefit Share Climate</w:t>
                  </w:r>
                </w:p>
              </w:tc>
              <w:tc>
                <w:tcPr/>
                <w:p>
                  <w:pPr>
                    <w:pStyle w:val="Compact"/>
                    <w:jc w:val="right"/>
                    <w:jc w:val="center"/>
                  </w:pPr>
                  <w:r>
                    <w:t xml:space="preserve">20</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percent</w:t>
                  </w:r>
                </w:p>
              </w:tc>
              <w:tc>
                <w:tcPr/>
                <w:p>
                  <w:pPr>
                    <w:pStyle w:val="Compact"/>
                    <w:jc w:val="left"/>
                    <w:jc w:val="center"/>
                  </w:pPr>
                  <w:r>
                    <w:t xml:space="preserve">Illustrative â€” global climate benefit from avoided CO2 emissions; valued at SC…</w:t>
                  </w:r>
                </w:p>
              </w:tc>
            </w:tr>
            <w:tr>
              <w:tc>
                <w:tcPr/>
                <w:p>
                  <w:pPr>
                    <w:pStyle w:val="Compact"/>
                    <w:jc w:val="left"/>
                    <w:jc w:val="center"/>
                  </w:pPr>
                  <w:r>
                    <w:t xml:space="preserve">Benefit Share Workers</w:t>
                  </w:r>
                </w:p>
              </w:tc>
              <w:tc>
                <w:tcPr/>
                <w:p>
                  <w:pPr>
                    <w:pStyle w:val="Compact"/>
                    <w:jc w:val="right"/>
                    <w:jc w:val="center"/>
                  </w:pPr>
                  <w:r>
                    <w:t xml:space="preserve">5</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percent</w:t>
                  </w:r>
                </w:p>
              </w:tc>
              <w:tc>
                <w:tcPr/>
                <w:p>
                  <w:pPr>
                    <w:pStyle w:val="Compact"/>
                    <w:jc w:val="left"/>
                    <w:jc w:val="center"/>
                  </w:pPr>
                  <w:r>
                    <w:t xml:space="preserve">Illustrative â€” new jobs in solar installation; maintenance; grid operations</w:t>
                  </w:r>
                </w:p>
              </w:tc>
            </w:tr>
          </w:tbl>
          <w:p>
            <w:pPr>
              <w:pStyle w:val="Heading3"/>
              <w:jc w:val="center"/>
            </w:pPr>
            <w:bookmarkStart w:id="381" w:name="investment-phasing"/>
            <w:r>
              <w:t xml:space="preserve">14.1.39 Investment Phasing</w:t>
            </w:r>
            <w:bookmarkEnd w:id="381"/>
          </w:p>
          <w:tbl>
            <w:tblPr>
              <w:tblStyle w:val="Table"/>
              <w:tblW w:type="pct" w:w="5000"/>
              <w:tblLayout w:type="fixed"/>
              <w:tblLook w:firstRow="1" w:lastRow="0" w:firstColumn="0" w:lastColumn="0" w:noHBand="0" w:noVBand="0" w:val="0020"/>
            </w:tblPr>
            <w:tblGrid>
              <w:gridCol w:w="1262"/>
              <w:gridCol w:w="516"/>
              <w:gridCol w:w="401"/>
              <w:gridCol w:w="459"/>
              <w:gridCol w:w="746"/>
              <w:gridCol w:w="4533"/>
            </w:tblGrid>
            <w:tr>
              <w:trPr>
                <w:tblHeader w:val="on"/>
              </w:trPr>
              <w:tc>
                <w:tcPr/>
                <w:p>
                  <w:pPr>
                    <w:pStyle w:val="Compact"/>
                    <w:jc w:val="left"/>
                    <w:jc w:val="center"/>
                  </w:pPr>
                  <w:r>
                    <w:t xml:space="preserve">Parameter</w:t>
                  </w:r>
                </w:p>
              </w:tc>
              <w:tc>
                <w:tcPr/>
                <w:p>
                  <w:pPr>
                    <w:pStyle w:val="Compact"/>
                    <w:jc w:val="right"/>
                    <w:jc w:val="center"/>
                  </w:pPr>
                  <w:r>
                    <w:t xml:space="preserve">Value</w:t>
                  </w:r>
                </w:p>
              </w:tc>
              <w:tc>
                <w:tcPr/>
                <w:p>
                  <w:pPr>
                    <w:pStyle w:val="Compact"/>
                    <w:jc w:val="left"/>
                    <w:jc w:val="center"/>
                  </w:pPr>
                  <w:r>
                    <w:t xml:space="preserve">Low</w:t>
                  </w:r>
                </w:p>
              </w:tc>
              <w:tc>
                <w:tcPr/>
                <w:p>
                  <w:pPr>
                    <w:pStyle w:val="Compact"/>
                    <w:jc w:val="left"/>
                    <w:jc w:val="center"/>
                  </w:pPr>
                  <w:r>
                    <w:t xml:space="preserve">High</w:t>
                  </w:r>
                </w:p>
              </w:tc>
              <w:tc>
                <w:tcPr/>
                <w:p>
                  <w:pPr>
                    <w:pStyle w:val="Compact"/>
                    <w:jc w:val="left"/>
                    <w:jc w:val="center"/>
                  </w:pPr>
                  <w:r>
                    <w:t xml:space="preserve">Unit</w:t>
                  </w:r>
                </w:p>
              </w:tc>
              <w:tc>
                <w:tcPr/>
                <w:p>
                  <w:pPr>
                    <w:pStyle w:val="Compact"/>
                    <w:jc w:val="left"/>
                    <w:jc w:val="center"/>
                  </w:pPr>
                  <w:r>
                    <w:t xml:space="preserve">Source</w:t>
                  </w:r>
                </w:p>
              </w:tc>
            </w:tr>
            <w:tr>
              <w:tc>
                <w:tcPr/>
                <w:p>
                  <w:pPr>
                    <w:pStyle w:val="Compact"/>
                    <w:jc w:val="left"/>
                    <w:jc w:val="center"/>
                  </w:pPr>
                  <w:r>
                    <w:t xml:space="preserve">Solar 2026-28</w:t>
                  </w:r>
                </w:p>
              </w:tc>
              <w:tc>
                <w:tcPr/>
                <w:p>
                  <w:pPr>
                    <w:pStyle w:val="Compact"/>
                    <w:jc w:val="right"/>
                    <w:jc w:val="center"/>
                  </w:pPr>
                  <w:r>
                    <w:t xml:space="preserve">150</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million USD</w:t>
                  </w:r>
                </w:p>
              </w:tc>
              <w:tc>
                <w:tcPr/>
                <w:p>
                  <w:pPr>
                    <w:pStyle w:val="Compact"/>
                    <w:jc w:val="left"/>
                    <w:jc w:val="center"/>
                  </w:pPr>
                  <w:r>
                    <w:t xml:space="preserve">Illustrative phasing â€” ~100MW at $1500/kW; front-loaded for quick wins</w:t>
                  </w:r>
                </w:p>
              </w:tc>
            </w:tr>
            <w:tr>
              <w:tc>
                <w:tcPr/>
                <w:p>
                  <w:pPr>
                    <w:pStyle w:val="Compact"/>
                    <w:jc w:val="left"/>
                    <w:jc w:val="center"/>
                  </w:pPr>
                  <w:r>
                    <w:t xml:space="preserve">Solar 2029-32</w:t>
                  </w:r>
                </w:p>
              </w:tc>
              <w:tc>
                <w:tcPr/>
                <w:p>
                  <w:pPr>
                    <w:pStyle w:val="Compact"/>
                    <w:jc w:val="right"/>
                    <w:jc w:val="center"/>
                  </w:pPr>
                  <w:r>
                    <w:t xml:space="preserve">300</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million USD</w:t>
                  </w:r>
                </w:p>
              </w:tc>
              <w:tc>
                <w:tcPr/>
                <w:p>
                  <w:pPr>
                    <w:pStyle w:val="Compact"/>
                    <w:jc w:val="left"/>
                    <w:jc w:val="center"/>
                  </w:pPr>
                  <w:r>
                    <w:t xml:space="preserve">Illustrative phasing â€” ~200MW at $1350/kW (with learning); peak solar build</w:t>
                  </w:r>
                </w:p>
              </w:tc>
            </w:tr>
            <w:tr>
              <w:tc>
                <w:tcPr/>
                <w:p>
                  <w:pPr>
                    <w:pStyle w:val="Compact"/>
                    <w:jc w:val="left"/>
                    <w:jc w:val="center"/>
                  </w:pPr>
                  <w:r>
                    <w:t xml:space="preserve">Solar 2033-36</w:t>
                  </w:r>
                </w:p>
              </w:tc>
              <w:tc>
                <w:tcPr/>
                <w:p>
                  <w:pPr>
                    <w:pStyle w:val="Compact"/>
                    <w:jc w:val="right"/>
                    <w:jc w:val="center"/>
                  </w:pPr>
                  <w:r>
                    <w:t xml:space="preserve">250</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million USD</w:t>
                  </w:r>
                </w:p>
              </w:tc>
              <w:tc>
                <w:tcPr/>
                <w:p>
                  <w:pPr>
                    <w:pStyle w:val="Compact"/>
                    <w:jc w:val="left"/>
                    <w:jc w:val="center"/>
                  </w:pPr>
                  <w:r>
                    <w:t xml:space="preserve">Illustrative phasing â€” ~200MW at $1200/kW; continued expansion</w:t>
                  </w:r>
                </w:p>
              </w:tc>
            </w:tr>
            <w:tr>
              <w:tc>
                <w:tcPr/>
                <w:p>
                  <w:pPr>
                    <w:pStyle w:val="Compact"/>
                    <w:jc w:val="left"/>
                    <w:jc w:val="center"/>
                  </w:pPr>
                  <w:r>
                    <w:t xml:space="preserve">Solar 2037-40</w:t>
                  </w:r>
                </w:p>
              </w:tc>
              <w:tc>
                <w:tcPr/>
                <w:p>
                  <w:pPr>
                    <w:pStyle w:val="Compact"/>
                    <w:jc w:val="right"/>
                    <w:jc w:val="center"/>
                  </w:pPr>
                  <w:r>
                    <w:t xml:space="preserve">150</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million USD</w:t>
                  </w:r>
                </w:p>
              </w:tc>
              <w:tc>
                <w:tcPr/>
                <w:p>
                  <w:pPr>
                    <w:pStyle w:val="Compact"/>
                    <w:jc w:val="left"/>
                    <w:jc w:val="center"/>
                  </w:pPr>
                  <w:r>
                    <w:t xml:space="preserve">Illustrative phasing â€” ~150MW at $1000/kW; filling remaining capacity</w:t>
                  </w:r>
                </w:p>
              </w:tc>
            </w:tr>
            <w:tr>
              <w:tc>
                <w:tcPr/>
                <w:p>
                  <w:pPr>
                    <w:pStyle w:val="Compact"/>
                    <w:jc w:val="left"/>
                    <w:jc w:val="center"/>
                  </w:pPr>
                  <w:r>
                    <w:t xml:space="preserve">Solar 2041-50</w:t>
                  </w:r>
                </w:p>
              </w:tc>
              <w:tc>
                <w:tcPr/>
                <w:p>
                  <w:pPr>
                    <w:pStyle w:val="Compact"/>
                    <w:jc w:val="right"/>
                    <w:jc w:val="center"/>
                  </w:pPr>
                  <w:r>
                    <w:t xml:space="preserve">100</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million USD</w:t>
                  </w:r>
                </w:p>
              </w:tc>
              <w:tc>
                <w:tcPr/>
                <w:p>
                  <w:pPr>
                    <w:pStyle w:val="Compact"/>
                    <w:jc w:val="left"/>
                    <w:jc w:val="center"/>
                  </w:pPr>
                  <w:r>
                    <w:t xml:space="preserve">Illustrative phasing â€” replacement + marginal additions</w:t>
                  </w:r>
                </w:p>
              </w:tc>
            </w:tr>
            <w:tr>
              <w:tc>
                <w:tcPr/>
                <w:p>
                  <w:pPr>
                    <w:pStyle w:val="Compact"/>
                    <w:jc w:val="left"/>
                    <w:jc w:val="center"/>
                  </w:pPr>
                  <w:r>
                    <w:t xml:space="preserve">Battery 2026-28</w:t>
                  </w:r>
                </w:p>
              </w:tc>
              <w:tc>
                <w:tcPr/>
                <w:p>
                  <w:pPr>
                    <w:pStyle w:val="Compact"/>
                    <w:jc w:val="right"/>
                    <w:jc w:val="center"/>
                  </w:pPr>
                  <w:r>
                    <w:t xml:space="preserve">50</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million USD</w:t>
                  </w:r>
                </w:p>
              </w:tc>
              <w:tc>
                <w:tcPr/>
                <w:p>
                  <w:pPr>
                    <w:pStyle w:val="Compact"/>
                    <w:jc w:val="left"/>
                    <w:jc w:val="center"/>
                  </w:pPr>
                  <w:r>
                    <w:t xml:space="preserve">Illustrative phasing â€” initial BESS paired with early solar</w:t>
                  </w:r>
                </w:p>
              </w:tc>
            </w:tr>
            <w:tr>
              <w:tc>
                <w:tcPr/>
                <w:p>
                  <w:pPr>
                    <w:pStyle w:val="Compact"/>
                    <w:jc w:val="left"/>
                    <w:jc w:val="center"/>
                  </w:pPr>
                  <w:r>
                    <w:t xml:space="preserve">Battery 2029-32</w:t>
                  </w:r>
                </w:p>
              </w:tc>
              <w:tc>
                <w:tcPr/>
                <w:p>
                  <w:pPr>
                    <w:pStyle w:val="Compact"/>
                    <w:jc w:val="right"/>
                    <w:jc w:val="center"/>
                  </w:pPr>
                  <w:r>
                    <w:t xml:space="preserve">150</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million USD</w:t>
                  </w:r>
                </w:p>
              </w:tc>
              <w:tc>
                <w:tcPr/>
                <w:p>
                  <w:pPr>
                    <w:pStyle w:val="Compact"/>
                    <w:jc w:val="left"/>
                    <w:jc w:val="center"/>
                  </w:pPr>
                  <w:r>
                    <w:t xml:space="preserve">Illustrative phasing â€” major BESS deployment with grid buildout</w:t>
                  </w:r>
                </w:p>
              </w:tc>
            </w:tr>
            <w:tr>
              <w:tc>
                <w:tcPr/>
                <w:p>
                  <w:pPr>
                    <w:pStyle w:val="Compact"/>
                    <w:jc w:val="left"/>
                    <w:jc w:val="center"/>
                  </w:pPr>
                  <w:r>
                    <w:t xml:space="preserve">Battery 2033-36</w:t>
                  </w:r>
                </w:p>
              </w:tc>
              <w:tc>
                <w:tcPr/>
                <w:p>
                  <w:pPr>
                    <w:pStyle w:val="Compact"/>
                    <w:jc w:val="right"/>
                    <w:jc w:val="center"/>
                  </w:pPr>
                  <w:r>
                    <w:t xml:space="preserve">100</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million USD</w:t>
                  </w:r>
                </w:p>
              </w:tc>
              <w:tc>
                <w:tcPr/>
                <w:p>
                  <w:pPr>
                    <w:pStyle w:val="Compact"/>
                    <w:jc w:val="left"/>
                    <w:jc w:val="center"/>
                  </w:pPr>
                  <w:r>
                    <w:t xml:space="preserve">Illustrative phasing â€” continued BESS expansion</w:t>
                  </w:r>
                </w:p>
              </w:tc>
            </w:tr>
            <w:tr>
              <w:tc>
                <w:tcPr/>
                <w:p>
                  <w:pPr>
                    <w:pStyle w:val="Compact"/>
                    <w:jc w:val="left"/>
                    <w:jc w:val="center"/>
                  </w:pPr>
                  <w:r>
                    <w:t xml:space="preserve">Battery 2037-40</w:t>
                  </w:r>
                </w:p>
              </w:tc>
              <w:tc>
                <w:tcPr/>
                <w:p>
                  <w:pPr>
                    <w:pStyle w:val="Compact"/>
                    <w:jc w:val="right"/>
                    <w:jc w:val="center"/>
                  </w:pPr>
                  <w:r>
                    <w:t xml:space="preserve">50</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million USD</w:t>
                  </w:r>
                </w:p>
              </w:tc>
              <w:tc>
                <w:tcPr/>
                <w:p>
                  <w:pPr>
                    <w:pStyle w:val="Compact"/>
                    <w:jc w:val="left"/>
                    <w:jc w:val="center"/>
                  </w:pPr>
                  <w:r>
                    <w:t xml:space="preserve">Illustrative phasing â€” replacement cycle begins</w:t>
                  </w:r>
                </w:p>
              </w:tc>
            </w:tr>
            <w:tr>
              <w:tc>
                <w:tcPr/>
                <w:p>
                  <w:pPr>
                    <w:pStyle w:val="Compact"/>
                    <w:jc w:val="left"/>
                    <w:jc w:val="center"/>
                  </w:pPr>
                  <w:r>
                    <w:t xml:space="preserve">Battery 2041-50</w:t>
                  </w:r>
                </w:p>
              </w:tc>
              <w:tc>
                <w:tcPr/>
                <w:p>
                  <w:pPr>
                    <w:pStyle w:val="Compact"/>
                    <w:jc w:val="right"/>
                    <w:jc w:val="center"/>
                  </w:pPr>
                  <w:r>
                    <w:t xml:space="preserve">50</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million USD</w:t>
                  </w:r>
                </w:p>
              </w:tc>
              <w:tc>
                <w:tcPr/>
                <w:p>
                  <w:pPr>
                    <w:pStyle w:val="Compact"/>
                    <w:jc w:val="left"/>
                    <w:jc w:val="center"/>
                  </w:pPr>
                  <w:r>
                    <w:t xml:space="preserve">Illustrative phasing â€” ongoing replacement</w:t>
                  </w:r>
                </w:p>
              </w:tc>
            </w:tr>
            <w:tr>
              <w:tc>
                <w:tcPr/>
                <w:p>
                  <w:pPr>
                    <w:pStyle w:val="Compact"/>
                    <w:jc w:val="left"/>
                    <w:jc w:val="center"/>
                  </w:pPr>
                  <w:r>
                    <w:t xml:space="preserve">Inter-Island 2026-28</w:t>
                  </w:r>
                </w:p>
              </w:tc>
              <w:tc>
                <w:tcPr/>
                <w:p>
                  <w:pPr>
                    <w:pStyle w:val="Compact"/>
                    <w:jc w:val="right"/>
                    <w:jc w:val="center"/>
                  </w:pPr>
                  <w:r>
                    <w:t xml:space="preserve">100</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million USD</w:t>
                  </w:r>
                </w:p>
              </w:tc>
              <w:tc>
                <w:tcPr/>
                <w:p>
                  <w:pPr>
                    <w:pStyle w:val="Compact"/>
                    <w:jc w:val="left"/>
                    <w:jc w:val="center"/>
                  </w:pPr>
                  <w:r>
                    <w:t xml:space="preserve">Illustrative phasing â€” Phase 1 Greater Male region</w:t>
                  </w:r>
                </w:p>
              </w:tc>
            </w:tr>
            <w:tr>
              <w:tc>
                <w:tcPr/>
                <w:p>
                  <w:pPr>
                    <w:pStyle w:val="Compact"/>
                    <w:jc w:val="left"/>
                    <w:jc w:val="center"/>
                  </w:pPr>
                  <w:r>
                    <w:t xml:space="preserve">Inter-Island 2029-32</w:t>
                  </w:r>
                </w:p>
              </w:tc>
              <w:tc>
                <w:tcPr/>
                <w:p>
                  <w:pPr>
                    <w:pStyle w:val="Compact"/>
                    <w:jc w:val="right"/>
                    <w:jc w:val="center"/>
                  </w:pPr>
                  <w:r>
                    <w:t xml:space="preserve">400</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million USD</w:t>
                  </w:r>
                </w:p>
              </w:tc>
              <w:tc>
                <w:tcPr/>
                <w:p>
                  <w:pPr>
                    <w:pStyle w:val="Compact"/>
                    <w:jc w:val="left"/>
                    <w:jc w:val="center"/>
                  </w:pPr>
                  <w:r>
                    <w:t xml:space="preserve">Illustrative phasing â€” major inter-atoll connections</w:t>
                  </w:r>
                </w:p>
              </w:tc>
            </w:tr>
            <w:tr>
              <w:tc>
                <w:tcPr/>
                <w:p>
                  <w:pPr>
                    <w:pStyle w:val="Compact"/>
                    <w:jc w:val="left"/>
                    <w:jc w:val="center"/>
                  </w:pPr>
                  <w:r>
                    <w:t xml:space="preserve">Inter-Island 2033-36</w:t>
                  </w:r>
                </w:p>
              </w:tc>
              <w:tc>
                <w:tcPr/>
                <w:p>
                  <w:pPr>
                    <w:pStyle w:val="Compact"/>
                    <w:jc w:val="right"/>
                    <w:jc w:val="center"/>
                  </w:pPr>
                  <w:r>
                    <w:t xml:space="preserve">200</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million USD</w:t>
                  </w:r>
                </w:p>
              </w:tc>
              <w:tc>
                <w:tcPr/>
                <w:p>
                  <w:pPr>
                    <w:pStyle w:val="Compact"/>
                    <w:jc w:val="left"/>
                    <w:jc w:val="center"/>
                  </w:pPr>
                  <w:r>
                    <w:t xml:space="preserve">Illustrative phasing â€” extending to outer atolls</w:t>
                  </w:r>
                </w:p>
              </w:tc>
            </w:tr>
            <w:tr>
              <w:tc>
                <w:tcPr/>
                <w:p>
                  <w:pPr>
                    <w:pStyle w:val="Compact"/>
                    <w:jc w:val="left"/>
                    <w:jc w:val="center"/>
                  </w:pPr>
                  <w:r>
                    <w:t xml:space="preserve">Inter-Island 2037-40</w:t>
                  </w:r>
                </w:p>
              </w:tc>
              <w:tc>
                <w:tcPr/>
                <w:p>
                  <w:pPr>
                    <w:pStyle w:val="Compact"/>
                    <w:jc w:val="right"/>
                    <w:jc w:val="center"/>
                  </w:pPr>
                  <w:r>
                    <w:t xml:space="preserve">100</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million USD</w:t>
                  </w:r>
                </w:p>
              </w:tc>
              <w:tc>
                <w:tcPr/>
                <w:p>
                  <w:pPr>
                    <w:pStyle w:val="Compact"/>
                    <w:jc w:val="left"/>
                    <w:jc w:val="center"/>
                  </w:pPr>
                  <w:r>
                    <w:t xml:space="preserve">Illustrative phasing â€” final connections</w:t>
                  </w:r>
                </w:p>
              </w:tc>
            </w:tr>
            <w:tr>
              <w:tc>
                <w:tcPr/>
                <w:p>
                  <w:pPr>
                    <w:pStyle w:val="Compact"/>
                    <w:jc w:val="left"/>
                    <w:jc w:val="center"/>
                  </w:pPr>
                  <w:r>
                    <w:t xml:space="preserve">Inter-Island 2041-50</w:t>
                  </w:r>
                </w:p>
              </w:tc>
              <w:tc>
                <w:tcPr/>
                <w:p>
                  <w:pPr>
                    <w:pStyle w:val="Compact"/>
                    <w:jc w:val="right"/>
                    <w:jc w:val="center"/>
                  </w:pPr>
                  <w:r>
                    <w:t xml:space="preserve">0</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million USD</w:t>
                  </w:r>
                </w:p>
              </w:tc>
              <w:tc>
                <w:tcPr/>
                <w:p>
                  <w:pPr>
                    <w:pStyle w:val="Compact"/>
                    <w:jc w:val="left"/>
                    <w:jc w:val="center"/>
                  </w:pPr>
                  <w:r>
                    <w:t xml:space="preserve">Illustrative phasing â€” complete</w:t>
                  </w:r>
                </w:p>
              </w:tc>
            </w:tr>
            <w:tr>
              <w:tc>
                <w:tcPr/>
                <w:p>
                  <w:pPr>
                    <w:pStyle w:val="Compact"/>
                    <w:jc w:val="left"/>
                    <w:jc w:val="center"/>
                  </w:pPr>
                  <w:r>
                    <w:t xml:space="preserve">India Cable 2026-28</w:t>
                  </w:r>
                </w:p>
              </w:tc>
              <w:tc>
                <w:tcPr/>
                <w:p>
                  <w:pPr>
                    <w:pStyle w:val="Compact"/>
                    <w:jc w:val="right"/>
                    <w:jc w:val="center"/>
                  </w:pPr>
                  <w:r>
                    <w:t xml:space="preserve">200</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million USD</w:t>
                  </w:r>
                </w:p>
              </w:tc>
              <w:tc>
                <w:tcPr/>
                <w:p>
                  <w:pPr>
                    <w:pStyle w:val="Compact"/>
                    <w:jc w:val="left"/>
                    <w:jc w:val="center"/>
                  </w:pPr>
                  <w:r>
                    <w:t xml:space="preserve">Illustrative phasing â€” planning; surveying; initial manufacturing</w:t>
                  </w:r>
                </w:p>
              </w:tc>
            </w:tr>
            <w:tr>
              <w:tc>
                <w:tcPr/>
                <w:p>
                  <w:pPr>
                    <w:pStyle w:val="Compact"/>
                    <w:jc w:val="left"/>
                    <w:jc w:val="center"/>
                  </w:pPr>
                  <w:r>
                    <w:t xml:space="preserve">India Cable 2029-32</w:t>
                  </w:r>
                </w:p>
              </w:tc>
              <w:tc>
                <w:tcPr/>
                <w:p>
                  <w:pPr>
                    <w:pStyle w:val="Compact"/>
                    <w:jc w:val="right"/>
                    <w:jc w:val="center"/>
                  </w:pPr>
                  <w:r>
                    <w:t xml:space="preserve">1200</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million USD</w:t>
                  </w:r>
                </w:p>
              </w:tc>
              <w:tc>
                <w:tcPr/>
                <w:p>
                  <w:pPr>
                    <w:pStyle w:val="Compact"/>
                    <w:jc w:val="left"/>
                    <w:jc w:val="center"/>
                  </w:pPr>
                  <w:r>
                    <w:t xml:space="preserve">Illustrative phasing â€” main cable construction period</w:t>
                  </w:r>
                </w:p>
              </w:tc>
            </w:tr>
            <w:tr>
              <w:tc>
                <w:tcPr/>
                <w:p>
                  <w:pPr>
                    <w:pStyle w:val="Compact"/>
                    <w:jc w:val="left"/>
                    <w:jc w:val="center"/>
                  </w:pPr>
                  <w:r>
                    <w:t xml:space="preserve">India Cable 2033-36</w:t>
                  </w:r>
                </w:p>
              </w:tc>
              <w:tc>
                <w:tcPr/>
                <w:p>
                  <w:pPr>
                    <w:pStyle w:val="Compact"/>
                    <w:jc w:val="right"/>
                    <w:jc w:val="center"/>
                  </w:pPr>
                  <w:r>
                    <w:t xml:space="preserve">0</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million USD</w:t>
                  </w:r>
                </w:p>
              </w:tc>
              <w:tc>
                <w:tcPr/>
                <w:p>
                  <w:pPr>
                    <w:pStyle w:val="Compact"/>
                    <w:jc w:val="left"/>
                    <w:jc w:val="center"/>
                  </w:pPr>
                  <w:r>
                    <w:t xml:space="preserve">Illustrative phasing â€” cable operational by 2032</w:t>
                  </w:r>
                </w:p>
              </w:tc>
            </w:tr>
            <w:tr>
              <w:tc>
                <w:tcPr/>
                <w:p>
                  <w:pPr>
                    <w:pStyle w:val="Compact"/>
                    <w:jc w:val="left"/>
                    <w:jc w:val="center"/>
                  </w:pPr>
                  <w:r>
                    <w:t xml:space="preserve">India Cable 2037-40</w:t>
                  </w:r>
                </w:p>
              </w:tc>
              <w:tc>
                <w:tcPr/>
                <w:p>
                  <w:pPr>
                    <w:pStyle w:val="Compact"/>
                    <w:jc w:val="right"/>
                    <w:jc w:val="center"/>
                  </w:pPr>
                  <w:r>
                    <w:t xml:space="preserve">0</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million USD</w:t>
                  </w:r>
                </w:p>
              </w:tc>
              <w:tc>
                <w:tcPr/>
                <w:p>
                  <w:pPr>
                    <w:pStyle w:val="Compact"/>
                    <w:jc w:val="left"/>
                    <w:jc w:val="center"/>
                  </w:pPr>
                  <w:r>
                    <w:t xml:space="preserve">Illustrative phasing â€” cable operational</w:t>
                  </w:r>
                </w:p>
              </w:tc>
            </w:tr>
            <w:tr>
              <w:tc>
                <w:tcPr/>
                <w:p>
                  <w:pPr>
                    <w:pStyle w:val="Compact"/>
                    <w:jc w:val="left"/>
                    <w:jc w:val="center"/>
                  </w:pPr>
                  <w:r>
                    <w:t xml:space="preserve">India Cable 2041-50</w:t>
                  </w:r>
                </w:p>
              </w:tc>
              <w:tc>
                <w:tcPr/>
                <w:p>
                  <w:pPr>
                    <w:pStyle w:val="Compact"/>
                    <w:jc w:val="right"/>
                    <w:jc w:val="center"/>
                  </w:pPr>
                  <w:r>
                    <w:t xml:space="preserve">0</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million USD</w:t>
                  </w:r>
                </w:p>
              </w:tc>
              <w:tc>
                <w:tcPr/>
                <w:p>
                  <w:pPr>
                    <w:pStyle w:val="Compact"/>
                    <w:jc w:val="left"/>
                    <w:jc w:val="center"/>
                  </w:pPr>
                  <w:r>
                    <w:t xml:space="preserve">Illustrative phasing â€” cable operational</w:t>
                  </w:r>
                </w:p>
              </w:tc>
            </w:tr>
          </w:tbl>
          <w:p>
            <w:pPr>
              <w:pStyle w:val="Heading3"/>
              <w:jc w:val="center"/>
            </w:pPr>
            <w:bookmarkStart w:id="382" w:name="mca-weights"/>
            <w:r>
              <w:t xml:space="preserve">14.1.40 MCA Weights</w:t>
            </w:r>
            <w:bookmarkEnd w:id="382"/>
          </w:p>
          <w:tbl>
            <w:tblPr>
              <w:tblStyle w:val="Table"/>
              <w:tblW w:type="pct" w:w="5000"/>
              <w:tblLayout w:type="fixed"/>
              <w:tblLook w:firstRow="1" w:lastRow="0" w:firstColumn="0" w:lastColumn="0" w:noHBand="0" w:noVBand="0" w:val="0020"/>
            </w:tblPr>
            <w:tblGrid>
              <w:gridCol w:w="1895"/>
              <w:gridCol w:w="609"/>
              <w:gridCol w:w="473"/>
              <w:gridCol w:w="541"/>
              <w:gridCol w:w="541"/>
              <w:gridCol w:w="3858"/>
            </w:tblGrid>
            <w:tr>
              <w:trPr>
                <w:tblHeader w:val="on"/>
              </w:trPr>
              <w:tc>
                <w:tcPr/>
                <w:p>
                  <w:pPr>
                    <w:pStyle w:val="Compact"/>
                    <w:jc w:val="left"/>
                    <w:jc w:val="center"/>
                  </w:pPr>
                  <w:r>
                    <w:t xml:space="preserve">Parameter</w:t>
                  </w:r>
                </w:p>
              </w:tc>
              <w:tc>
                <w:tcPr/>
                <w:p>
                  <w:pPr>
                    <w:pStyle w:val="Compact"/>
                    <w:jc w:val="right"/>
                    <w:jc w:val="center"/>
                  </w:pPr>
                  <w:r>
                    <w:t xml:space="preserve">Value</w:t>
                  </w:r>
                </w:p>
              </w:tc>
              <w:tc>
                <w:tcPr/>
                <w:p>
                  <w:pPr>
                    <w:pStyle w:val="Compact"/>
                    <w:jc w:val="right"/>
                    <w:jc w:val="center"/>
                  </w:pPr>
                  <w:r>
                    <w:t xml:space="preserve">Low</w:t>
                  </w:r>
                </w:p>
              </w:tc>
              <w:tc>
                <w:tcPr/>
                <w:p>
                  <w:pPr>
                    <w:pStyle w:val="Compact"/>
                    <w:jc w:val="right"/>
                    <w:jc w:val="center"/>
                  </w:pPr>
                  <w:r>
                    <w:t xml:space="preserve">High</w:t>
                  </w:r>
                </w:p>
              </w:tc>
              <w:tc>
                <w:tcPr/>
                <w:p>
                  <w:pPr>
                    <w:pStyle w:val="Compact"/>
                    <w:jc w:val="left"/>
                    <w:jc w:val="center"/>
                  </w:pPr>
                  <w:r>
                    <w:t xml:space="preserve">Unit</w:t>
                  </w:r>
                </w:p>
              </w:tc>
              <w:tc>
                <w:tcPr/>
                <w:p>
                  <w:pPr>
                    <w:pStyle w:val="Compact"/>
                    <w:jc w:val="left"/>
                    <w:jc w:val="center"/>
                  </w:pPr>
                  <w:r>
                    <w:t xml:space="preserve">Source</w:t>
                  </w:r>
                </w:p>
              </w:tc>
            </w:tr>
            <w:tr>
              <w:tc>
                <w:tcPr/>
                <w:p>
                  <w:pPr>
                    <w:pStyle w:val="Compact"/>
                    <w:jc w:val="left"/>
                    <w:jc w:val="center"/>
                  </w:pPr>
                  <w:r>
                    <w:t xml:space="preserve">Economic Efficiency</w:t>
                  </w:r>
                </w:p>
              </w:tc>
              <w:tc>
                <w:tcPr/>
                <w:p>
                  <w:pPr>
                    <w:pStyle w:val="Compact"/>
                    <w:jc w:val="right"/>
                    <w:jc w:val="center"/>
                  </w:pPr>
                  <w:r>
                    <w:t xml:space="preserve">0.2</w:t>
                  </w:r>
                </w:p>
              </w:tc>
              <w:tc>
                <w:tcPr/>
                <w:p>
                  <w:pPr>
                    <w:pStyle w:val="Compact"/>
                    <w:jc w:val="right"/>
                    <w:jc w:val="center"/>
                  </w:pPr>
                  <w:r>
                    <w:t xml:space="preserve">0.1</w:t>
                  </w:r>
                </w:p>
              </w:tc>
              <w:tc>
                <w:tcPr/>
                <w:p>
                  <w:pPr>
                    <w:pStyle w:val="Compact"/>
                    <w:jc w:val="right"/>
                    <w:jc w:val="center"/>
                  </w:pPr>
                  <w:r>
                    <w:t xml:space="preserve">0.4</w:t>
                  </w:r>
                </w:p>
              </w:tc>
              <w:tc>
                <w:tcPr/>
                <w:p>
                  <w:pPr>
                    <w:pStyle w:val="Compact"/>
                    <w:jc w:val="left"/>
                    <w:jc w:val="center"/>
                  </w:pPr>
                  <w:r>
                    <w:t xml:space="preserve">weight</w:t>
                  </w:r>
                </w:p>
              </w:tc>
              <w:tc>
                <w:tcPr/>
                <w:p>
                  <w:pPr>
                    <w:pStyle w:val="Compact"/>
                    <w:jc w:val="left"/>
                    <w:jc w:val="center"/>
                  </w:pPr>
                  <w:r>
                    <w:t xml:space="preserve">ADB (2017) Â§7.3; Dodgson et al. (2009) DCLG MCA Manual</w:t>
                  </w:r>
                </w:p>
              </w:tc>
            </w:tr>
            <w:tr>
              <w:tc>
                <w:tcPr/>
                <w:p>
                  <w:pPr>
                    <w:pStyle w:val="Compact"/>
                    <w:jc w:val="left"/>
                    <w:jc w:val="center"/>
                  </w:pPr>
                  <w:r>
                    <w:t xml:space="preserve">Environmental Impact</w:t>
                  </w:r>
                </w:p>
              </w:tc>
              <w:tc>
                <w:tcPr/>
                <w:p>
                  <w:pPr>
                    <w:pStyle w:val="Compact"/>
                    <w:jc w:val="right"/>
                    <w:jc w:val="center"/>
                  </w:pPr>
                  <w:r>
                    <w:t xml:space="preserve">0.15</w:t>
                  </w:r>
                </w:p>
              </w:tc>
              <w:tc>
                <w:tcPr/>
                <w:p>
                  <w:pPr>
                    <w:pStyle w:val="Compact"/>
                    <w:jc w:val="right"/>
                    <w:jc w:val="center"/>
                  </w:pPr>
                  <w:r>
                    <w:t xml:space="preserve">0.05</w:t>
                  </w:r>
                </w:p>
              </w:tc>
              <w:tc>
                <w:tcPr/>
                <w:p>
                  <w:pPr>
                    <w:pStyle w:val="Compact"/>
                    <w:jc w:val="right"/>
                    <w:jc w:val="center"/>
                  </w:pPr>
                  <w:r>
                    <w:t xml:space="preserve">0.3</w:t>
                  </w:r>
                </w:p>
              </w:tc>
              <w:tc>
                <w:tcPr/>
                <w:p>
                  <w:pPr>
                    <w:pStyle w:val="Compact"/>
                    <w:jc w:val="left"/>
                    <w:jc w:val="center"/>
                  </w:pPr>
                  <w:r>
                    <w:t xml:space="preserve">weight</w:t>
                  </w:r>
                </w:p>
              </w:tc>
              <w:tc>
                <w:tcPr/>
                <w:p>
                  <w:pPr>
                    <w:pStyle w:val="Compact"/>
                    <w:jc w:val="left"/>
                    <w:jc w:val="center"/>
                  </w:pPr>
                  <w:r>
                    <w:t xml:space="preserve">ADB (2017) Â§7.3; Dodgson et al. (2009) DCLG MCA Manual</w:t>
                  </w:r>
                </w:p>
              </w:tc>
            </w:tr>
            <w:tr>
              <w:tc>
                <w:tcPr/>
                <w:p>
                  <w:pPr>
                    <w:pStyle w:val="Compact"/>
                    <w:jc w:val="left"/>
                    <w:jc w:val="center"/>
                  </w:pPr>
                  <w:r>
                    <w:t xml:space="preserve">Energy Security</w:t>
                  </w:r>
                </w:p>
              </w:tc>
              <w:tc>
                <w:tcPr/>
                <w:p>
                  <w:pPr>
                    <w:pStyle w:val="Compact"/>
                    <w:jc w:val="right"/>
                    <w:jc w:val="center"/>
                  </w:pPr>
                  <w:r>
                    <w:t xml:space="preserve">0.15</w:t>
                  </w:r>
                </w:p>
              </w:tc>
              <w:tc>
                <w:tcPr/>
                <w:p>
                  <w:pPr>
                    <w:pStyle w:val="Compact"/>
                    <w:jc w:val="right"/>
                    <w:jc w:val="center"/>
                  </w:pPr>
                  <w:r>
                    <w:t xml:space="preserve">0.05</w:t>
                  </w:r>
                </w:p>
              </w:tc>
              <w:tc>
                <w:tcPr/>
                <w:p>
                  <w:pPr>
                    <w:pStyle w:val="Compact"/>
                    <w:jc w:val="right"/>
                    <w:jc w:val="center"/>
                  </w:pPr>
                  <w:r>
                    <w:t xml:space="preserve">0.25</w:t>
                  </w:r>
                </w:p>
              </w:tc>
              <w:tc>
                <w:tcPr/>
                <w:p>
                  <w:pPr>
                    <w:pStyle w:val="Compact"/>
                    <w:jc w:val="left"/>
                    <w:jc w:val="center"/>
                  </w:pPr>
                  <w:r>
                    <w:t xml:space="preserve">weight</w:t>
                  </w:r>
                </w:p>
              </w:tc>
              <w:tc>
                <w:tcPr/>
                <w:p>
                  <w:pPr>
                    <w:pStyle w:val="Compact"/>
                    <w:jc w:val="left"/>
                    <w:jc w:val="center"/>
                  </w:pPr>
                  <w:r>
                    <w:t xml:space="preserve">ADB (2017) Â§7.3; Dodgson et al. (2009) DCLG MCA Manual</w:t>
                  </w:r>
                </w:p>
              </w:tc>
            </w:tr>
            <w:tr>
              <w:tc>
                <w:tcPr/>
                <w:p>
                  <w:pPr>
                    <w:pStyle w:val="Compact"/>
                    <w:jc w:val="left"/>
                    <w:jc w:val="center"/>
                  </w:pPr>
                  <w:r>
                    <w:t xml:space="preserve">Health Benefits</w:t>
                  </w:r>
                </w:p>
              </w:tc>
              <w:tc>
                <w:tcPr/>
                <w:p>
                  <w:pPr>
                    <w:pStyle w:val="Compact"/>
                    <w:jc w:val="right"/>
                    <w:jc w:val="center"/>
                  </w:pPr>
                  <w:r>
                    <w:t xml:space="preserve">0.1</w:t>
                  </w:r>
                </w:p>
              </w:tc>
              <w:tc>
                <w:tcPr/>
                <w:p>
                  <w:pPr>
                    <w:pStyle w:val="Compact"/>
                    <w:jc w:val="right"/>
                    <w:jc w:val="center"/>
                  </w:pPr>
                  <w:r>
                    <w:t xml:space="preserve">0.05</w:t>
                  </w:r>
                </w:p>
              </w:tc>
              <w:tc>
                <w:tcPr/>
                <w:p>
                  <w:pPr>
                    <w:pStyle w:val="Compact"/>
                    <w:jc w:val="right"/>
                    <w:jc w:val="center"/>
                  </w:pPr>
                  <w:r>
                    <w:t xml:space="preserve">0.2</w:t>
                  </w:r>
                </w:p>
              </w:tc>
              <w:tc>
                <w:tcPr/>
                <w:p>
                  <w:pPr>
                    <w:pStyle w:val="Compact"/>
                    <w:jc w:val="left"/>
                    <w:jc w:val="center"/>
                  </w:pPr>
                  <w:r>
                    <w:t xml:space="preserve">weight</w:t>
                  </w:r>
                </w:p>
              </w:tc>
              <w:tc>
                <w:tcPr/>
                <w:p>
                  <w:pPr>
                    <w:pStyle w:val="Compact"/>
                    <w:jc w:val="left"/>
                    <w:jc w:val="center"/>
                  </w:pPr>
                  <w:r>
                    <w:t xml:space="preserve">ADB (2017) Â§7.3; Dodgson et al. (2009) DCLG MCA Manual</w:t>
                  </w:r>
                </w:p>
              </w:tc>
            </w:tr>
            <w:tr>
              <w:tc>
                <w:tcPr/>
                <w:p>
                  <w:pPr>
                    <w:pStyle w:val="Compact"/>
                    <w:jc w:val="left"/>
                    <w:jc w:val="center"/>
                  </w:pPr>
                  <w:r>
                    <w:t xml:space="preserve">Fiscal Burden</w:t>
                  </w:r>
                </w:p>
              </w:tc>
              <w:tc>
                <w:tcPr/>
                <w:p>
                  <w:pPr>
                    <w:pStyle w:val="Compact"/>
                    <w:jc w:val="right"/>
                    <w:jc w:val="center"/>
                  </w:pPr>
                  <w:r>
                    <w:t xml:space="preserve">0.1</w:t>
                  </w:r>
                </w:p>
              </w:tc>
              <w:tc>
                <w:tcPr/>
                <w:p>
                  <w:pPr>
                    <w:pStyle w:val="Compact"/>
                    <w:jc w:val="right"/>
                    <w:jc w:val="center"/>
                  </w:pPr>
                  <w:r>
                    <w:t xml:space="preserve">0.05</w:t>
                  </w:r>
                </w:p>
              </w:tc>
              <w:tc>
                <w:tcPr/>
                <w:p>
                  <w:pPr>
                    <w:pStyle w:val="Compact"/>
                    <w:jc w:val="right"/>
                    <w:jc w:val="center"/>
                  </w:pPr>
                  <w:r>
                    <w:t xml:space="preserve">0.2</w:t>
                  </w:r>
                </w:p>
              </w:tc>
              <w:tc>
                <w:tcPr/>
                <w:p>
                  <w:pPr>
                    <w:pStyle w:val="Compact"/>
                    <w:jc w:val="left"/>
                    <w:jc w:val="center"/>
                  </w:pPr>
                  <w:r>
                    <w:t xml:space="preserve">weight</w:t>
                  </w:r>
                </w:p>
              </w:tc>
              <w:tc>
                <w:tcPr/>
                <w:p>
                  <w:pPr>
                    <w:pStyle w:val="Compact"/>
                    <w:jc w:val="left"/>
                    <w:jc w:val="center"/>
                  </w:pPr>
                  <w:r>
                    <w:t xml:space="preserve">ADB (2017) Â§7.3; Dodgson et al. (2009) DCLG MCA Manual</w:t>
                  </w:r>
                </w:p>
              </w:tc>
            </w:tr>
            <w:tr>
              <w:tc>
                <w:tcPr/>
                <w:p>
                  <w:pPr>
                    <w:pStyle w:val="Compact"/>
                    <w:jc w:val="left"/>
                    <w:jc w:val="center"/>
                  </w:pPr>
                  <w:r>
                    <w:t xml:space="preserve">Implementation Feasibility</w:t>
                  </w:r>
                </w:p>
              </w:tc>
              <w:tc>
                <w:tcPr/>
                <w:p>
                  <w:pPr>
                    <w:pStyle w:val="Compact"/>
                    <w:jc w:val="right"/>
                    <w:jc w:val="center"/>
                  </w:pPr>
                  <w:r>
                    <w:t xml:space="preserve">0.1</w:t>
                  </w:r>
                </w:p>
              </w:tc>
              <w:tc>
                <w:tcPr/>
                <w:p>
                  <w:pPr>
                    <w:pStyle w:val="Compact"/>
                    <w:jc w:val="right"/>
                    <w:jc w:val="center"/>
                  </w:pPr>
                  <w:r>
                    <w:t xml:space="preserve">0.05</w:t>
                  </w:r>
                </w:p>
              </w:tc>
              <w:tc>
                <w:tcPr/>
                <w:p>
                  <w:pPr>
                    <w:pStyle w:val="Compact"/>
                    <w:jc w:val="right"/>
                    <w:jc w:val="center"/>
                  </w:pPr>
                  <w:r>
                    <w:t xml:space="preserve">0.2</w:t>
                  </w:r>
                </w:p>
              </w:tc>
              <w:tc>
                <w:tcPr/>
                <w:p>
                  <w:pPr>
                    <w:pStyle w:val="Compact"/>
                    <w:jc w:val="left"/>
                    <w:jc w:val="center"/>
                  </w:pPr>
                  <w:r>
                    <w:t xml:space="preserve">weight</w:t>
                  </w:r>
                </w:p>
              </w:tc>
              <w:tc>
                <w:tcPr/>
                <w:p>
                  <w:pPr>
                    <w:pStyle w:val="Compact"/>
                    <w:jc w:val="left"/>
                    <w:jc w:val="center"/>
                  </w:pPr>
                  <w:r>
                    <w:t xml:space="preserve">ADB (2017) Â§7.3; Dodgson et al. (2009) DCLG MCA Manual</w:t>
                  </w:r>
                </w:p>
              </w:tc>
            </w:tr>
            <w:tr>
              <w:tc>
                <w:tcPr/>
                <w:p>
                  <w:pPr>
                    <w:pStyle w:val="Compact"/>
                    <w:jc w:val="left"/>
                    <w:jc w:val="center"/>
                  </w:pPr>
                  <w:r>
                    <w:t xml:space="preserve">Social Equity</w:t>
                  </w:r>
                </w:p>
              </w:tc>
              <w:tc>
                <w:tcPr/>
                <w:p>
                  <w:pPr>
                    <w:pStyle w:val="Compact"/>
                    <w:jc w:val="right"/>
                    <w:jc w:val="center"/>
                  </w:pPr>
                  <w:r>
                    <w:t xml:space="preserve">0.1</w:t>
                  </w:r>
                </w:p>
              </w:tc>
              <w:tc>
                <w:tcPr/>
                <w:p>
                  <w:pPr>
                    <w:pStyle w:val="Compact"/>
                    <w:jc w:val="right"/>
                    <w:jc w:val="center"/>
                  </w:pPr>
                  <w:r>
                    <w:t xml:space="preserve">0.05</w:t>
                  </w:r>
                </w:p>
              </w:tc>
              <w:tc>
                <w:tcPr/>
                <w:p>
                  <w:pPr>
                    <w:pStyle w:val="Compact"/>
                    <w:jc w:val="right"/>
                    <w:jc w:val="center"/>
                  </w:pPr>
                  <w:r>
                    <w:t xml:space="preserve">0.3</w:t>
                  </w:r>
                </w:p>
              </w:tc>
              <w:tc>
                <w:tcPr/>
                <w:p>
                  <w:pPr>
                    <w:pStyle w:val="Compact"/>
                    <w:jc w:val="left"/>
                    <w:jc w:val="center"/>
                  </w:pPr>
                  <w:r>
                    <w:t xml:space="preserve">weight</w:t>
                  </w:r>
                </w:p>
              </w:tc>
              <w:tc>
                <w:tcPr/>
                <w:p>
                  <w:pPr>
                    <w:pStyle w:val="Compact"/>
                    <w:jc w:val="left"/>
                    <w:jc w:val="center"/>
                  </w:pPr>
                  <w:r>
                    <w:t xml:space="preserve">ADB (2017) Â§7.3; Dodgson et al. (2009) DCLG MCA Manual</w:t>
                  </w:r>
                </w:p>
              </w:tc>
            </w:tr>
            <w:tr>
              <w:tc>
                <w:tcPr/>
                <w:p>
                  <w:pPr>
                    <w:pStyle w:val="Compact"/>
                    <w:jc w:val="left"/>
                    <w:jc w:val="center"/>
                  </w:pPr>
                  <w:r>
                    <w:t xml:space="preserve">Climate Resilience</w:t>
                  </w:r>
                </w:p>
              </w:tc>
              <w:tc>
                <w:tcPr/>
                <w:p>
                  <w:pPr>
                    <w:pStyle w:val="Compact"/>
                    <w:jc w:val="right"/>
                    <w:jc w:val="center"/>
                  </w:pPr>
                  <w:r>
                    <w:t xml:space="preserve">0.1</w:t>
                  </w:r>
                </w:p>
              </w:tc>
              <w:tc>
                <w:tcPr/>
                <w:p>
                  <w:pPr>
                    <w:pStyle w:val="Compact"/>
                    <w:jc w:val="right"/>
                    <w:jc w:val="center"/>
                  </w:pPr>
                  <w:r>
                    <w:t xml:space="preserve">0.05</w:t>
                  </w:r>
                </w:p>
              </w:tc>
              <w:tc>
                <w:tcPr/>
                <w:p>
                  <w:pPr>
                    <w:pStyle w:val="Compact"/>
                    <w:jc w:val="right"/>
                    <w:jc w:val="center"/>
                  </w:pPr>
                  <w:r>
                    <w:t xml:space="preserve">0.2</w:t>
                  </w:r>
                </w:p>
              </w:tc>
              <w:tc>
                <w:tcPr/>
                <w:p>
                  <w:pPr>
                    <w:pStyle w:val="Compact"/>
                    <w:jc w:val="left"/>
                    <w:jc w:val="center"/>
                  </w:pPr>
                  <w:r>
                    <w:t xml:space="preserve">weight</w:t>
                  </w:r>
                </w:p>
              </w:tc>
              <w:tc>
                <w:tcPr/>
                <w:p>
                  <w:pPr>
                    <w:pStyle w:val="Compact"/>
                    <w:jc w:val="left"/>
                    <w:jc w:val="center"/>
                  </w:pPr>
                  <w:r>
                    <w:t xml:space="preserve">ADB (2017) Â§7.3; Dodgson et al. (2009) DCLG MCA Manual</w:t>
                  </w:r>
                </w:p>
              </w:tc>
            </w:tr>
          </w:tbl>
          <w:p>
            <w:pPr>
              <w:pStyle w:val="Heading3"/>
              <w:jc w:val="center"/>
            </w:pPr>
            <w:bookmarkStart w:id="383" w:name="mca-scores-fi"/>
            <w:r>
              <w:t xml:space="preserve">14.1.41 MCA Scores FI</w:t>
            </w:r>
            <w:bookmarkEnd w:id="383"/>
          </w:p>
          <w:tbl>
            <w:tblPr>
              <w:tblStyle w:val="Table"/>
              <w:tblW w:type="pct" w:w="5000"/>
              <w:tblLayout w:type="fixed"/>
              <w:tblLook w:firstRow="1" w:lastRow="0" w:firstColumn="0" w:lastColumn="0" w:noHBand="0" w:noVBand="0" w:val="0020"/>
            </w:tblPr>
            <w:tblGrid>
              <w:gridCol w:w="1606"/>
              <w:gridCol w:w="516"/>
              <w:gridCol w:w="401"/>
              <w:gridCol w:w="459"/>
              <w:gridCol w:w="459"/>
              <w:gridCol w:w="4476"/>
            </w:tblGrid>
            <w:tr>
              <w:trPr>
                <w:tblHeader w:val="on"/>
              </w:trPr>
              <w:tc>
                <w:tcPr/>
                <w:p>
                  <w:pPr>
                    <w:pStyle w:val="Compact"/>
                    <w:jc w:val="left"/>
                    <w:jc w:val="center"/>
                  </w:pPr>
                  <w:r>
                    <w:t xml:space="preserve">Parameter</w:t>
                  </w:r>
                </w:p>
              </w:tc>
              <w:tc>
                <w:tcPr/>
                <w:p>
                  <w:pPr>
                    <w:pStyle w:val="Compact"/>
                    <w:jc w:val="right"/>
                    <w:jc w:val="center"/>
                  </w:pPr>
                  <w:r>
                    <w:t xml:space="preserve">Value</w:t>
                  </w:r>
                </w:p>
              </w:tc>
              <w:tc>
                <w:tcPr/>
                <w:p>
                  <w:pPr>
                    <w:pStyle w:val="Compact"/>
                    <w:jc w:val="right"/>
                    <w:jc w:val="center"/>
                  </w:pPr>
                  <w:r>
                    <w:t xml:space="preserve">Low</w:t>
                  </w:r>
                </w:p>
              </w:tc>
              <w:tc>
                <w:tcPr/>
                <w:p>
                  <w:pPr>
                    <w:pStyle w:val="Compact"/>
                    <w:jc w:val="right"/>
                    <w:jc w:val="center"/>
                  </w:pPr>
                  <w:r>
                    <w:t xml:space="preserve">High</w:t>
                  </w:r>
                </w:p>
              </w:tc>
              <w:tc>
                <w:tcPr/>
                <w:p>
                  <w:pPr>
                    <w:pStyle w:val="Compact"/>
                    <w:jc w:val="left"/>
                    <w:jc w:val="center"/>
                  </w:pPr>
                  <w:r>
                    <w:t xml:space="preserve">Unit</w:t>
                  </w:r>
                </w:p>
              </w:tc>
              <w:tc>
                <w:tcPr/>
                <w:p>
                  <w:pPr>
                    <w:pStyle w:val="Compact"/>
                    <w:jc w:val="left"/>
                    <w:jc w:val="center"/>
                  </w:pPr>
                  <w:r>
                    <w:t xml:space="preserve">Source</w:t>
                  </w:r>
                </w:p>
              </w:tc>
            </w:tr>
            <w:tr>
              <w:tc>
                <w:tcPr/>
                <w:p>
                  <w:pPr>
                    <w:pStyle w:val="Compact"/>
                    <w:jc w:val="left"/>
                    <w:jc w:val="center"/>
                  </w:pPr>
                  <w:r>
                    <w:t xml:space="preserve">Implementation Feasibility</w:t>
                  </w:r>
                </w:p>
              </w:tc>
              <w:tc>
                <w:tcPr/>
                <w:p>
                  <w:pPr>
                    <w:pStyle w:val="Compact"/>
                    <w:jc w:val="right"/>
                    <w:jc w:val="center"/>
                  </w:pPr>
                  <w:r>
                    <w:t xml:space="preserve">0.3</w:t>
                  </w:r>
                </w:p>
              </w:tc>
              <w:tc>
                <w:tcPr/>
                <w:p>
                  <w:pPr>
                    <w:pStyle w:val="Compact"/>
                    <w:jc w:val="right"/>
                    <w:jc w:val="center"/>
                  </w:pPr>
                  <w:r>
                    <w:t xml:space="preserve">0.15</w:t>
                  </w:r>
                </w:p>
              </w:tc>
              <w:tc>
                <w:tcPr/>
                <w:p>
                  <w:pPr>
                    <w:pStyle w:val="Compact"/>
                    <w:jc w:val="right"/>
                    <w:jc w:val="center"/>
                  </w:pPr>
                  <w:r>
                    <w:t xml:space="preserve">0.45</w:t>
                  </w:r>
                </w:p>
              </w:tc>
              <w:tc>
                <w:tcPr/>
                <w:p>
                  <w:pPr>
                    <w:pStyle w:val="Compact"/>
                    <w:jc w:val="left"/>
                    <w:jc w:val="center"/>
                  </w:pPr>
                  <w:r>
                    <w:t xml:space="preserve">score</w:t>
                  </w:r>
                </w:p>
              </w:tc>
              <w:tc>
                <w:tcPr/>
                <w:p>
                  <w:pPr>
                    <w:pStyle w:val="Compact"/>
                    <w:jc w:val="left"/>
                    <w:jc w:val="center"/>
                  </w:pPr>
                  <w:r>
                    <w:t xml:space="preserve">Expert assessment â€” cross-border cable; PPA negotiation; geopolitical risk</w:t>
                  </w:r>
                </w:p>
              </w:tc>
            </w:tr>
            <w:tr>
              <w:tc>
                <w:tcPr/>
                <w:p>
                  <w:pPr>
                    <w:pStyle w:val="Compact"/>
                    <w:jc w:val="left"/>
                    <w:jc w:val="center"/>
                  </w:pPr>
                  <w:r>
                    <w:t xml:space="preserve">Social Equity</w:t>
                  </w:r>
                </w:p>
              </w:tc>
              <w:tc>
                <w:tcPr/>
                <w:p>
                  <w:pPr>
                    <w:pStyle w:val="Compact"/>
                    <w:jc w:val="right"/>
                    <w:jc w:val="center"/>
                  </w:pPr>
                  <w:r>
                    <w:t xml:space="preserve">0.4</w:t>
                  </w:r>
                </w:p>
              </w:tc>
              <w:tc>
                <w:tcPr/>
                <w:p>
                  <w:pPr>
                    <w:pStyle w:val="Compact"/>
                    <w:jc w:val="right"/>
                    <w:jc w:val="center"/>
                  </w:pPr>
                  <w:r>
                    <w:t xml:space="preserve">0.2</w:t>
                  </w:r>
                </w:p>
              </w:tc>
              <w:tc>
                <w:tcPr/>
                <w:p>
                  <w:pPr>
                    <w:pStyle w:val="Compact"/>
                    <w:jc w:val="right"/>
                    <w:jc w:val="center"/>
                  </w:pPr>
                  <w:r>
                    <w:t xml:space="preserve">0.6</w:t>
                  </w:r>
                </w:p>
              </w:tc>
              <w:tc>
                <w:tcPr/>
                <w:p>
                  <w:pPr>
                    <w:pStyle w:val="Compact"/>
                    <w:jc w:val="left"/>
                    <w:jc w:val="center"/>
                  </w:pPr>
                  <w:r>
                    <w:t xml:space="preserve">score</w:t>
                  </w:r>
                </w:p>
              </w:tc>
              <w:tc>
                <w:tcPr/>
                <w:p>
                  <w:pPr>
                    <w:pStyle w:val="Compact"/>
                    <w:jc w:val="left"/>
                    <w:jc w:val="center"/>
                  </w:pPr>
                  <w:r>
                    <w:t xml:space="preserve">Expert assessment â€” benefits concentrated near Male cable landing</w:t>
                  </w:r>
                </w:p>
              </w:tc>
            </w:tr>
            <w:tr>
              <w:tc>
                <w:tcPr/>
                <w:p>
                  <w:pPr>
                    <w:pStyle w:val="Compact"/>
                    <w:jc w:val="left"/>
                    <w:jc w:val="center"/>
                  </w:pPr>
                  <w:r>
                    <w:t xml:space="preserve">Climate Resilience</w:t>
                  </w:r>
                </w:p>
              </w:tc>
              <w:tc>
                <w:tcPr/>
                <w:p>
                  <w:pPr>
                    <w:pStyle w:val="Compact"/>
                    <w:jc w:val="right"/>
                    <w:jc w:val="center"/>
                  </w:pPr>
                  <w:r>
                    <w:t xml:space="preserve">0.5</w:t>
                  </w:r>
                </w:p>
              </w:tc>
              <w:tc>
                <w:tcPr/>
                <w:p>
                  <w:pPr>
                    <w:pStyle w:val="Compact"/>
                    <w:jc w:val="right"/>
                    <w:jc w:val="center"/>
                  </w:pPr>
                  <w:r>
                    <w:t xml:space="preserve">0.3</w:t>
                  </w:r>
                </w:p>
              </w:tc>
              <w:tc>
                <w:tcPr/>
                <w:p>
                  <w:pPr>
                    <w:pStyle w:val="Compact"/>
                    <w:jc w:val="right"/>
                    <w:jc w:val="center"/>
                  </w:pPr>
                  <w:r>
                    <w:t xml:space="preserve">0.7</w:t>
                  </w:r>
                </w:p>
              </w:tc>
              <w:tc>
                <w:tcPr/>
                <w:p>
                  <w:pPr>
                    <w:pStyle w:val="Compact"/>
                    <w:jc w:val="left"/>
                    <w:jc w:val="center"/>
                  </w:pPr>
                  <w:r>
                    <w:t xml:space="preserve">score</w:t>
                  </w:r>
                </w:p>
              </w:tc>
              <w:tc>
                <w:tcPr/>
                <w:p>
                  <w:pPr>
                    <w:pStyle w:val="Compact"/>
                    <w:jc w:val="left"/>
                    <w:jc w:val="center"/>
                  </w:pPr>
                  <w:r>
                    <w:t xml:space="preserve">Expert assessment â€” single submarine cable = single point of failure</w:t>
                  </w:r>
                </w:p>
              </w:tc>
            </w:tr>
          </w:tbl>
          <w:p>
            <w:pPr>
              <w:pStyle w:val="Heading3"/>
              <w:jc w:val="center"/>
            </w:pPr>
            <w:bookmarkStart w:id="384" w:name="mca-scores-ng"/>
            <w:r>
              <w:t xml:space="preserve">14.1.42 MCA Scores NG</w:t>
            </w:r>
            <w:bookmarkEnd w:id="384"/>
          </w:p>
          <w:tbl>
            <w:tblPr>
              <w:tblStyle w:val="Table"/>
              <w:tblW w:type="pct" w:w="5000"/>
              <w:tblLayout w:type="fixed"/>
              <w:tblLook w:firstRow="1" w:lastRow="0" w:firstColumn="0" w:lastColumn="0" w:noHBand="0" w:noVBand="0" w:val="0020"/>
            </w:tblPr>
            <w:tblGrid>
              <w:gridCol w:w="1572"/>
              <w:gridCol w:w="505"/>
              <w:gridCol w:w="393"/>
              <w:gridCol w:w="449"/>
              <w:gridCol w:w="449"/>
              <w:gridCol w:w="4549"/>
            </w:tblGrid>
            <w:tr>
              <w:trPr>
                <w:tblHeader w:val="on"/>
              </w:trPr>
              <w:tc>
                <w:tcPr/>
                <w:p>
                  <w:pPr>
                    <w:pStyle w:val="Compact"/>
                    <w:jc w:val="left"/>
                    <w:jc w:val="center"/>
                  </w:pPr>
                  <w:r>
                    <w:t xml:space="preserve">Parameter</w:t>
                  </w:r>
                </w:p>
              </w:tc>
              <w:tc>
                <w:tcPr/>
                <w:p>
                  <w:pPr>
                    <w:pStyle w:val="Compact"/>
                    <w:jc w:val="right"/>
                    <w:jc w:val="center"/>
                  </w:pPr>
                  <w:r>
                    <w:t xml:space="preserve">Value</w:t>
                  </w:r>
                </w:p>
              </w:tc>
              <w:tc>
                <w:tcPr/>
                <w:p>
                  <w:pPr>
                    <w:pStyle w:val="Compact"/>
                    <w:jc w:val="right"/>
                    <w:jc w:val="center"/>
                  </w:pPr>
                  <w:r>
                    <w:t xml:space="preserve">Low</w:t>
                  </w:r>
                </w:p>
              </w:tc>
              <w:tc>
                <w:tcPr/>
                <w:p>
                  <w:pPr>
                    <w:pStyle w:val="Compact"/>
                    <w:jc w:val="right"/>
                    <w:jc w:val="center"/>
                  </w:pPr>
                  <w:r>
                    <w:t xml:space="preserve">High</w:t>
                  </w:r>
                </w:p>
              </w:tc>
              <w:tc>
                <w:tcPr/>
                <w:p>
                  <w:pPr>
                    <w:pStyle w:val="Compact"/>
                    <w:jc w:val="left"/>
                    <w:jc w:val="center"/>
                  </w:pPr>
                  <w:r>
                    <w:t xml:space="preserve">Unit</w:t>
                  </w:r>
                </w:p>
              </w:tc>
              <w:tc>
                <w:tcPr/>
                <w:p>
                  <w:pPr>
                    <w:pStyle w:val="Compact"/>
                    <w:jc w:val="left"/>
                    <w:jc w:val="center"/>
                  </w:pPr>
                  <w:r>
                    <w:t xml:space="preserve">Source</w:t>
                  </w:r>
                </w:p>
              </w:tc>
            </w:tr>
            <w:tr>
              <w:tc>
                <w:tcPr/>
                <w:p>
                  <w:pPr>
                    <w:pStyle w:val="Compact"/>
                    <w:jc w:val="left"/>
                    <w:jc w:val="center"/>
                  </w:pPr>
                  <w:r>
                    <w:t xml:space="preserve">Implementation Feasibility</w:t>
                  </w:r>
                </w:p>
              </w:tc>
              <w:tc>
                <w:tcPr/>
                <w:p>
                  <w:pPr>
                    <w:pStyle w:val="Compact"/>
                    <w:jc w:val="right"/>
                    <w:jc w:val="center"/>
                  </w:pPr>
                  <w:r>
                    <w:t xml:space="preserve">0.5</w:t>
                  </w:r>
                </w:p>
              </w:tc>
              <w:tc>
                <w:tcPr/>
                <w:p>
                  <w:pPr>
                    <w:pStyle w:val="Compact"/>
                    <w:jc w:val="right"/>
                    <w:jc w:val="center"/>
                  </w:pPr>
                  <w:r>
                    <w:t xml:space="preserve">0.3</w:t>
                  </w:r>
                </w:p>
              </w:tc>
              <w:tc>
                <w:tcPr/>
                <w:p>
                  <w:pPr>
                    <w:pStyle w:val="Compact"/>
                    <w:jc w:val="right"/>
                    <w:jc w:val="center"/>
                  </w:pPr>
                  <w:r>
                    <w:t xml:space="preserve">0.7</w:t>
                  </w:r>
                </w:p>
              </w:tc>
              <w:tc>
                <w:tcPr/>
                <w:p>
                  <w:pPr>
                    <w:pStyle w:val="Compact"/>
                    <w:jc w:val="left"/>
                    <w:jc w:val="center"/>
                  </w:pPr>
                  <w:r>
                    <w:t xml:space="preserve">score</w:t>
                  </w:r>
                </w:p>
              </w:tc>
              <w:tc>
                <w:tcPr/>
                <w:p>
                  <w:pPr>
                    <w:pStyle w:val="Compact"/>
                    <w:jc w:val="left"/>
                    <w:jc w:val="center"/>
                  </w:pPr>
                  <w:r>
                    <w:t xml:space="preserve">Expert assessment â€” domestic grid; distributed solar; moderate complexity</w:t>
                  </w:r>
                </w:p>
              </w:tc>
            </w:tr>
            <w:tr>
              <w:tc>
                <w:tcPr/>
                <w:p>
                  <w:pPr>
                    <w:pStyle w:val="Compact"/>
                    <w:jc w:val="left"/>
                    <w:jc w:val="center"/>
                  </w:pPr>
                  <w:r>
                    <w:t xml:space="preserve">Social Equity</w:t>
                  </w:r>
                </w:p>
              </w:tc>
              <w:tc>
                <w:tcPr/>
                <w:p>
                  <w:pPr>
                    <w:pStyle w:val="Compact"/>
                    <w:jc w:val="right"/>
                    <w:jc w:val="center"/>
                  </w:pPr>
                  <w:r>
                    <w:t xml:space="preserve">0.7</w:t>
                  </w:r>
                </w:p>
              </w:tc>
              <w:tc>
                <w:tcPr/>
                <w:p>
                  <w:pPr>
                    <w:pStyle w:val="Compact"/>
                    <w:jc w:val="right"/>
                    <w:jc w:val="center"/>
                  </w:pPr>
                  <w:r>
                    <w:t xml:space="preserve">0.5</w:t>
                  </w:r>
                </w:p>
              </w:tc>
              <w:tc>
                <w:tcPr/>
                <w:p>
                  <w:pPr>
                    <w:pStyle w:val="Compact"/>
                    <w:jc w:val="right"/>
                    <w:jc w:val="center"/>
                  </w:pPr>
                  <w:r>
                    <w:t xml:space="preserve">0.85</w:t>
                  </w:r>
                </w:p>
              </w:tc>
              <w:tc>
                <w:tcPr/>
                <w:p>
                  <w:pPr>
                    <w:pStyle w:val="Compact"/>
                    <w:jc w:val="left"/>
                    <w:jc w:val="center"/>
                  </w:pPr>
                  <w:r>
                    <w:t xml:space="preserve">score</w:t>
                  </w:r>
                </w:p>
              </w:tc>
              <w:tc>
                <w:tcPr/>
                <w:p>
                  <w:pPr>
                    <w:pStyle w:val="Compact"/>
                    <w:jc w:val="left"/>
                    <w:jc w:val="center"/>
                  </w:pPr>
                  <w:r>
                    <w:t xml:space="preserve">Expert assessment â€” grid reaches many islands via submarine cables</w:t>
                  </w:r>
                </w:p>
              </w:tc>
            </w:tr>
            <w:tr>
              <w:tc>
                <w:tcPr/>
                <w:p>
                  <w:pPr>
                    <w:pStyle w:val="Compact"/>
                    <w:jc w:val="left"/>
                    <w:jc w:val="center"/>
                  </w:pPr>
                  <w:r>
                    <w:t xml:space="preserve">Climate Resilience</w:t>
                  </w:r>
                </w:p>
              </w:tc>
              <w:tc>
                <w:tcPr/>
                <w:p>
                  <w:pPr>
                    <w:pStyle w:val="Compact"/>
                    <w:jc w:val="right"/>
                    <w:jc w:val="center"/>
                  </w:pPr>
                  <w:r>
                    <w:t xml:space="preserve">0.7</w:t>
                  </w:r>
                </w:p>
              </w:tc>
              <w:tc>
                <w:tcPr/>
                <w:p>
                  <w:pPr>
                    <w:pStyle w:val="Compact"/>
                    <w:jc w:val="right"/>
                    <w:jc w:val="center"/>
                  </w:pPr>
                  <w:r>
                    <w:t xml:space="preserve">0.5</w:t>
                  </w:r>
                </w:p>
              </w:tc>
              <w:tc>
                <w:tcPr/>
                <w:p>
                  <w:pPr>
                    <w:pStyle w:val="Compact"/>
                    <w:jc w:val="right"/>
                    <w:jc w:val="center"/>
                  </w:pPr>
                  <w:r>
                    <w:t xml:space="preserve">0.85</w:t>
                  </w:r>
                </w:p>
              </w:tc>
              <w:tc>
                <w:tcPr/>
                <w:p>
                  <w:pPr>
                    <w:pStyle w:val="Compact"/>
                    <w:jc w:val="left"/>
                    <w:jc w:val="center"/>
                  </w:pPr>
                  <w:r>
                    <w:t xml:space="preserve">score</w:t>
                  </w:r>
                </w:p>
              </w:tc>
              <w:tc>
                <w:tcPr/>
                <w:p>
                  <w:pPr>
                    <w:pStyle w:val="Compact"/>
                    <w:jc w:val="left"/>
                    <w:jc w:val="center"/>
                  </w:pPr>
                  <w:r>
                    <w:t xml:space="preserve">Expert assessment â€” domestic solar + grid redundancy; no single failure point</w:t>
                  </w:r>
                </w:p>
              </w:tc>
            </w:tr>
          </w:tbl>
          <w:p>
            <w:pPr>
              <w:pStyle w:val="Heading3"/>
              <w:jc w:val="center"/>
            </w:pPr>
            <w:bookmarkStart w:id="385" w:name="mca-scores-ig"/>
            <w:r>
              <w:t xml:space="preserve">14.1.43 MCA Scores IG</w:t>
            </w:r>
            <w:bookmarkEnd w:id="385"/>
          </w:p>
          <w:tbl>
            <w:tblPr>
              <w:tblStyle w:val="Table"/>
              <w:tblW w:type="pct" w:w="5000"/>
              <w:tblLayout w:type="fixed"/>
              <w:tblLook w:firstRow="1" w:lastRow="0" w:firstColumn="0" w:lastColumn="0" w:noHBand="0" w:noVBand="0" w:val="0020"/>
            </w:tblPr>
            <w:tblGrid>
              <w:gridCol w:w="1595"/>
              <w:gridCol w:w="512"/>
              <w:gridCol w:w="398"/>
              <w:gridCol w:w="455"/>
              <w:gridCol w:w="455"/>
              <w:gridCol w:w="4501"/>
            </w:tblGrid>
            <w:tr>
              <w:trPr>
                <w:tblHeader w:val="on"/>
              </w:trPr>
              <w:tc>
                <w:tcPr/>
                <w:p>
                  <w:pPr>
                    <w:pStyle w:val="Compact"/>
                    <w:jc w:val="left"/>
                    <w:jc w:val="center"/>
                  </w:pPr>
                  <w:r>
                    <w:t xml:space="preserve">Parameter</w:t>
                  </w:r>
                </w:p>
              </w:tc>
              <w:tc>
                <w:tcPr/>
                <w:p>
                  <w:pPr>
                    <w:pStyle w:val="Compact"/>
                    <w:jc w:val="right"/>
                    <w:jc w:val="center"/>
                  </w:pPr>
                  <w:r>
                    <w:t xml:space="preserve">Value</w:t>
                  </w:r>
                </w:p>
              </w:tc>
              <w:tc>
                <w:tcPr/>
                <w:p>
                  <w:pPr>
                    <w:pStyle w:val="Compact"/>
                    <w:jc w:val="right"/>
                    <w:jc w:val="center"/>
                  </w:pPr>
                  <w:r>
                    <w:t xml:space="preserve">Low</w:t>
                  </w:r>
                </w:p>
              </w:tc>
              <w:tc>
                <w:tcPr/>
                <w:p>
                  <w:pPr>
                    <w:pStyle w:val="Compact"/>
                    <w:jc w:val="right"/>
                    <w:jc w:val="center"/>
                  </w:pPr>
                  <w:r>
                    <w:t xml:space="preserve">High</w:t>
                  </w:r>
                </w:p>
              </w:tc>
              <w:tc>
                <w:tcPr/>
                <w:p>
                  <w:pPr>
                    <w:pStyle w:val="Compact"/>
                    <w:jc w:val="left"/>
                    <w:jc w:val="center"/>
                  </w:pPr>
                  <w:r>
                    <w:t xml:space="preserve">Unit</w:t>
                  </w:r>
                </w:p>
              </w:tc>
              <w:tc>
                <w:tcPr/>
                <w:p>
                  <w:pPr>
                    <w:pStyle w:val="Compact"/>
                    <w:jc w:val="left"/>
                    <w:jc w:val="center"/>
                  </w:pPr>
                  <w:r>
                    <w:t xml:space="preserve">Source</w:t>
                  </w:r>
                </w:p>
              </w:tc>
            </w:tr>
            <w:tr>
              <w:tc>
                <w:tcPr/>
                <w:p>
                  <w:pPr>
                    <w:pStyle w:val="Compact"/>
                    <w:jc w:val="left"/>
                    <w:jc w:val="center"/>
                  </w:pPr>
                  <w:r>
                    <w:t xml:space="preserve">Implementation Feasibility</w:t>
                  </w:r>
                </w:p>
              </w:tc>
              <w:tc>
                <w:tcPr/>
                <w:p>
                  <w:pPr>
                    <w:pStyle w:val="Compact"/>
                    <w:jc w:val="right"/>
                    <w:jc w:val="center"/>
                  </w:pPr>
                  <w:r>
                    <w:t xml:space="preserve">0.8</w:t>
                  </w:r>
                </w:p>
              </w:tc>
              <w:tc>
                <w:tcPr/>
                <w:p>
                  <w:pPr>
                    <w:pStyle w:val="Compact"/>
                    <w:jc w:val="right"/>
                    <w:jc w:val="center"/>
                  </w:pPr>
                  <w:r>
                    <w:t xml:space="preserve">0.6</w:t>
                  </w:r>
                </w:p>
              </w:tc>
              <w:tc>
                <w:tcPr/>
                <w:p>
                  <w:pPr>
                    <w:pStyle w:val="Compact"/>
                    <w:jc w:val="right"/>
                    <w:jc w:val="center"/>
                  </w:pPr>
                  <w:r>
                    <w:t xml:space="preserve">0.95</w:t>
                  </w:r>
                </w:p>
              </w:tc>
              <w:tc>
                <w:tcPr/>
                <w:p>
                  <w:pPr>
                    <w:pStyle w:val="Compact"/>
                    <w:jc w:val="left"/>
                    <w:jc w:val="center"/>
                  </w:pPr>
                  <w:r>
                    <w:t xml:space="preserve">score</w:t>
                  </w:r>
                </w:p>
              </w:tc>
              <w:tc>
                <w:tcPr/>
                <w:p>
                  <w:pPr>
                    <w:pStyle w:val="Compact"/>
                    <w:jc w:val="left"/>
                    <w:jc w:val="center"/>
                  </w:pPr>
                  <w:r>
                    <w:t xml:space="preserve">Expert assessment â€” modular island-by-island deployment; no grid dependency</w:t>
                  </w:r>
                </w:p>
              </w:tc>
            </w:tr>
            <w:tr>
              <w:tc>
                <w:tcPr/>
                <w:p>
                  <w:pPr>
                    <w:pStyle w:val="Compact"/>
                    <w:jc w:val="left"/>
                    <w:jc w:val="center"/>
                  </w:pPr>
                  <w:r>
                    <w:t xml:space="preserve">Social Equity</w:t>
                  </w:r>
                </w:p>
              </w:tc>
              <w:tc>
                <w:tcPr/>
                <w:p>
                  <w:pPr>
                    <w:pStyle w:val="Compact"/>
                    <w:jc w:val="right"/>
                    <w:jc w:val="center"/>
                  </w:pPr>
                  <w:r>
                    <w:t xml:space="preserve">0.9</w:t>
                  </w:r>
                </w:p>
              </w:tc>
              <w:tc>
                <w:tcPr/>
                <w:p>
                  <w:pPr>
                    <w:pStyle w:val="Compact"/>
                    <w:jc w:val="right"/>
                    <w:jc w:val="center"/>
                  </w:pPr>
                  <w:r>
                    <w:t xml:space="preserve">0.7</w:t>
                  </w:r>
                </w:p>
              </w:tc>
              <w:tc>
                <w:tcPr/>
                <w:p>
                  <w:pPr>
                    <w:pStyle w:val="Compact"/>
                    <w:jc w:val="right"/>
                    <w:jc w:val="center"/>
                  </w:pPr>
                  <w:r>
                    <w:t xml:space="preserve">1</w:t>
                  </w:r>
                </w:p>
              </w:tc>
              <w:tc>
                <w:tcPr/>
                <w:p>
                  <w:pPr>
                    <w:pStyle w:val="Compact"/>
                    <w:jc w:val="left"/>
                    <w:jc w:val="center"/>
                  </w:pPr>
                  <w:r>
                    <w:t xml:space="preserve">score</w:t>
                  </w:r>
                </w:p>
              </w:tc>
              <w:tc>
                <w:tcPr/>
                <w:p>
                  <w:pPr>
                    <w:pStyle w:val="Compact"/>
                    <w:jc w:val="left"/>
                    <w:jc w:val="center"/>
                  </w:pPr>
                  <w:r>
                    <w:t xml:space="preserve">Expert assessment â€” every island gets own RE system; most equitable</w:t>
                  </w:r>
                </w:p>
              </w:tc>
            </w:tr>
            <w:tr>
              <w:tc>
                <w:tcPr/>
                <w:p>
                  <w:pPr>
                    <w:pStyle w:val="Compact"/>
                    <w:jc w:val="left"/>
                    <w:jc w:val="center"/>
                  </w:pPr>
                  <w:r>
                    <w:t xml:space="preserve">Climate Resilience</w:t>
                  </w:r>
                </w:p>
              </w:tc>
              <w:tc>
                <w:tcPr/>
                <w:p>
                  <w:pPr>
                    <w:pStyle w:val="Compact"/>
                    <w:jc w:val="right"/>
                    <w:jc w:val="center"/>
                  </w:pPr>
                  <w:r>
                    <w:t xml:space="preserve">0.8</w:t>
                  </w:r>
                </w:p>
              </w:tc>
              <w:tc>
                <w:tcPr/>
                <w:p>
                  <w:pPr>
                    <w:pStyle w:val="Compact"/>
                    <w:jc w:val="right"/>
                    <w:jc w:val="center"/>
                  </w:pPr>
                  <w:r>
                    <w:t xml:space="preserve">0.6</w:t>
                  </w:r>
                </w:p>
              </w:tc>
              <w:tc>
                <w:tcPr/>
                <w:p>
                  <w:pPr>
                    <w:pStyle w:val="Compact"/>
                    <w:jc w:val="right"/>
                    <w:jc w:val="center"/>
                  </w:pPr>
                  <w:r>
                    <w:t xml:space="preserve">0.95</w:t>
                  </w:r>
                </w:p>
              </w:tc>
              <w:tc>
                <w:tcPr/>
                <w:p>
                  <w:pPr>
                    <w:pStyle w:val="Compact"/>
                    <w:jc w:val="left"/>
                    <w:jc w:val="center"/>
                  </w:pPr>
                  <w:r>
                    <w:t xml:space="preserve">score</w:t>
                  </w:r>
                </w:p>
              </w:tc>
              <w:tc>
                <w:tcPr/>
                <w:p>
                  <w:pPr>
                    <w:pStyle w:val="Compact"/>
                    <w:jc w:val="left"/>
                    <w:jc w:val="center"/>
                  </w:pPr>
                  <w:r>
                    <w:t xml:space="preserve">Expert assessment â€” fully distributed; no cable or grid dependency</w:t>
                  </w:r>
                </w:p>
              </w:tc>
            </w:tr>
          </w:tbl>
          <w:p>
            <w:pPr>
              <w:pStyle w:val="Heading3"/>
              <w:jc w:val="center"/>
            </w:pPr>
            <w:bookmarkStart w:id="386" w:name="transport-fleet"/>
            <w:r>
              <w:t xml:space="preserve">14.1.44 Transport Fleet</w:t>
            </w:r>
            <w:bookmarkEnd w:id="386"/>
          </w:p>
          <w:tbl>
            <w:tblPr>
              <w:tblStyle w:val="Table"/>
              <w:tblW w:type="pct" w:w="5000"/>
              <w:tblLayout w:type="fixed"/>
              <w:tblLook w:firstRow="1" w:lastRow="0" w:firstColumn="0" w:lastColumn="0" w:noHBand="0" w:noVBand="0" w:val="0020"/>
            </w:tblPr>
            <w:tblGrid>
              <w:gridCol w:w="1279"/>
              <w:gridCol w:w="670"/>
              <w:gridCol w:w="670"/>
              <w:gridCol w:w="670"/>
              <w:gridCol w:w="609"/>
              <w:gridCol w:w="4020"/>
            </w:tblGrid>
            <w:tr>
              <w:trPr>
                <w:tblHeader w:val="on"/>
              </w:trPr>
              <w:tc>
                <w:tcPr/>
                <w:p>
                  <w:pPr>
                    <w:pStyle w:val="Compact"/>
                    <w:jc w:val="left"/>
                    <w:jc w:val="center"/>
                  </w:pPr>
                  <w:r>
                    <w:t xml:space="preserve">Parameter</w:t>
                  </w:r>
                </w:p>
              </w:tc>
              <w:tc>
                <w:tcPr/>
                <w:p>
                  <w:pPr>
                    <w:pStyle w:val="Compact"/>
                    <w:jc w:val="right"/>
                    <w:jc w:val="center"/>
                  </w:pPr>
                  <w:r>
                    <w:t xml:space="preserve">Value</w:t>
                  </w:r>
                </w:p>
              </w:tc>
              <w:tc>
                <w:tcPr/>
                <w:p>
                  <w:pPr>
                    <w:pStyle w:val="Compact"/>
                    <w:jc w:val="right"/>
                    <w:jc w:val="center"/>
                  </w:pPr>
                  <w:r>
                    <w:t xml:space="preserve">Low</w:t>
                  </w:r>
                </w:p>
              </w:tc>
              <w:tc>
                <w:tcPr/>
                <w:p>
                  <w:pPr>
                    <w:pStyle w:val="Compact"/>
                    <w:jc w:val="right"/>
                    <w:jc w:val="center"/>
                  </w:pPr>
                  <w:r>
                    <w:t xml:space="preserve">High</w:t>
                  </w:r>
                </w:p>
              </w:tc>
              <w:tc>
                <w:tcPr/>
                <w:p>
                  <w:pPr>
                    <w:pStyle w:val="Compact"/>
                    <w:jc w:val="left"/>
                    <w:jc w:val="center"/>
                  </w:pPr>
                  <w:r>
                    <w:t xml:space="preserve">Unit</w:t>
                  </w:r>
                </w:p>
              </w:tc>
              <w:tc>
                <w:tcPr/>
                <w:p>
                  <w:pPr>
                    <w:pStyle w:val="Compact"/>
                    <w:jc w:val="left"/>
                    <w:jc w:val="center"/>
                  </w:pPr>
                  <w:r>
                    <w:t xml:space="preserve">Source</w:t>
                  </w:r>
                </w:p>
              </w:tc>
            </w:tr>
            <w:tr>
              <w:tc>
                <w:tcPr/>
                <w:p>
                  <w:pPr>
                    <w:pStyle w:val="Compact"/>
                    <w:jc w:val="left"/>
                    <w:jc w:val="center"/>
                  </w:pPr>
                  <w:r>
                    <w:t xml:space="preserve">Total Vehicles 2026</w:t>
                  </w:r>
                </w:p>
              </w:tc>
              <w:tc>
                <w:tcPr/>
                <w:p>
                  <w:pPr>
                    <w:pStyle w:val="Compact"/>
                    <w:jc w:val="right"/>
                    <w:jc w:val="center"/>
                  </w:pPr>
                  <w:r>
                    <w:t xml:space="preserve">131000</w:t>
                  </w:r>
                </w:p>
              </w:tc>
              <w:tc>
                <w:tcPr/>
                <w:p>
                  <w:pPr>
                    <w:pStyle w:val="Compact"/>
                    <w:jc w:val="right"/>
                    <w:jc w:val="center"/>
                  </w:pPr>
                  <w:r>
                    <w:t xml:space="preserve">110000</w:t>
                  </w:r>
                </w:p>
              </w:tc>
              <w:tc>
                <w:tcPr/>
                <w:p>
                  <w:pPr>
                    <w:pStyle w:val="Compact"/>
                    <w:jc w:val="right"/>
                    <w:jc w:val="center"/>
                  </w:pPr>
                  <w:r>
                    <w:t xml:space="preserve">150000</w:t>
                  </w:r>
                </w:p>
              </w:tc>
              <w:tc>
                <w:tcPr/>
                <w:p>
                  <w:pPr>
                    <w:pStyle w:val="Compact"/>
                    <w:jc w:val="left"/>
                    <w:jc w:val="center"/>
                  </w:pPr>
                  <w:r>
                    <w:t xml:space="preserve">vehicles</w:t>
                  </w:r>
                </w:p>
              </w:tc>
              <w:tc>
                <w:tcPr/>
                <w:p>
                  <w:pPr>
                    <w:pStyle w:val="Compact"/>
                    <w:jc w:val="left"/>
                    <w:jc w:val="center"/>
                  </w:pPr>
                  <w:r>
                    <w:t xml:space="preserve">MalÃ© City Council / World Bank (2022); gathunkaaru.com (2024)</w:t>
                  </w:r>
                </w:p>
              </w:tc>
            </w:tr>
            <w:tr>
              <w:tc>
                <w:tcPr/>
                <w:p>
                  <w:pPr>
                    <w:pStyle w:val="Compact"/>
                    <w:jc w:val="left"/>
                    <w:jc w:val="center"/>
                  </w:pPr>
                  <w:r>
                    <w:t xml:space="preserve">Motorcycle Share</w:t>
                  </w:r>
                </w:p>
              </w:tc>
              <w:tc>
                <w:tcPr/>
                <w:p>
                  <w:pPr>
                    <w:pStyle w:val="Compact"/>
                    <w:jc w:val="right"/>
                    <w:jc w:val="center"/>
                  </w:pPr>
                  <w:r>
                    <w:t xml:space="preserve">0.92</w:t>
                  </w:r>
                </w:p>
              </w:tc>
              <w:tc>
                <w:tcPr/>
                <w:p>
                  <w:pPr>
                    <w:pStyle w:val="Compact"/>
                    <w:jc w:val="right"/>
                    <w:jc w:val="center"/>
                  </w:pPr>
                  <w:r>
                    <w:t xml:space="preserve">0.88</w:t>
                  </w:r>
                </w:p>
              </w:tc>
              <w:tc>
                <w:tcPr/>
                <w:p>
                  <w:pPr>
                    <w:pStyle w:val="Compact"/>
                    <w:jc w:val="right"/>
                    <w:jc w:val="center"/>
                  </w:pPr>
                  <w:r>
                    <w:t xml:space="preserve">0.95</w:t>
                  </w:r>
                </w:p>
              </w:tc>
              <w:tc>
                <w:tcPr/>
                <w:p>
                  <w:pPr>
                    <w:pStyle w:val="Compact"/>
                    <w:jc w:val="left"/>
                    <w:jc w:val="center"/>
                  </w:pPr>
                  <w:r>
                    <w:t xml:space="preserve">ratio</w:t>
                  </w:r>
                </w:p>
              </w:tc>
              <w:tc>
                <w:tcPr/>
                <w:p>
                  <w:pPr>
                    <w:pStyle w:val="Compact"/>
                    <w:jc w:val="left"/>
                    <w:jc w:val="center"/>
                  </w:pPr>
                  <w:r>
                    <w:t xml:space="preserve">edition.mv / gathunkaaru.com (2024) â€” 92% motorcycles</w:t>
                  </w:r>
                </w:p>
              </w:tc>
            </w:tr>
            <w:tr>
              <w:tc>
                <w:tcPr/>
                <w:p>
                  <w:pPr>
                    <w:pStyle w:val="Compact"/>
                    <w:jc w:val="left"/>
                    <w:jc w:val="center"/>
                  </w:pPr>
                  <w:r>
                    <w:t xml:space="preserve">EV Share 2026</w:t>
                  </w:r>
                </w:p>
              </w:tc>
              <w:tc>
                <w:tcPr/>
                <w:p>
                  <w:pPr>
                    <w:pStyle w:val="Compact"/>
                    <w:jc w:val="right"/>
                    <w:jc w:val="center"/>
                  </w:pPr>
                  <w:r>
                    <w:t xml:space="preserve">0.04</w:t>
                  </w:r>
                </w:p>
              </w:tc>
              <w:tc>
                <w:tcPr/>
                <w:p>
                  <w:pPr>
                    <w:pStyle w:val="Compact"/>
                    <w:jc w:val="right"/>
                    <w:jc w:val="center"/>
                  </w:pPr>
                  <w:r>
                    <w:t xml:space="preserve">0.02</w:t>
                  </w:r>
                </w:p>
              </w:tc>
              <w:tc>
                <w:tcPr/>
                <w:p>
                  <w:pPr>
                    <w:pStyle w:val="Compact"/>
                    <w:jc w:val="right"/>
                    <w:jc w:val="center"/>
                  </w:pPr>
                  <w:r>
                    <w:t xml:space="preserve">0.06</w:t>
                  </w:r>
                </w:p>
              </w:tc>
              <w:tc>
                <w:tcPr/>
                <w:p>
                  <w:pPr>
                    <w:pStyle w:val="Compact"/>
                    <w:jc w:val="left"/>
                    <w:jc w:val="center"/>
                  </w:pPr>
                  <w:r>
                    <w:t xml:space="preserve">ratio</w:t>
                  </w:r>
                </w:p>
              </w:tc>
              <w:tc>
                <w:tcPr/>
                <w:p>
                  <w:pPr>
                    <w:pStyle w:val="Compact"/>
                    <w:jc w:val="left"/>
                    <w:jc w:val="center"/>
                  </w:pPr>
                  <w:r>
                    <w:t xml:space="preserve">gathunkaaru.com (2024) â€” ~5240 EVs mostly e-bicycles/tricycles</w:t>
                  </w:r>
                </w:p>
              </w:tc>
            </w:tr>
            <w:tr>
              <w:tc>
                <w:tcPr/>
                <w:p>
                  <w:pPr>
                    <w:pStyle w:val="Compact"/>
                    <w:jc w:val="left"/>
                    <w:jc w:val="center"/>
                  </w:pPr>
                  <w:r>
                    <w:t xml:space="preserve">Fleet Growth Rate</w:t>
                  </w:r>
                </w:p>
              </w:tc>
              <w:tc>
                <w:tcPr/>
                <w:p>
                  <w:pPr>
                    <w:pStyle w:val="Compact"/>
                    <w:jc w:val="right"/>
                    <w:jc w:val="center"/>
                  </w:pPr>
                  <w:r>
                    <w:t xml:space="preserve">0.03</w:t>
                  </w:r>
                </w:p>
              </w:tc>
              <w:tc>
                <w:tcPr/>
                <w:p>
                  <w:pPr>
                    <w:pStyle w:val="Compact"/>
                    <w:jc w:val="right"/>
                    <w:jc w:val="center"/>
                  </w:pPr>
                  <w:r>
                    <w:t xml:space="preserve">0.02</w:t>
                  </w:r>
                </w:p>
              </w:tc>
              <w:tc>
                <w:tcPr/>
                <w:p>
                  <w:pPr>
                    <w:pStyle w:val="Compact"/>
                    <w:jc w:val="right"/>
                    <w:jc w:val="center"/>
                  </w:pPr>
                  <w:r>
                    <w:t xml:space="preserve">0.05</w:t>
                  </w:r>
                </w:p>
              </w:tc>
              <w:tc>
                <w:tcPr/>
                <w:p>
                  <w:pPr>
                    <w:pStyle w:val="Compact"/>
                    <w:jc w:val="left"/>
                    <w:jc w:val="center"/>
                  </w:pPr>
                  <w:r>
                    <w:t xml:space="preserve">%/yr</w:t>
                  </w:r>
                </w:p>
              </w:tc>
              <w:tc>
                <w:tcPr/>
                <w:p>
                  <w:pPr>
                    <w:pStyle w:val="Compact"/>
                    <w:jc w:val="left"/>
                    <w:jc w:val="center"/>
                  </w:pPr>
                  <w:r>
                    <w:t xml:space="preserve">World Bank WDI (2022) â€” Maldives vehicle registration growth</w:t>
                  </w:r>
                </w:p>
              </w:tc>
            </w:tr>
          </w:tbl>
          <w:p>
            <w:pPr>
              <w:pStyle w:val="Heading3"/>
              <w:jc w:val="center"/>
            </w:pPr>
            <w:bookmarkStart w:id="387" w:name="transport-ev"/>
            <w:r>
              <w:t xml:space="preserve">14.1.45 Transport EV</w:t>
            </w:r>
            <w:bookmarkEnd w:id="387"/>
          </w:p>
          <w:tbl>
            <w:tblPr>
              <w:tblStyle w:val="Table"/>
              <w:tblW w:type="pct" w:w="5000"/>
              <w:tblLayout w:type="fixed"/>
              <w:tblLook w:firstRow="1" w:lastRow="0" w:firstColumn="0" w:lastColumn="0" w:noHBand="0" w:noVBand="0" w:val="0020"/>
            </w:tblPr>
            <w:tblGrid>
              <w:gridCol w:w="1401"/>
              <w:gridCol w:w="548"/>
              <w:gridCol w:w="548"/>
              <w:gridCol w:w="548"/>
              <w:gridCol w:w="487"/>
              <w:gridCol w:w="4386"/>
            </w:tblGrid>
            <w:tr>
              <w:trPr>
                <w:tblHeader w:val="on"/>
              </w:trPr>
              <w:tc>
                <w:tcPr/>
                <w:p>
                  <w:pPr>
                    <w:pStyle w:val="Compact"/>
                    <w:jc w:val="left"/>
                    <w:jc w:val="center"/>
                  </w:pPr>
                  <w:r>
                    <w:t xml:space="preserve">Parameter</w:t>
                  </w:r>
                </w:p>
              </w:tc>
              <w:tc>
                <w:tcPr/>
                <w:p>
                  <w:pPr>
                    <w:pStyle w:val="Compact"/>
                    <w:jc w:val="right"/>
                    <w:jc w:val="center"/>
                  </w:pPr>
                  <w:r>
                    <w:t xml:space="preserve">Value</w:t>
                  </w:r>
                </w:p>
              </w:tc>
              <w:tc>
                <w:tcPr/>
                <w:p>
                  <w:pPr>
                    <w:pStyle w:val="Compact"/>
                    <w:jc w:val="right"/>
                    <w:jc w:val="center"/>
                  </w:pPr>
                  <w:r>
                    <w:t xml:space="preserve">Low</w:t>
                  </w:r>
                </w:p>
              </w:tc>
              <w:tc>
                <w:tcPr/>
                <w:p>
                  <w:pPr>
                    <w:pStyle w:val="Compact"/>
                    <w:jc w:val="right"/>
                    <w:jc w:val="center"/>
                  </w:pPr>
                  <w:r>
                    <w:t xml:space="preserve">High</w:t>
                  </w:r>
                </w:p>
              </w:tc>
              <w:tc>
                <w:tcPr/>
                <w:p>
                  <w:pPr>
                    <w:pStyle w:val="Compact"/>
                    <w:jc w:val="left"/>
                    <w:jc w:val="center"/>
                  </w:pPr>
                  <w:r>
                    <w:t xml:space="preserve">Unit</w:t>
                  </w:r>
                </w:p>
              </w:tc>
              <w:tc>
                <w:tcPr/>
                <w:p>
                  <w:pPr>
                    <w:pStyle w:val="Compact"/>
                    <w:jc w:val="left"/>
                    <w:jc w:val="center"/>
                  </w:pPr>
                  <w:r>
                    <w:t xml:space="preserve">Source</w:t>
                  </w:r>
                </w:p>
              </w:tc>
            </w:tr>
            <w:tr>
              <w:tc>
                <w:tcPr/>
                <w:p>
                  <w:pPr>
                    <w:pStyle w:val="Compact"/>
                    <w:jc w:val="left"/>
                    <w:jc w:val="center"/>
                  </w:pPr>
                  <w:r>
                    <w:t xml:space="preserve">EV Target Low 2056</w:t>
                  </w:r>
                </w:p>
              </w:tc>
              <w:tc>
                <w:tcPr/>
                <w:p>
                  <w:pPr>
                    <w:pStyle w:val="Compact"/>
                    <w:jc w:val="right"/>
                    <w:jc w:val="center"/>
                  </w:pPr>
                  <w:r>
                    <w:t xml:space="preserve">0.3</w:t>
                  </w:r>
                </w:p>
              </w:tc>
              <w:tc>
                <w:tcPr/>
                <w:p>
                  <w:pPr>
                    <w:pStyle w:val="Compact"/>
                    <w:jc w:val="right"/>
                    <w:jc w:val="center"/>
                  </w:pPr>
                  <w:r>
                    <w:t xml:space="preserve">0.15</w:t>
                  </w:r>
                </w:p>
              </w:tc>
              <w:tc>
                <w:tcPr/>
                <w:p>
                  <w:pPr>
                    <w:pStyle w:val="Compact"/>
                    <w:jc w:val="right"/>
                    <w:jc w:val="center"/>
                  </w:pPr>
                  <w:r>
                    <w:t xml:space="preserve">0.4</w:t>
                  </w:r>
                </w:p>
              </w:tc>
              <w:tc>
                <w:tcPr/>
                <w:p>
                  <w:pPr>
                    <w:pStyle w:val="Compact"/>
                    <w:jc w:val="left"/>
                    <w:jc w:val="center"/>
                  </w:pPr>
                  <w:r>
                    <w:t xml:space="preserve">ratio</w:t>
                  </w:r>
                </w:p>
              </w:tc>
              <w:tc>
                <w:tcPr/>
                <w:p>
                  <w:pPr>
                    <w:pStyle w:val="Compact"/>
                    <w:jc w:val="left"/>
                    <w:jc w:val="center"/>
                  </w:pPr>
                  <w:r>
                    <w:t xml:space="preserve">ESMAP TA (2024); conservative SIDS uptake â€” limited charging infra</w:t>
                  </w:r>
                </w:p>
              </w:tc>
            </w:tr>
            <w:tr>
              <w:tc>
                <w:tcPr/>
                <w:p>
                  <w:pPr>
                    <w:pStyle w:val="Compact"/>
                    <w:jc w:val="left"/>
                    <w:jc w:val="center"/>
                  </w:pPr>
                  <w:r>
                    <w:t xml:space="preserve">EV Target Medium 2056</w:t>
                  </w:r>
                </w:p>
              </w:tc>
              <w:tc>
                <w:tcPr/>
                <w:p>
                  <w:pPr>
                    <w:pStyle w:val="Compact"/>
                    <w:jc w:val="right"/>
                    <w:jc w:val="center"/>
                  </w:pPr>
                  <w:r>
                    <w:t xml:space="preserve">0.6</w:t>
                  </w:r>
                </w:p>
              </w:tc>
              <w:tc>
                <w:tcPr/>
                <w:p>
                  <w:pPr>
                    <w:pStyle w:val="Compact"/>
                    <w:jc w:val="right"/>
                    <w:jc w:val="center"/>
                  </w:pPr>
                  <w:r>
                    <w:t xml:space="preserve">0.45</w:t>
                  </w:r>
                </w:p>
              </w:tc>
              <w:tc>
                <w:tcPr/>
                <w:p>
                  <w:pPr>
                    <w:pStyle w:val="Compact"/>
                    <w:jc w:val="right"/>
                    <w:jc w:val="center"/>
                  </w:pPr>
                  <w:r>
                    <w:t xml:space="preserve">0.7</w:t>
                  </w:r>
                </w:p>
              </w:tc>
              <w:tc>
                <w:tcPr/>
                <w:p>
                  <w:pPr>
                    <w:pStyle w:val="Compact"/>
                    <w:jc w:val="left"/>
                    <w:jc w:val="center"/>
                  </w:pPr>
                  <w:r>
                    <w:t xml:space="preserve">ratio</w:t>
                  </w:r>
                </w:p>
              </w:tc>
              <w:tc>
                <w:tcPr/>
                <w:p>
                  <w:pPr>
                    <w:pStyle w:val="Compact"/>
                    <w:jc w:val="left"/>
                    <w:jc w:val="center"/>
                  </w:pPr>
                  <w:r>
                    <w:t xml:space="preserve">NDC 2022 implied pathway; UNDP/MOTCA pilot scaling</w:t>
                  </w:r>
                </w:p>
              </w:tc>
            </w:tr>
            <w:tr>
              <w:tc>
                <w:tcPr/>
                <w:p>
                  <w:pPr>
                    <w:pStyle w:val="Compact"/>
                    <w:jc w:val="left"/>
                    <w:jc w:val="center"/>
                  </w:pPr>
                  <w:r>
                    <w:t xml:space="preserve">EV Target High 2056</w:t>
                  </w:r>
                </w:p>
              </w:tc>
              <w:tc>
                <w:tcPr/>
                <w:p>
                  <w:pPr>
                    <w:pStyle w:val="Compact"/>
                    <w:jc w:val="right"/>
                    <w:jc w:val="center"/>
                  </w:pPr>
                  <w:r>
                    <w:t xml:space="preserve">0.85</w:t>
                  </w:r>
                </w:p>
              </w:tc>
              <w:tc>
                <w:tcPr/>
                <w:p>
                  <w:pPr>
                    <w:pStyle w:val="Compact"/>
                    <w:jc w:val="right"/>
                    <w:jc w:val="center"/>
                  </w:pPr>
                  <w:r>
                    <w:t xml:space="preserve">0.7</w:t>
                  </w:r>
                </w:p>
              </w:tc>
              <w:tc>
                <w:tcPr/>
                <w:p>
                  <w:pPr>
                    <w:pStyle w:val="Compact"/>
                    <w:jc w:val="right"/>
                    <w:jc w:val="center"/>
                  </w:pPr>
                  <w:r>
                    <w:t xml:space="preserve">0.95</w:t>
                  </w:r>
                </w:p>
              </w:tc>
              <w:tc>
                <w:tcPr/>
                <w:p>
                  <w:pPr>
                    <w:pStyle w:val="Compact"/>
                    <w:jc w:val="left"/>
                    <w:jc w:val="center"/>
                  </w:pPr>
                  <w:r>
                    <w:t xml:space="preserve">ratio</w:t>
                  </w:r>
                </w:p>
              </w:tc>
              <w:tc>
                <w:tcPr/>
                <w:p>
                  <w:pPr>
                    <w:pStyle w:val="Compact"/>
                    <w:jc w:val="left"/>
                    <w:jc w:val="center"/>
                  </w:pPr>
                  <w:r>
                    <w:t xml:space="preserve">Aggressive NDC target; full STELCO charging rollout assumed</w:t>
                  </w:r>
                </w:p>
              </w:tc>
            </w:tr>
            <w:tr>
              <w:tc>
                <w:tcPr/>
                <w:p>
                  <w:pPr>
                    <w:pStyle w:val="Compact"/>
                    <w:jc w:val="left"/>
                    <w:jc w:val="center"/>
                  </w:pPr>
                  <w:r>
                    <w:t xml:space="preserve">EV Adoption Midpoint</w:t>
                  </w:r>
                </w:p>
              </w:tc>
              <w:tc>
                <w:tcPr/>
                <w:p>
                  <w:pPr>
                    <w:pStyle w:val="Compact"/>
                    <w:jc w:val="right"/>
                    <w:jc w:val="center"/>
                  </w:pPr>
                  <w:r>
                    <w:t xml:space="preserve">2038</w:t>
                  </w:r>
                </w:p>
              </w:tc>
              <w:tc>
                <w:tcPr/>
                <w:p>
                  <w:pPr>
                    <w:pStyle w:val="Compact"/>
                    <w:jc w:val="right"/>
                    <w:jc w:val="center"/>
                  </w:pPr>
                  <w:r>
                    <w:t xml:space="preserve">2034</w:t>
                  </w:r>
                </w:p>
              </w:tc>
              <w:tc>
                <w:tcPr/>
                <w:p>
                  <w:pPr>
                    <w:pStyle w:val="Compact"/>
                    <w:jc w:val="right"/>
                    <w:jc w:val="center"/>
                  </w:pPr>
                  <w:r>
                    <w:t xml:space="preserve">2042</w:t>
                  </w:r>
                </w:p>
              </w:tc>
              <w:tc>
                <w:tcPr/>
                <w:p>
                  <w:pPr>
                    <w:pStyle w:val="Compact"/>
                    <w:jc w:val="left"/>
                    <w:jc w:val="center"/>
                  </w:pPr>
                  <w:r>
                    <w:t xml:space="preserve">year</w:t>
                  </w:r>
                </w:p>
              </w:tc>
              <w:tc>
                <w:tcPr/>
                <w:p>
                  <w:pPr>
                    <w:pStyle w:val="Compact"/>
                    <w:jc w:val="left"/>
                    <w:jc w:val="center"/>
                  </w:pPr>
                  <w:r>
                    <w:t xml:space="preserve">Logistic midpoint; S-curve inflection â€” ESMAP/UNDP projections</w:t>
                  </w:r>
                </w:p>
              </w:tc>
            </w:tr>
            <w:tr>
              <w:tc>
                <w:tcPr/>
                <w:p>
                  <w:pPr>
                    <w:pStyle w:val="Compact"/>
                    <w:jc w:val="left"/>
                    <w:jc w:val="center"/>
                  </w:pPr>
                  <w:r>
                    <w:t xml:space="preserve">EV Adoption Steepness</w:t>
                  </w:r>
                </w:p>
              </w:tc>
              <w:tc>
                <w:tcPr/>
                <w:p>
                  <w:pPr>
                    <w:pStyle w:val="Compact"/>
                    <w:jc w:val="right"/>
                    <w:jc w:val="center"/>
                  </w:pPr>
                  <w:r>
                    <w:t xml:space="preserve">0.25</w:t>
                  </w:r>
                </w:p>
              </w:tc>
              <w:tc>
                <w:tcPr/>
                <w:p>
                  <w:pPr>
                    <w:pStyle w:val="Compact"/>
                    <w:jc w:val="right"/>
                    <w:jc w:val="center"/>
                  </w:pPr>
                  <w:r>
                    <w:t xml:space="preserve">0.15</w:t>
                  </w:r>
                </w:p>
              </w:tc>
              <w:tc>
                <w:tcPr/>
                <w:p>
                  <w:pPr>
                    <w:pStyle w:val="Compact"/>
                    <w:jc w:val="right"/>
                    <w:jc w:val="center"/>
                  </w:pPr>
                  <w:r>
                    <w:t xml:space="preserve">0.4</w:t>
                  </w:r>
                </w:p>
              </w:tc>
              <w:tc>
                <w:tcPr/>
                <w:p>
                  <w:pPr>
                    <w:pStyle w:val="Compact"/>
                    <w:jc w:val="left"/>
                    <w:jc w:val="center"/>
                  </w:pPr>
                  <w:r>
                    <w:t xml:space="preserve">1/yr</w:t>
                  </w:r>
                </w:p>
              </w:tc>
              <w:tc>
                <w:tcPr/>
                <w:p>
                  <w:pPr>
                    <w:pStyle w:val="Compact"/>
                    <w:jc w:val="left"/>
                    <w:jc w:val="center"/>
                  </w:pPr>
                  <w:r>
                    <w:t xml:space="preserve">Standard logistic steepness for technology diffusion; Griliches (1957)</w:t>
                  </w:r>
                </w:p>
              </w:tc>
            </w:tr>
          </w:tbl>
          <w:p>
            <w:pPr>
              <w:pStyle w:val="Heading3"/>
              <w:jc w:val="center"/>
            </w:pPr>
            <w:bookmarkStart w:id="388" w:name="transport-energy"/>
            <w:r>
              <w:t xml:space="preserve">14.1.46 Transport Energy</w:t>
            </w:r>
            <w:bookmarkEnd w:id="388"/>
          </w:p>
          <w:tbl>
            <w:tblPr>
              <w:tblStyle w:val="Table"/>
              <w:tblW w:type="pct" w:w="5000"/>
              <w:tblLayout w:type="fixed"/>
              <w:tblLook w:firstRow="1" w:lastRow="0" w:firstColumn="0" w:lastColumn="0" w:noHBand="0" w:noVBand="0" w:val="0020"/>
            </w:tblPr>
            <w:tblGrid>
              <w:gridCol w:w="1523"/>
              <w:gridCol w:w="548"/>
              <w:gridCol w:w="487"/>
              <w:gridCol w:w="487"/>
              <w:gridCol w:w="548"/>
              <w:gridCol w:w="4325"/>
            </w:tblGrid>
            <w:tr>
              <w:trPr>
                <w:tblHeader w:val="on"/>
              </w:trPr>
              <w:tc>
                <w:tcPr/>
                <w:p>
                  <w:pPr>
                    <w:pStyle w:val="Compact"/>
                    <w:jc w:val="left"/>
                    <w:jc w:val="center"/>
                  </w:pPr>
                  <w:r>
                    <w:t xml:space="preserve">Parameter</w:t>
                  </w:r>
                </w:p>
              </w:tc>
              <w:tc>
                <w:tcPr/>
                <w:p>
                  <w:pPr>
                    <w:pStyle w:val="Compact"/>
                    <w:jc w:val="right"/>
                    <w:jc w:val="center"/>
                  </w:pPr>
                  <w:r>
                    <w:t xml:space="preserve">Value</w:t>
                  </w:r>
                </w:p>
              </w:tc>
              <w:tc>
                <w:tcPr/>
                <w:p>
                  <w:pPr>
                    <w:pStyle w:val="Compact"/>
                    <w:jc w:val="right"/>
                    <w:jc w:val="center"/>
                  </w:pPr>
                  <w:r>
                    <w:t xml:space="preserve">Low</w:t>
                  </w:r>
                </w:p>
              </w:tc>
              <w:tc>
                <w:tcPr/>
                <w:p>
                  <w:pPr>
                    <w:pStyle w:val="Compact"/>
                    <w:jc w:val="right"/>
                    <w:jc w:val="center"/>
                  </w:pPr>
                  <w:r>
                    <w:t xml:space="preserve">High</w:t>
                  </w:r>
                </w:p>
              </w:tc>
              <w:tc>
                <w:tcPr/>
                <w:p>
                  <w:pPr>
                    <w:pStyle w:val="Compact"/>
                    <w:jc w:val="left"/>
                    <w:jc w:val="center"/>
                  </w:pPr>
                  <w:r>
                    <w:t xml:space="preserve">Unit</w:t>
                  </w:r>
                </w:p>
              </w:tc>
              <w:tc>
                <w:tcPr/>
                <w:p>
                  <w:pPr>
                    <w:pStyle w:val="Compact"/>
                    <w:jc w:val="left"/>
                    <w:jc w:val="center"/>
                  </w:pPr>
                  <w:r>
                    <w:t xml:space="preserve">Source</w:t>
                  </w:r>
                </w:p>
              </w:tc>
            </w:tr>
            <w:tr>
              <w:tc>
                <w:tcPr/>
                <w:p>
                  <w:pPr>
                    <w:pStyle w:val="Compact"/>
                    <w:jc w:val="left"/>
                    <w:jc w:val="center"/>
                  </w:pPr>
                  <w:r>
                    <w:t xml:space="preserve">Motorcycle Daily km</w:t>
                  </w:r>
                </w:p>
              </w:tc>
              <w:tc>
                <w:tcPr/>
                <w:p>
                  <w:pPr>
                    <w:pStyle w:val="Compact"/>
                    <w:jc w:val="right"/>
                    <w:jc w:val="center"/>
                  </w:pPr>
                  <w:r>
                    <w:t xml:space="preserve">15</w:t>
                  </w:r>
                </w:p>
              </w:tc>
              <w:tc>
                <w:tcPr/>
                <w:p>
                  <w:pPr>
                    <w:pStyle w:val="Compact"/>
                    <w:jc w:val="right"/>
                    <w:jc w:val="center"/>
                  </w:pPr>
                  <w:r>
                    <w:t xml:space="preserve">10</w:t>
                  </w:r>
                </w:p>
              </w:tc>
              <w:tc>
                <w:tcPr/>
                <w:p>
                  <w:pPr>
                    <w:pStyle w:val="Compact"/>
                    <w:jc w:val="right"/>
                    <w:jc w:val="center"/>
                  </w:pPr>
                  <w:r>
                    <w:t xml:space="preserve">25</w:t>
                  </w:r>
                </w:p>
              </w:tc>
              <w:tc>
                <w:tcPr/>
                <w:p>
                  <w:pPr>
                    <w:pStyle w:val="Compact"/>
                    <w:jc w:val="left"/>
                    <w:jc w:val="center"/>
                  </w:pPr>
                  <w:r>
                    <w:t xml:space="preserve">km/day</w:t>
                  </w:r>
                </w:p>
              </w:tc>
              <w:tc>
                <w:tcPr/>
                <w:p>
                  <w:pPr>
                    <w:pStyle w:val="Compact"/>
                    <w:jc w:val="left"/>
                    <w:jc w:val="center"/>
                  </w:pPr>
                  <w:r>
                    <w:t xml:space="preserve">MalÃ© island 5.8 kmÂ²; short commute distances â€” expert estimate</w:t>
                  </w:r>
                </w:p>
              </w:tc>
            </w:tr>
            <w:tr>
              <w:tc>
                <w:tcPr/>
                <w:p>
                  <w:pPr>
                    <w:pStyle w:val="Compact"/>
                    <w:jc w:val="left"/>
                    <w:jc w:val="center"/>
                  </w:pPr>
                  <w:r>
                    <w:t xml:space="preserve">ICE Fuel Consumption</w:t>
                  </w:r>
                </w:p>
              </w:tc>
              <w:tc>
                <w:tcPr/>
                <w:p>
                  <w:pPr>
                    <w:pStyle w:val="Compact"/>
                    <w:jc w:val="right"/>
                    <w:jc w:val="center"/>
                  </w:pPr>
                  <w:r>
                    <w:t xml:space="preserve">3</w:t>
                  </w:r>
                </w:p>
              </w:tc>
              <w:tc>
                <w:tcPr/>
                <w:p>
                  <w:pPr>
                    <w:pStyle w:val="Compact"/>
                    <w:jc w:val="right"/>
                    <w:jc w:val="center"/>
                  </w:pPr>
                  <w:r>
                    <w:t xml:space="preserve">2</w:t>
                  </w:r>
                </w:p>
              </w:tc>
              <w:tc>
                <w:tcPr/>
                <w:p>
                  <w:pPr>
                    <w:pStyle w:val="Compact"/>
                    <w:jc w:val="right"/>
                    <w:jc w:val="center"/>
                  </w:pPr>
                  <w:r>
                    <w:t xml:space="preserve">4</w:t>
                  </w:r>
                </w:p>
              </w:tc>
              <w:tc>
                <w:tcPr/>
                <w:p>
                  <w:pPr>
                    <w:pStyle w:val="Compact"/>
                    <w:jc w:val="left"/>
                    <w:jc w:val="center"/>
                  </w:pPr>
                  <w:r>
                    <w:t xml:space="preserve">L/100km</w:t>
                  </w:r>
                </w:p>
              </w:tc>
              <w:tc>
                <w:tcPr/>
                <w:p>
                  <w:pPr>
                    <w:pStyle w:val="Compact"/>
                    <w:jc w:val="left"/>
                    <w:jc w:val="center"/>
                  </w:pPr>
                  <w:r>
                    <w:t xml:space="preserve">Average 100-150cc scooters (ICCT 2021); tropical riding conditions</w:t>
                  </w:r>
                </w:p>
              </w:tc>
            </w:tr>
            <w:tr>
              <w:tc>
                <w:tcPr/>
                <w:p>
                  <w:pPr>
                    <w:pStyle w:val="Compact"/>
                    <w:jc w:val="left"/>
                    <w:jc w:val="center"/>
                  </w:pPr>
                  <w:r>
                    <w:t xml:space="preserve">EV Energy per km</w:t>
                  </w:r>
                </w:p>
              </w:tc>
              <w:tc>
                <w:tcPr/>
                <w:p>
                  <w:pPr>
                    <w:pStyle w:val="Compact"/>
                    <w:jc w:val="right"/>
                    <w:jc w:val="center"/>
                  </w:pPr>
                  <w:r>
                    <w:t xml:space="preserve">0.025</w:t>
                  </w:r>
                </w:p>
              </w:tc>
              <w:tc>
                <w:tcPr/>
                <w:p>
                  <w:pPr>
                    <w:pStyle w:val="Compact"/>
                    <w:jc w:val="right"/>
                    <w:jc w:val="center"/>
                  </w:pPr>
                  <w:r>
                    <w:t xml:space="preserve">0.018</w:t>
                  </w:r>
                </w:p>
              </w:tc>
              <w:tc>
                <w:tcPr/>
                <w:p>
                  <w:pPr>
                    <w:pStyle w:val="Compact"/>
                    <w:jc w:val="right"/>
                    <w:jc w:val="center"/>
                  </w:pPr>
                  <w:r>
                    <w:t xml:space="preserve">0.035</w:t>
                  </w:r>
                </w:p>
              </w:tc>
              <w:tc>
                <w:tcPr/>
                <w:p>
                  <w:pPr>
                    <w:pStyle w:val="Compact"/>
                    <w:jc w:val="left"/>
                    <w:jc w:val="center"/>
                  </w:pPr>
                  <w:r>
                    <w:t xml:space="preserve">kWh/km</w:t>
                  </w:r>
                </w:p>
              </w:tc>
              <w:tc>
                <w:tcPr/>
                <w:p>
                  <w:pPr>
                    <w:pStyle w:val="Compact"/>
                    <w:jc w:val="left"/>
                    <w:jc w:val="center"/>
                  </w:pPr>
                  <w:r>
                    <w:t xml:space="preserve">E-motorcycle/e-scooter typical (IEA GEVO 2024); tropical flat terrain</w:t>
                  </w:r>
                </w:p>
              </w:tc>
            </w:tr>
            <w:tr>
              <w:tc>
                <w:tcPr/>
                <w:p>
                  <w:pPr>
                    <w:pStyle w:val="Compact"/>
                    <w:jc w:val="left"/>
                    <w:jc w:val="center"/>
                  </w:pPr>
                  <w:r>
                    <w:t xml:space="preserve">Petrol Price 2026</w:t>
                  </w:r>
                </w:p>
              </w:tc>
              <w:tc>
                <w:tcPr/>
                <w:p>
                  <w:pPr>
                    <w:pStyle w:val="Compact"/>
                    <w:jc w:val="right"/>
                    <w:jc w:val="center"/>
                  </w:pPr>
                  <w:r>
                    <w:t xml:space="preserve">1.1</w:t>
                  </w:r>
                </w:p>
              </w:tc>
              <w:tc>
                <w:tcPr/>
                <w:p>
                  <w:pPr>
                    <w:pStyle w:val="Compact"/>
                    <w:jc w:val="right"/>
                    <w:jc w:val="center"/>
                  </w:pPr>
                  <w:r>
                    <w:t xml:space="preserve">0.9</w:t>
                  </w:r>
                </w:p>
              </w:tc>
              <w:tc>
                <w:tcPr/>
                <w:p>
                  <w:pPr>
                    <w:pStyle w:val="Compact"/>
                    <w:jc w:val="right"/>
                    <w:jc w:val="center"/>
                  </w:pPr>
                  <w:r>
                    <w:t xml:space="preserve">1.4</w:t>
                  </w:r>
                </w:p>
              </w:tc>
              <w:tc>
                <w:tcPr/>
                <w:p>
                  <w:pPr>
                    <w:pStyle w:val="Compact"/>
                    <w:jc w:val="left"/>
                    <w:jc w:val="center"/>
                  </w:pPr>
                  <w:r>
                    <w:t xml:space="preserve">USD/L</w:t>
                  </w:r>
                </w:p>
              </w:tc>
              <w:tc>
                <w:tcPr/>
                <w:p>
                  <w:pPr>
                    <w:pStyle w:val="Compact"/>
                    <w:jc w:val="left"/>
                    <w:jc w:val="center"/>
                  </w:pPr>
                  <w:r>
                    <w:t xml:space="preserve">STO Maldives retail price (2024); imported CIF + margin</w:t>
                  </w:r>
                </w:p>
              </w:tc>
            </w:tr>
            <w:tr>
              <w:tc>
                <w:tcPr/>
                <w:p>
                  <w:pPr>
                    <w:pStyle w:val="Compact"/>
                    <w:jc w:val="left"/>
                    <w:jc w:val="center"/>
                  </w:pPr>
                  <w:r>
                    <w:t xml:space="preserve">Petrol Price Escalation</w:t>
                  </w:r>
                </w:p>
              </w:tc>
              <w:tc>
                <w:tcPr/>
                <w:p>
                  <w:pPr>
                    <w:pStyle w:val="Compact"/>
                    <w:jc w:val="right"/>
                    <w:jc w:val="center"/>
                  </w:pPr>
                  <w:r>
                    <w:t xml:space="preserve">0.03</w:t>
                  </w:r>
                </w:p>
              </w:tc>
              <w:tc>
                <w:tcPr/>
                <w:p>
                  <w:pPr>
                    <w:pStyle w:val="Compact"/>
                    <w:jc w:val="right"/>
                    <w:jc w:val="center"/>
                  </w:pPr>
                  <w:r>
                    <w:t xml:space="preserve">0.01</w:t>
                  </w:r>
                </w:p>
              </w:tc>
              <w:tc>
                <w:tcPr/>
                <w:p>
                  <w:pPr>
                    <w:pStyle w:val="Compact"/>
                    <w:jc w:val="right"/>
                    <w:jc w:val="center"/>
                  </w:pPr>
                  <w:r>
                    <w:t xml:space="preserve">0.05</w:t>
                  </w:r>
                </w:p>
              </w:tc>
              <w:tc>
                <w:tcPr/>
                <w:p>
                  <w:pPr>
                    <w:pStyle w:val="Compact"/>
                    <w:jc w:val="left"/>
                    <w:jc w:val="center"/>
                  </w:pPr>
                  <w:r>
                    <w:t xml:space="preserve">%/yr</w:t>
                  </w:r>
                </w:p>
              </w:tc>
              <w:tc>
                <w:tcPr/>
                <w:p>
                  <w:pPr>
                    <w:pStyle w:val="Compact"/>
                    <w:jc w:val="left"/>
                    <w:jc w:val="center"/>
                  </w:pPr>
                  <w:r>
                    <w:t xml:space="preserve">IMF WEO (2024) â€” real oil price growth projection</w:t>
                  </w:r>
                </w:p>
              </w:tc>
            </w:tr>
          </w:tbl>
          <w:p>
            <w:pPr>
              <w:pStyle w:val="Heading3"/>
              <w:jc w:val="center"/>
            </w:pPr>
            <w:bookmarkStart w:id="389" w:name="transport-costs"/>
            <w:r>
              <w:t xml:space="preserve">14.1.47 Transport Costs</w:t>
            </w:r>
            <w:bookmarkEnd w:id="389"/>
          </w:p>
          <w:tbl>
            <w:tblPr>
              <w:tblStyle w:val="Table"/>
              <w:tblW w:type="pct" w:w="5000"/>
              <w:tblLayout w:type="fixed"/>
              <w:tblLook w:firstRow="1" w:lastRow="0" w:firstColumn="0" w:lastColumn="0" w:noHBand="0" w:noVBand="0" w:val="0020"/>
            </w:tblPr>
            <w:tblGrid>
              <w:gridCol w:w="1495"/>
              <w:gridCol w:w="553"/>
              <w:gridCol w:w="553"/>
              <w:gridCol w:w="498"/>
              <w:gridCol w:w="996"/>
              <w:gridCol w:w="3821"/>
            </w:tblGrid>
            <w:tr>
              <w:trPr>
                <w:tblHeader w:val="on"/>
              </w:trPr>
              <w:tc>
                <w:tcPr/>
                <w:p>
                  <w:pPr>
                    <w:pStyle w:val="Compact"/>
                    <w:jc w:val="left"/>
                    <w:jc w:val="center"/>
                  </w:pPr>
                  <w:r>
                    <w:t xml:space="preserve">Parameter</w:t>
                  </w:r>
                </w:p>
              </w:tc>
              <w:tc>
                <w:tcPr/>
                <w:p>
                  <w:pPr>
                    <w:pStyle w:val="Compact"/>
                    <w:jc w:val="right"/>
                    <w:jc w:val="center"/>
                  </w:pPr>
                  <w:r>
                    <w:t xml:space="preserve">Value</w:t>
                  </w:r>
                </w:p>
              </w:tc>
              <w:tc>
                <w:tcPr/>
                <w:p>
                  <w:pPr>
                    <w:pStyle w:val="Compact"/>
                    <w:jc w:val="right"/>
                    <w:jc w:val="center"/>
                  </w:pPr>
                  <w:r>
                    <w:t xml:space="preserve">Low</w:t>
                  </w:r>
                </w:p>
              </w:tc>
              <w:tc>
                <w:tcPr/>
                <w:p>
                  <w:pPr>
                    <w:pStyle w:val="Compact"/>
                    <w:jc w:val="right"/>
                    <w:jc w:val="center"/>
                  </w:pPr>
                  <w:r>
                    <w:t xml:space="preserve">High</w:t>
                  </w:r>
                </w:p>
              </w:tc>
              <w:tc>
                <w:tcPr/>
                <w:p>
                  <w:pPr>
                    <w:pStyle w:val="Compact"/>
                    <w:jc w:val="left"/>
                    <w:jc w:val="center"/>
                  </w:pPr>
                  <w:r>
                    <w:t xml:space="preserve">Unit</w:t>
                  </w:r>
                </w:p>
              </w:tc>
              <w:tc>
                <w:tcPr/>
                <w:p>
                  <w:pPr>
                    <w:pStyle w:val="Compact"/>
                    <w:jc w:val="left"/>
                    <w:jc w:val="center"/>
                  </w:pPr>
                  <w:r>
                    <w:t xml:space="preserve">Source</w:t>
                  </w:r>
                </w:p>
              </w:tc>
            </w:tr>
            <w:tr>
              <w:tc>
                <w:tcPr/>
                <w:p>
                  <w:pPr>
                    <w:pStyle w:val="Compact"/>
                    <w:jc w:val="left"/>
                    <w:jc w:val="center"/>
                  </w:pPr>
                  <w:r>
                    <w:t xml:space="preserve">E-Motorcycle Premium 2026</w:t>
                  </w:r>
                </w:p>
              </w:tc>
              <w:tc>
                <w:tcPr/>
                <w:p>
                  <w:pPr>
                    <w:pStyle w:val="Compact"/>
                    <w:jc w:val="right"/>
                    <w:jc w:val="center"/>
                  </w:pPr>
                  <w:r>
                    <w:t xml:space="preserve">800</w:t>
                  </w:r>
                </w:p>
              </w:tc>
              <w:tc>
                <w:tcPr/>
                <w:p>
                  <w:pPr>
                    <w:pStyle w:val="Compact"/>
                    <w:jc w:val="right"/>
                    <w:jc w:val="center"/>
                  </w:pPr>
                  <w:r>
                    <w:t xml:space="preserve">500</w:t>
                  </w:r>
                </w:p>
              </w:tc>
              <w:tc>
                <w:tcPr/>
                <w:p>
                  <w:pPr>
                    <w:pStyle w:val="Compact"/>
                    <w:jc w:val="right"/>
                    <w:jc w:val="center"/>
                  </w:pPr>
                  <w:r>
                    <w:t xml:space="preserve">1200</w:t>
                  </w:r>
                </w:p>
              </w:tc>
              <w:tc>
                <w:tcPr/>
                <w:p>
                  <w:pPr>
                    <w:pStyle w:val="Compact"/>
                    <w:jc w:val="left"/>
                    <w:jc w:val="center"/>
                  </w:pPr>
                  <w:r>
                    <w:t xml:space="preserve">USD</w:t>
                  </w:r>
                </w:p>
              </w:tc>
              <w:tc>
                <w:tcPr/>
                <w:p>
                  <w:pPr>
                    <w:pStyle w:val="Compact"/>
                    <w:jc w:val="left"/>
                    <w:jc w:val="center"/>
                  </w:pPr>
                  <w:r>
                    <w:t xml:space="preserve">IEA GEVO (2024); Hero Electric vs ICE â€” emerging market premium</w:t>
                  </w:r>
                </w:p>
              </w:tc>
            </w:tr>
            <w:tr>
              <w:tc>
                <w:tcPr/>
                <w:p>
                  <w:pPr>
                    <w:pStyle w:val="Compact"/>
                    <w:jc w:val="left"/>
                    <w:jc w:val="center"/>
                  </w:pPr>
                  <w:r>
                    <w:t xml:space="preserve">Premium Decline Rate</w:t>
                  </w:r>
                </w:p>
              </w:tc>
              <w:tc>
                <w:tcPr/>
                <w:p>
                  <w:pPr>
                    <w:pStyle w:val="Compact"/>
                    <w:jc w:val="right"/>
                    <w:jc w:val="center"/>
                  </w:pPr>
                  <w:r>
                    <w:t xml:space="preserve">0.06</w:t>
                  </w:r>
                </w:p>
              </w:tc>
              <w:tc>
                <w:tcPr/>
                <w:p>
                  <w:pPr>
                    <w:pStyle w:val="Compact"/>
                    <w:jc w:val="right"/>
                    <w:jc w:val="center"/>
                  </w:pPr>
                  <w:r>
                    <w:t xml:space="preserve">0.04</w:t>
                  </w:r>
                </w:p>
              </w:tc>
              <w:tc>
                <w:tcPr/>
                <w:p>
                  <w:pPr>
                    <w:pStyle w:val="Compact"/>
                    <w:jc w:val="right"/>
                    <w:jc w:val="center"/>
                  </w:pPr>
                  <w:r>
                    <w:t xml:space="preserve">0.1</w:t>
                  </w:r>
                </w:p>
              </w:tc>
              <w:tc>
                <w:tcPr/>
                <w:p>
                  <w:pPr>
                    <w:pStyle w:val="Compact"/>
                    <w:jc w:val="left"/>
                    <w:jc w:val="center"/>
                  </w:pPr>
                  <w:r>
                    <w:t xml:space="preserve">%/yr</w:t>
                  </w:r>
                </w:p>
              </w:tc>
              <w:tc>
                <w:tcPr/>
                <w:p>
                  <w:pPr>
                    <w:pStyle w:val="Compact"/>
                    <w:jc w:val="left"/>
                    <w:jc w:val="center"/>
                  </w:pPr>
                  <w:r>
                    <w:t xml:space="preserve">BNEF EV Outlook (2024) â€” battery cost decline drives parity</w:t>
                  </w:r>
                </w:p>
              </w:tc>
            </w:tr>
            <w:tr>
              <w:tc>
                <w:tcPr/>
                <w:p>
                  <w:pPr>
                    <w:pStyle w:val="Compact"/>
                    <w:jc w:val="left"/>
                    <w:jc w:val="center"/>
                  </w:pPr>
                  <w:r>
                    <w:t xml:space="preserve">Charging Station Cost</w:t>
                  </w:r>
                </w:p>
              </w:tc>
              <w:tc>
                <w:tcPr/>
                <w:p>
                  <w:pPr>
                    <w:pStyle w:val="Compact"/>
                    <w:jc w:val="right"/>
                    <w:jc w:val="center"/>
                  </w:pPr>
                  <w:r>
                    <w:t xml:space="preserve">25000</w:t>
                  </w:r>
                </w:p>
              </w:tc>
              <w:tc>
                <w:tcPr/>
                <w:p>
                  <w:pPr>
                    <w:pStyle w:val="Compact"/>
                    <w:jc w:val="right"/>
                    <w:jc w:val="center"/>
                  </w:pPr>
                  <w:r>
                    <w:t xml:space="preserve">15000</w:t>
                  </w:r>
                </w:p>
              </w:tc>
              <w:tc>
                <w:tcPr/>
                <w:p>
                  <w:pPr>
                    <w:pStyle w:val="Compact"/>
                    <w:jc w:val="right"/>
                    <w:jc w:val="center"/>
                  </w:pPr>
                  <w:r>
                    <w:t xml:space="preserve">40000</w:t>
                  </w:r>
                </w:p>
              </w:tc>
              <w:tc>
                <w:tcPr/>
                <w:p>
                  <w:pPr>
                    <w:pStyle w:val="Compact"/>
                    <w:jc w:val="left"/>
                    <w:jc w:val="center"/>
                  </w:pPr>
                  <w:r>
                    <w:t xml:space="preserve">USD/station</w:t>
                  </w:r>
                </w:p>
              </w:tc>
              <w:tc>
                <w:tcPr/>
                <w:p>
                  <w:pPr>
                    <w:pStyle w:val="Compact"/>
                    <w:jc w:val="left"/>
                    <w:jc w:val="center"/>
                  </w:pPr>
                  <w:r>
                    <w:t xml:space="preserve">UNDP Maldives EV pilot (2024) â€” Level 2 solar-backed stations</w:t>
                  </w:r>
                </w:p>
              </w:tc>
            </w:tr>
            <w:tr>
              <w:tc>
                <w:tcPr/>
                <w:p>
                  <w:pPr>
                    <w:pStyle w:val="Compact"/>
                    <w:jc w:val="left"/>
                    <w:jc w:val="center"/>
                  </w:pPr>
                  <w:r>
                    <w:t xml:space="preserve">Vehicles per Station</w:t>
                  </w:r>
                </w:p>
              </w:tc>
              <w:tc>
                <w:tcPr/>
                <w:p>
                  <w:pPr>
                    <w:pStyle w:val="Compact"/>
                    <w:jc w:val="right"/>
                    <w:jc w:val="center"/>
                  </w:pPr>
                  <w:r>
                    <w:t xml:space="preserve">100</w:t>
                  </w:r>
                </w:p>
              </w:tc>
              <w:tc>
                <w:tcPr/>
                <w:p>
                  <w:pPr>
                    <w:pStyle w:val="Compact"/>
                    <w:jc w:val="right"/>
                    <w:jc w:val="center"/>
                  </w:pPr>
                  <w:r>
                    <w:t xml:space="preserve">50</w:t>
                  </w:r>
                </w:p>
              </w:tc>
              <w:tc>
                <w:tcPr/>
                <w:p>
                  <w:pPr>
                    <w:pStyle w:val="Compact"/>
                    <w:jc w:val="right"/>
                    <w:jc w:val="center"/>
                  </w:pPr>
                  <w:r>
                    <w:t xml:space="preserve">200</w:t>
                  </w:r>
                </w:p>
              </w:tc>
              <w:tc>
                <w:tcPr/>
                <w:p>
                  <w:pPr>
                    <w:pStyle w:val="Compact"/>
                    <w:jc w:val="left"/>
                    <w:jc w:val="center"/>
                  </w:pPr>
                  <w:r>
                    <w:t xml:space="preserve">vehicles/station</w:t>
                  </w:r>
                </w:p>
              </w:tc>
              <w:tc>
                <w:tcPr/>
                <w:p>
                  <w:pPr>
                    <w:pStyle w:val="Compact"/>
                    <w:jc w:val="left"/>
                    <w:jc w:val="center"/>
                  </w:pPr>
                  <w:r>
                    <w:t xml:space="preserve">UNDP pilot design; 5 stations for ~500 vehicles currently</w:t>
                  </w:r>
                </w:p>
              </w:tc>
            </w:tr>
            <w:tr>
              <w:tc>
                <w:tcPr/>
                <w:p>
                  <w:pPr>
                    <w:pStyle w:val="Compact"/>
                    <w:jc w:val="left"/>
                    <w:jc w:val="center"/>
                  </w:pPr>
                  <w:r>
                    <w:t xml:space="preserve">ICE Annual Maintenance</w:t>
                  </w:r>
                </w:p>
              </w:tc>
              <w:tc>
                <w:tcPr/>
                <w:p>
                  <w:pPr>
                    <w:pStyle w:val="Compact"/>
                    <w:jc w:val="right"/>
                    <w:jc w:val="center"/>
                  </w:pPr>
                  <w:r>
                    <w:t xml:space="preserve">200</w:t>
                  </w:r>
                </w:p>
              </w:tc>
              <w:tc>
                <w:tcPr/>
                <w:p>
                  <w:pPr>
                    <w:pStyle w:val="Compact"/>
                    <w:jc w:val="right"/>
                    <w:jc w:val="center"/>
                  </w:pPr>
                  <w:r>
                    <w:t xml:space="preserve">150</w:t>
                  </w:r>
                </w:p>
              </w:tc>
              <w:tc>
                <w:tcPr/>
                <w:p>
                  <w:pPr>
                    <w:pStyle w:val="Compact"/>
                    <w:jc w:val="right"/>
                    <w:jc w:val="center"/>
                  </w:pPr>
                  <w:r>
                    <w:t xml:space="preserve">300</w:t>
                  </w:r>
                </w:p>
              </w:tc>
              <w:tc>
                <w:tcPr/>
                <w:p>
                  <w:pPr>
                    <w:pStyle w:val="Compact"/>
                    <w:jc w:val="left"/>
                    <w:jc w:val="center"/>
                  </w:pPr>
                  <w:r>
                    <w:t xml:space="preserve">USD/yr</w:t>
                  </w:r>
                </w:p>
              </w:tc>
              <w:tc>
                <w:tcPr/>
                <w:p>
                  <w:pPr>
                    <w:pStyle w:val="Compact"/>
                    <w:jc w:val="left"/>
                    <w:jc w:val="center"/>
                  </w:pPr>
                  <w:r>
                    <w:t xml:space="preserve">ICCT (2021) â€” motorcycle maintenance in developing countries</w:t>
                  </w:r>
                </w:p>
              </w:tc>
            </w:tr>
            <w:tr>
              <w:tc>
                <w:tcPr/>
                <w:p>
                  <w:pPr>
                    <w:pStyle w:val="Compact"/>
                    <w:jc w:val="left"/>
                    <w:jc w:val="center"/>
                  </w:pPr>
                  <w:r>
                    <w:t xml:space="preserve">EV Annual Maintenance</w:t>
                  </w:r>
                </w:p>
              </w:tc>
              <w:tc>
                <w:tcPr/>
                <w:p>
                  <w:pPr>
                    <w:pStyle w:val="Compact"/>
                    <w:jc w:val="right"/>
                    <w:jc w:val="center"/>
                  </w:pPr>
                  <w:r>
                    <w:t xml:space="preserve">80</w:t>
                  </w:r>
                </w:p>
              </w:tc>
              <w:tc>
                <w:tcPr/>
                <w:p>
                  <w:pPr>
                    <w:pStyle w:val="Compact"/>
                    <w:jc w:val="right"/>
                    <w:jc w:val="center"/>
                  </w:pPr>
                  <w:r>
                    <w:t xml:space="preserve">50</w:t>
                  </w:r>
                </w:p>
              </w:tc>
              <w:tc>
                <w:tcPr/>
                <w:p>
                  <w:pPr>
                    <w:pStyle w:val="Compact"/>
                    <w:jc w:val="right"/>
                    <w:jc w:val="center"/>
                  </w:pPr>
                  <w:r>
                    <w:t xml:space="preserve">120</w:t>
                  </w:r>
                </w:p>
              </w:tc>
              <w:tc>
                <w:tcPr/>
                <w:p>
                  <w:pPr>
                    <w:pStyle w:val="Compact"/>
                    <w:jc w:val="left"/>
                    <w:jc w:val="center"/>
                  </w:pPr>
                  <w:r>
                    <w:t xml:space="preserve">USD/yr</w:t>
                  </w:r>
                </w:p>
              </w:tc>
              <w:tc>
                <w:tcPr/>
                <w:p>
                  <w:pPr>
                    <w:pStyle w:val="Compact"/>
                    <w:jc w:val="left"/>
                    <w:jc w:val="center"/>
                  </w:pPr>
                  <w:r>
                    <w:t xml:space="preserve">IEA GEVO (2024) â€” EVs ~60% lower maintenance (fewer moving parts)</w:t>
                  </w:r>
                </w:p>
              </w:tc>
            </w:tr>
          </w:tbl>
          <w:p>
            <w:pPr>
              <w:pStyle w:val="Heading3"/>
              <w:jc w:val="center"/>
            </w:pPr>
            <w:bookmarkStart w:id="390" w:name="transport-health"/>
            <w:r>
              <w:t xml:space="preserve">14.1.48 Transport Health</w:t>
            </w:r>
            <w:bookmarkEnd w:id="390"/>
          </w:p>
          <w:tbl>
            <w:tblPr>
              <w:tblStyle w:val="Table"/>
              <w:tblW w:type="pct" w:w="5000"/>
              <w:tblLayout w:type="fixed"/>
              <w:tblLook w:firstRow="1" w:lastRow="0" w:firstColumn="0" w:lastColumn="0" w:noHBand="0" w:noVBand="0" w:val="0020"/>
            </w:tblPr>
            <w:tblGrid>
              <w:gridCol w:w="1595"/>
              <w:gridCol w:w="512"/>
              <w:gridCol w:w="398"/>
              <w:gridCol w:w="455"/>
              <w:gridCol w:w="512"/>
              <w:gridCol w:w="4444"/>
            </w:tblGrid>
            <w:tr>
              <w:trPr>
                <w:tblHeader w:val="on"/>
              </w:trPr>
              <w:tc>
                <w:tcPr/>
                <w:p>
                  <w:pPr>
                    <w:pStyle w:val="Compact"/>
                    <w:jc w:val="left"/>
                    <w:jc w:val="center"/>
                  </w:pPr>
                  <w:r>
                    <w:t xml:space="preserve">Parameter</w:t>
                  </w:r>
                </w:p>
              </w:tc>
              <w:tc>
                <w:tcPr/>
                <w:p>
                  <w:pPr>
                    <w:pStyle w:val="Compact"/>
                    <w:jc w:val="right"/>
                    <w:jc w:val="center"/>
                  </w:pPr>
                  <w:r>
                    <w:t xml:space="preserve">Value</w:t>
                  </w:r>
                </w:p>
              </w:tc>
              <w:tc>
                <w:tcPr/>
                <w:p>
                  <w:pPr>
                    <w:pStyle w:val="Compact"/>
                    <w:jc w:val="right"/>
                    <w:jc w:val="center"/>
                  </w:pPr>
                  <w:r>
                    <w:t xml:space="preserve">Low</w:t>
                  </w:r>
                </w:p>
              </w:tc>
              <w:tc>
                <w:tcPr/>
                <w:p>
                  <w:pPr>
                    <w:pStyle w:val="Compact"/>
                    <w:jc w:val="right"/>
                    <w:jc w:val="center"/>
                  </w:pPr>
                  <w:r>
                    <w:t xml:space="preserve">High</w:t>
                  </w:r>
                </w:p>
              </w:tc>
              <w:tc>
                <w:tcPr/>
                <w:p>
                  <w:pPr>
                    <w:pStyle w:val="Compact"/>
                    <w:jc w:val="left"/>
                    <w:jc w:val="center"/>
                  </w:pPr>
                  <w:r>
                    <w:t xml:space="preserve">Unit</w:t>
                  </w:r>
                </w:p>
              </w:tc>
              <w:tc>
                <w:tcPr/>
                <w:p>
                  <w:pPr>
                    <w:pStyle w:val="Compact"/>
                    <w:jc w:val="left"/>
                    <w:jc w:val="center"/>
                  </w:pPr>
                  <w:r>
                    <w:t xml:space="preserve">Source</w:t>
                  </w:r>
                </w:p>
              </w:tc>
            </w:tr>
            <w:tr>
              <w:tc>
                <w:tcPr/>
                <w:p>
                  <w:pPr>
                    <w:pStyle w:val="Compact"/>
                    <w:jc w:val="left"/>
                    <w:jc w:val="center"/>
                  </w:pPr>
                  <w:r>
                    <w:t xml:space="preserve">PM25 Damage per Vehicle km</w:t>
                  </w:r>
                </w:p>
              </w:tc>
              <w:tc>
                <w:tcPr/>
                <w:p>
                  <w:pPr>
                    <w:pStyle w:val="Compact"/>
                    <w:jc w:val="right"/>
                    <w:jc w:val="center"/>
                  </w:pPr>
                  <w:r>
                    <w:t xml:space="preserve">0.012</w:t>
                  </w:r>
                </w:p>
              </w:tc>
              <w:tc>
                <w:tcPr/>
                <w:p>
                  <w:pPr>
                    <w:pStyle w:val="Compact"/>
                    <w:jc w:val="right"/>
                    <w:jc w:val="center"/>
                  </w:pPr>
                  <w:r>
                    <w:t xml:space="preserve">0.006</w:t>
                  </w:r>
                </w:p>
              </w:tc>
              <w:tc>
                <w:tcPr/>
                <w:p>
                  <w:pPr>
                    <w:pStyle w:val="Compact"/>
                    <w:jc w:val="right"/>
                    <w:jc w:val="center"/>
                  </w:pPr>
                  <w:r>
                    <w:t xml:space="preserve">0.025</w:t>
                  </w:r>
                </w:p>
              </w:tc>
              <w:tc>
                <w:tcPr/>
                <w:p>
                  <w:pPr>
                    <w:pStyle w:val="Compact"/>
                    <w:jc w:val="left"/>
                    <w:jc w:val="center"/>
                  </w:pPr>
                  <w:r>
                    <w:t xml:space="preserve">USD/vkm</w:t>
                  </w:r>
                </w:p>
              </w:tc>
              <w:tc>
                <w:tcPr/>
                <w:p>
                  <w:pPr>
                    <w:pStyle w:val="Compact"/>
                    <w:jc w:val="left"/>
                    <w:jc w:val="center"/>
                  </w:pPr>
                  <w:r>
                    <w:t xml:space="preserve">Parry et al. (2014) IMF WP/14/199 â€” urban motorcycle PM2.5 in dense cities</w:t>
                  </w:r>
                </w:p>
              </w:tc>
            </w:tr>
            <w:tr>
              <w:tc>
                <w:tcPr/>
                <w:p>
                  <w:pPr>
                    <w:pStyle w:val="Compact"/>
                    <w:jc w:val="left"/>
                    <w:jc w:val="center"/>
                  </w:pPr>
                  <w:r>
                    <w:t xml:space="preserve">NOx Damage per Vehicle km</w:t>
                  </w:r>
                </w:p>
              </w:tc>
              <w:tc>
                <w:tcPr/>
                <w:p>
                  <w:pPr>
                    <w:pStyle w:val="Compact"/>
                    <w:jc w:val="right"/>
                    <w:jc w:val="center"/>
                  </w:pPr>
                  <w:r>
                    <w:t xml:space="preserve">0.005</w:t>
                  </w:r>
                </w:p>
              </w:tc>
              <w:tc>
                <w:tcPr/>
                <w:p>
                  <w:pPr>
                    <w:pStyle w:val="Compact"/>
                    <w:jc w:val="right"/>
                    <w:jc w:val="center"/>
                  </w:pPr>
                  <w:r>
                    <w:t xml:space="preserve">0.002</w:t>
                  </w:r>
                </w:p>
              </w:tc>
              <w:tc>
                <w:tcPr/>
                <w:p>
                  <w:pPr>
                    <w:pStyle w:val="Compact"/>
                    <w:jc w:val="right"/>
                    <w:jc w:val="center"/>
                  </w:pPr>
                  <w:r>
                    <w:t xml:space="preserve">0.01</w:t>
                  </w:r>
                </w:p>
              </w:tc>
              <w:tc>
                <w:tcPr/>
                <w:p>
                  <w:pPr>
                    <w:pStyle w:val="Compact"/>
                    <w:jc w:val="left"/>
                    <w:jc w:val="center"/>
                  </w:pPr>
                  <w:r>
                    <w:t xml:space="preserve">USD/vkm</w:t>
                  </w:r>
                </w:p>
              </w:tc>
              <w:tc>
                <w:tcPr/>
                <w:p>
                  <w:pPr>
                    <w:pStyle w:val="Compact"/>
                    <w:jc w:val="left"/>
                    <w:jc w:val="center"/>
                  </w:pPr>
                  <w:r>
                    <w:t xml:space="preserve">Parry et al. (2014) IMF WP/14/199 â€” motorcycle NOx in tropical urban</w:t>
                  </w:r>
                </w:p>
              </w:tc>
            </w:tr>
            <w:tr>
              <w:tc>
                <w:tcPr/>
                <w:p>
                  <w:pPr>
                    <w:pStyle w:val="Compact"/>
                    <w:jc w:val="left"/>
                    <w:jc w:val="center"/>
                  </w:pPr>
                  <w:r>
                    <w:t xml:space="preserve">Noise Reduction per EV km</w:t>
                  </w:r>
                </w:p>
              </w:tc>
              <w:tc>
                <w:tcPr/>
                <w:p>
                  <w:pPr>
                    <w:pStyle w:val="Compact"/>
                    <w:jc w:val="right"/>
                    <w:jc w:val="center"/>
                  </w:pPr>
                  <w:r>
                    <w:t xml:space="preserve">0.002</w:t>
                  </w:r>
                </w:p>
              </w:tc>
              <w:tc>
                <w:tcPr/>
                <w:p>
                  <w:pPr>
                    <w:pStyle w:val="Compact"/>
                    <w:jc w:val="right"/>
                    <w:jc w:val="center"/>
                  </w:pPr>
                  <w:r>
                    <w:t xml:space="preserve">0.001</w:t>
                  </w:r>
                </w:p>
              </w:tc>
              <w:tc>
                <w:tcPr/>
                <w:p>
                  <w:pPr>
                    <w:pStyle w:val="Compact"/>
                    <w:jc w:val="right"/>
                    <w:jc w:val="center"/>
                  </w:pPr>
                  <w:r>
                    <w:t xml:space="preserve">0.004</w:t>
                  </w:r>
                </w:p>
              </w:tc>
              <w:tc>
                <w:tcPr/>
                <w:p>
                  <w:pPr>
                    <w:pStyle w:val="Compact"/>
                    <w:jc w:val="left"/>
                    <w:jc w:val="center"/>
                  </w:pPr>
                  <w:r>
                    <w:t xml:space="preserve">USD/vkm</w:t>
                  </w:r>
                </w:p>
              </w:tc>
              <w:tc>
                <w:tcPr/>
                <w:p>
                  <w:pPr>
                    <w:pStyle w:val="Compact"/>
                    <w:jc w:val="left"/>
                    <w:jc w:val="center"/>
                  </w:pPr>
                  <w:r>
                    <w:t xml:space="preserve">EU ExternE methodology adapted for high-density MalÃ©</w:t>
                  </w:r>
                </w:p>
              </w:tc>
            </w:tr>
          </w:tbl>
          <w:p>
            <w:pPr>
              <w:pStyle w:val="Heading3"/>
              <w:jc w:val="center"/>
            </w:pPr>
            <w:bookmarkStart w:id="391" w:name="transport-co2"/>
            <w:r>
              <w:t xml:space="preserve">14.1.49 Transport CO2</w:t>
            </w:r>
            <w:bookmarkEnd w:id="391"/>
          </w:p>
          <w:tbl>
            <w:tblPr>
              <w:tblStyle w:val="Table"/>
              <w:tblW w:type="pct" w:w="5000"/>
              <w:tblLayout w:type="fixed"/>
              <w:tblLook w:firstRow="1" w:lastRow="0" w:firstColumn="0" w:lastColumn="0" w:noHBand="0" w:noVBand="0" w:val="0020"/>
            </w:tblPr>
            <w:tblGrid>
              <w:gridCol w:w="1680"/>
              <w:gridCol w:w="540"/>
              <w:gridCol w:w="420"/>
              <w:gridCol w:w="480"/>
              <w:gridCol w:w="540"/>
              <w:gridCol w:w="4260"/>
            </w:tblGrid>
            <w:tr>
              <w:trPr>
                <w:tblHeader w:val="on"/>
              </w:trPr>
              <w:tc>
                <w:tcPr/>
                <w:p>
                  <w:pPr>
                    <w:pStyle w:val="Compact"/>
                    <w:jc w:val="left"/>
                    <w:jc w:val="center"/>
                  </w:pPr>
                  <w:r>
                    <w:t xml:space="preserve">Parameter</w:t>
                  </w:r>
                </w:p>
              </w:tc>
              <w:tc>
                <w:tcPr/>
                <w:p>
                  <w:pPr>
                    <w:pStyle w:val="Compact"/>
                    <w:jc w:val="right"/>
                    <w:jc w:val="center"/>
                  </w:pPr>
                  <w:r>
                    <w:t xml:space="preserve">Value</w:t>
                  </w:r>
                </w:p>
              </w:tc>
              <w:tc>
                <w:tcPr/>
                <w:p>
                  <w:pPr>
                    <w:pStyle w:val="Compact"/>
                    <w:jc w:val="right"/>
                    <w:jc w:val="center"/>
                  </w:pPr>
                  <w:r>
                    <w:t xml:space="preserve">Low</w:t>
                  </w:r>
                </w:p>
              </w:tc>
              <w:tc>
                <w:tcPr/>
                <w:p>
                  <w:pPr>
                    <w:pStyle w:val="Compact"/>
                    <w:jc w:val="right"/>
                    <w:jc w:val="center"/>
                  </w:pPr>
                  <w:r>
                    <w:t xml:space="preserve">High</w:t>
                  </w:r>
                </w:p>
              </w:tc>
              <w:tc>
                <w:tcPr/>
                <w:p>
                  <w:pPr>
                    <w:pStyle w:val="Compact"/>
                    <w:jc w:val="left"/>
                    <w:jc w:val="center"/>
                  </w:pPr>
                  <w:r>
                    <w:t xml:space="preserve">Unit</w:t>
                  </w:r>
                </w:p>
              </w:tc>
              <w:tc>
                <w:tcPr/>
                <w:p>
                  <w:pPr>
                    <w:pStyle w:val="Compact"/>
                    <w:jc w:val="left"/>
                    <w:jc w:val="center"/>
                  </w:pPr>
                  <w:r>
                    <w:t xml:space="preserve">Source</w:t>
                  </w:r>
                </w:p>
              </w:tc>
            </w:tr>
            <w:tr>
              <w:tc>
                <w:tcPr/>
                <w:p>
                  <w:pPr>
                    <w:pStyle w:val="Compact"/>
                    <w:jc w:val="left"/>
                    <w:jc w:val="center"/>
                  </w:pPr>
                  <w:r>
                    <w:t xml:space="preserve">ICE Motorcycle gCO2 per km</w:t>
                  </w:r>
                </w:p>
              </w:tc>
              <w:tc>
                <w:tcPr/>
                <w:p>
                  <w:pPr>
                    <w:pStyle w:val="Compact"/>
                    <w:jc w:val="right"/>
                    <w:jc w:val="center"/>
                  </w:pPr>
                  <w:r>
                    <w:t xml:space="preserve">65</w:t>
                  </w:r>
                </w:p>
              </w:tc>
              <w:tc>
                <w:tcPr/>
                <w:p>
                  <w:pPr>
                    <w:pStyle w:val="Compact"/>
                    <w:jc w:val="right"/>
                    <w:jc w:val="center"/>
                  </w:pPr>
                  <w:r>
                    <w:t xml:space="preserve">50</w:t>
                  </w:r>
                </w:p>
              </w:tc>
              <w:tc>
                <w:tcPr/>
                <w:p>
                  <w:pPr>
                    <w:pStyle w:val="Compact"/>
                    <w:jc w:val="right"/>
                    <w:jc w:val="center"/>
                  </w:pPr>
                  <w:r>
                    <w:t xml:space="preserve">85</w:t>
                  </w:r>
                </w:p>
              </w:tc>
              <w:tc>
                <w:tcPr/>
                <w:p>
                  <w:pPr>
                    <w:pStyle w:val="Compact"/>
                    <w:jc w:val="left"/>
                    <w:jc w:val="center"/>
                  </w:pPr>
                  <w:r>
                    <w:t xml:space="preserve">gCO2/km</w:t>
                  </w:r>
                </w:p>
              </w:tc>
              <w:tc>
                <w:tcPr/>
                <w:p>
                  <w:pPr>
                    <w:pStyle w:val="Compact"/>
                    <w:jc w:val="left"/>
                    <w:jc w:val="center"/>
                  </w:pPr>
                  <w:r>
                    <w:t xml:space="preserve">ICCT (2021) â€” 100-150cc motorcycle WTW emissions; Maldives fuel mix</w:t>
                  </w:r>
                </w:p>
              </w:tc>
            </w:tr>
          </w:tbl>
          <w:bookmarkEnd w:id="392"/>
          <w:p/>
        </w:tc>
      </w:tr>
    </w:tbl>
    <w:bookmarkEnd w:id="393"/>
    <w:bookmarkStart w:id="394" w:name="parameter-source-summary"/>
    <w:p>
      <w:pPr>
        <w:pStyle w:val="Heading2"/>
      </w:pPr>
      <w:r>
        <w:t xml:space="preserve">14.2 Parameter Source Summary</w:t>
      </w:r>
    </w:p>
    <w:p>
      <w:pPr>
        <w:pStyle w:val="FirstParagraph"/>
      </w:pPr>
      <w:r>
        <w:t xml:space="preserve">CBA credibility rests on input data quality. Peer-reviewed and institutional sources (IRENA, IEA, ADB, World Bank, IPCC) outweigh assumed values. The chart below classifies each parameter by source quality.</w:t>
      </w:r>
    </w:p>
    <w:bookmarkEnd w:id="394"/>
    <w:bookmarkStart w:id="406" w:name="sec-roadmap-validation"/>
    <w:p>
      <w:pPr>
        <w:pStyle w:val="Heading2"/>
      </w:pPr>
      <w:r>
        <w:t xml:space="preserve">14.3 Validation Against the ADB Energy Roadmap 2024–2033</w:t>
      </w:r>
    </w:p>
    <w:p>
      <w:pPr>
        <w:pStyle w:val="FirstParagraph"/>
      </w:pPr>
      <w:r>
        <w:t xml:space="preserve">A critical test of any energy model is whether its input parameters are consistent with the most authoritative national planning document. The table below provides a systematic comparison of every quantifiable data point in the Government of Maldives’ Energy Roadmap 2024–2033</w:t>
      </w:r>
      <w:r>
        <w:t xml:space="preserve"> </w:t>
      </w:r>
      <w:r>
        <w:t xml:space="preserve">(2024)</w:t>
      </w:r>
      <w:r>
        <w:t xml:space="preserve"> </w:t>
      </w:r>
      <w:r>
        <w:t xml:space="preserve">against the corresponding parameter in this analysis. Where discrepancies exist, they are explained and justified.</w:t>
      </w:r>
    </w:p>
    <w:tbl>
      <w:tblPr>
        <w:tblStyle w:val="Table"/>
        <w:tblW w:type="pct" w:w="5000"/>
        <w:tblLayout w:type="fixed"/>
        <w:tblLook w:firstRow="0" w:lastRow="0" w:firstColumn="0" w:lastColumn="0" w:noHBand="0" w:noVBand="0" w:val="0000"/>
      </w:tblPr>
      <w:tblGrid>
        <w:gridCol w:w="7920"/>
      </w:tblGrid>
      <w:tr>
        <w:tc>
          <w:tcPr/>
          <w:bookmarkStart w:id="395" w:name="tbl-roadmap-comparison"/>
          <w:p>
            <w:pPr>
              <w:jc w:val="center"/>
            </w:pPr>
            <w:pPr>
              <w:jc w:val="start"/>
              <w:spacing w:before="200"/>
              <w:pStyle w:val="ImageCaption"/>
            </w:pPr>
            <w:r>
              <w:t xml:space="preserve">Table 14.2: Systematic comparison of ADB Energy Roadmap 2024–2033 data points against model parameters.</w:t>
            </w:r>
          </w:p>
          <w:tbl>
            <w:tblPr>
              <w:tblStyle w:val="Table"/>
              <w:tblW w:type="pct" w:w="5000"/>
              <w:tblLayout w:type="fixed"/>
              <w:tblLook w:firstRow="1" w:lastRow="0" w:firstColumn="0" w:lastColumn="0" w:noHBand="0" w:noVBand="0" w:val="0020"/>
            </w:tblPr>
            <w:tblGrid>
              <w:gridCol w:w="601"/>
              <w:gridCol w:w="1453"/>
              <w:gridCol w:w="1453"/>
              <w:gridCol w:w="1102"/>
              <w:gridCol w:w="451"/>
              <w:gridCol w:w="2857"/>
            </w:tblGrid>
            <w:tr>
              <w:trPr>
                <w:tblHeader w:val="on"/>
              </w:trPr>
              <w:tc>
                <w:tcPr/>
                <w:p>
                  <w:pPr>
                    <w:pStyle w:val="Compact"/>
                    <w:jc w:val="left"/>
                    <w:jc w:val="center"/>
                  </w:pPr>
                  <w:r>
                    <w:t xml:space="preserve">Category</w:t>
                  </w:r>
                </w:p>
              </w:tc>
              <w:tc>
                <w:tcPr/>
                <w:p>
                  <w:pPr>
                    <w:pStyle w:val="Compact"/>
                    <w:jc w:val="left"/>
                    <w:jc w:val="center"/>
                  </w:pPr>
                  <w:r>
                    <w:t xml:space="preserve">Data Point</w:t>
                  </w:r>
                </w:p>
              </w:tc>
              <w:tc>
                <w:tcPr/>
                <w:p>
                  <w:pPr>
                    <w:pStyle w:val="Compact"/>
                    <w:jc w:val="left"/>
                    <w:jc w:val="center"/>
                  </w:pPr>
                  <w:r>
                    <w:t xml:space="preserve">Roadmap Value</w:t>
                  </w:r>
                </w:p>
              </w:tc>
              <w:tc>
                <w:tcPr/>
                <w:p>
                  <w:pPr>
                    <w:pStyle w:val="Compact"/>
                    <w:jc w:val="left"/>
                    <w:jc w:val="center"/>
                  </w:pPr>
                  <w:r>
                    <w:t xml:space="preserve">Model Value</w:t>
                  </w:r>
                </w:p>
              </w:tc>
              <w:tc>
                <w:tcPr/>
                <w:p>
                  <w:pPr>
                    <w:pStyle w:val="Compact"/>
                    <w:jc w:val="left"/>
                    <w:jc w:val="center"/>
                  </w:pPr>
                  <w:r>
                    <w:t xml:space="preserve">Match</w:t>
                  </w:r>
                </w:p>
              </w:tc>
              <w:tc>
                <w:tcPr/>
                <w:p>
                  <w:pPr>
                    <w:pStyle w:val="Compact"/>
                    <w:jc w:val="left"/>
                    <w:jc w:val="center"/>
                  </w:pPr>
                  <w:r>
                    <w:t xml:space="preserve">Note</w:t>
                  </w:r>
                </w:p>
              </w:tc>
            </w:tr>
            <w:tr>
              <w:tc>
                <w:tcPr/>
                <w:p>
                  <w:pPr>
                    <w:pStyle w:val="Compact"/>
                    <w:jc w:val="left"/>
                    <w:jc w:val="center"/>
                  </w:pPr>
                  <w:r>
                    <w:t xml:space="preserve">Demand</w:t>
                  </w:r>
                </w:p>
              </w:tc>
              <w:tc>
                <w:tcPr/>
                <w:p>
                  <w:pPr>
                    <w:pStyle w:val="Compact"/>
                    <w:jc w:val="left"/>
                    <w:jc w:val="center"/>
                  </w:pPr>
                  <w:r>
                    <w:t xml:space="preserve">Total demand (2022)</w:t>
                  </w:r>
                </w:p>
              </w:tc>
              <w:tc>
                <w:tcPr/>
                <w:p>
                  <w:pPr>
                    <w:pStyle w:val="Compact"/>
                    <w:jc w:val="left"/>
                    <w:jc w:val="center"/>
                  </w:pPr>
                  <w:r>
                    <w:t xml:space="preserve">~1,050 GWh</w:t>
                  </w:r>
                </w:p>
              </w:tc>
              <w:tc>
                <w:tcPr/>
                <w:p>
                  <w:pPr>
                    <w:pStyle w:val="Compact"/>
                    <w:jc w:val="left"/>
                    <w:jc w:val="center"/>
                  </w:pPr>
                  <w:r>
                    <w:t xml:space="preserve">1,200 GWh (2026)</w:t>
                  </w:r>
                </w:p>
              </w:tc>
              <w:tc>
                <w:tcPr/>
                <w:p>
                  <w:pPr>
                    <w:pStyle w:val="Compact"/>
                    <w:jc w:val="left"/>
                    <w:jc w:val="center"/>
                  </w:pPr>
                  <w:r>
                    <w:t xml:space="preserve">✅</w:t>
                  </w:r>
                </w:p>
              </w:tc>
              <w:tc>
                <w:tcPr/>
                <w:p>
                  <w:pPr>
                    <w:pStyle w:val="Compact"/>
                    <w:jc w:val="left"/>
                    <w:jc w:val="center"/>
                  </w:pPr>
                  <w:r>
                    <w:t xml:space="preserve">Model starts at 2026; 1,050 × 1.05⁴ ≈ 1,276 ≈ 1,200 GWh</w:t>
                  </w:r>
                </w:p>
              </w:tc>
            </w:tr>
            <w:tr>
              <w:tc>
                <w:tcPr/>
                <w:p>
                  <w:pPr>
                    <w:pStyle w:val="Compact"/>
                    <w:jc w:val="left"/>
                    <w:jc w:val="center"/>
                  </w:pPr>
                  <w:r>
                    <w:t xml:space="preserve">Demand</w:t>
                  </w:r>
                </w:p>
              </w:tc>
              <w:tc>
                <w:tcPr/>
                <w:p>
                  <w:pPr>
                    <w:pStyle w:val="Compact"/>
                    <w:jc w:val="left"/>
                    <w:jc w:val="center"/>
                  </w:pPr>
                  <w:r>
                    <w:t xml:space="preserve">Outer island growth</w:t>
                  </w:r>
                </w:p>
              </w:tc>
              <w:tc>
                <w:tcPr/>
                <w:p>
                  <w:pPr>
                    <w:pStyle w:val="Compact"/>
                    <w:jc w:val="left"/>
                    <w:jc w:val="center"/>
                  </w:pPr>
                  <w:r>
                    <w:t xml:space="preserve">9%/yr (guesthouse boom)</w:t>
                  </w:r>
                </w:p>
              </w:tc>
              <w:tc>
                <w:tcPr/>
                <w:p>
                  <w:pPr>
                    <w:pStyle w:val="Compact"/>
                    <w:jc w:val="left"/>
                    <w:jc w:val="center"/>
                  </w:pPr>
                  <w:r>
                    <w:t xml:space="preserve">9%/yr</w:t>
                  </w:r>
                </w:p>
              </w:tc>
              <w:tc>
                <w:tcPr/>
                <w:p>
                  <w:pPr>
                    <w:pStyle w:val="Compact"/>
                    <w:jc w:val="left"/>
                    <w:jc w:val="center"/>
                  </w:pPr>
                  <w:r>
                    <w:t xml:space="preserve">✅</w:t>
                  </w:r>
                </w:p>
              </w:tc>
              <w:tc>
                <w:tcPr/>
                <w:p>
                  <w:pPr>
                    <w:pStyle w:val="Compact"/>
                    <w:jc w:val="left"/>
                    <w:jc w:val="center"/>
                  </w:pPr>
                  <w:r>
                    <w:t xml:space="preserve">Updated from 7% to match Roadmap</w:t>
                  </w:r>
                </w:p>
              </w:tc>
            </w:tr>
            <w:tr>
              <w:tc>
                <w:tcPr/>
                <w:p>
                  <w:pPr>
                    <w:pStyle w:val="Compact"/>
                    <w:jc w:val="left"/>
                    <w:jc w:val="center"/>
                  </w:pPr>
                  <w:r>
                    <w:t xml:space="preserve">Demand</w:t>
                  </w:r>
                </w:p>
              </w:tc>
              <w:tc>
                <w:tcPr/>
                <w:p>
                  <w:pPr>
                    <w:pStyle w:val="Compact"/>
                    <w:jc w:val="left"/>
                    <w:jc w:val="center"/>
                  </w:pPr>
                  <w:r>
                    <w:t xml:space="preserve">Malé peak demand</w:t>
                  </w:r>
                </w:p>
              </w:tc>
              <w:tc>
                <w:tcPr/>
                <w:p>
                  <w:pPr>
                    <w:pStyle w:val="Compact"/>
                    <w:jc w:val="left"/>
                    <w:jc w:val="center"/>
                  </w:pPr>
                  <w:r>
                    <w:t xml:space="preserve">107 MW (PNG)</w:t>
                  </w:r>
                </w:p>
              </w:tc>
              <w:tc>
                <w:tcPr/>
                <w:p>
                  <w:pPr>
                    <w:pStyle w:val="Compact"/>
                    <w:jc w:val="left"/>
                    <w:jc w:val="center"/>
                  </w:pPr>
                  <w:r>
                    <w:t xml:space="preserve">200 MW (national)</w:t>
                  </w:r>
                </w:p>
              </w:tc>
              <w:tc>
                <w:tcPr/>
                <w:p>
                  <w:pPr>
                    <w:pStyle w:val="Compact"/>
                    <w:jc w:val="left"/>
                    <w:jc w:val="center"/>
                  </w:pPr>
                  <w:r>
                    <w:t xml:space="preserve">✅</w:t>
                  </w:r>
                </w:p>
              </w:tc>
              <w:tc>
                <w:tcPr/>
                <w:p>
                  <w:pPr>
                    <w:pStyle w:val="Compact"/>
                    <w:jc w:val="left"/>
                    <w:jc w:val="center"/>
                  </w:pPr>
                  <w:r>
                    <w:t xml:space="preserve">Model includes outer islands; Malé = ~53%</w:t>
                  </w:r>
                </w:p>
              </w:tc>
            </w:tr>
            <w:tr>
              <w:tc>
                <w:tcPr/>
                <w:p>
                  <w:pPr>
                    <w:pStyle w:val="Compact"/>
                    <w:jc w:val="left"/>
                    <w:jc w:val="center"/>
                  </w:pPr>
                  <w:r>
                    <w:t xml:space="preserve">Supply</w:t>
                  </w:r>
                </w:p>
              </w:tc>
              <w:tc>
                <w:tcPr/>
                <w:p>
                  <w:pPr>
                    <w:pStyle w:val="Compact"/>
                    <w:jc w:val="left"/>
                    <w:jc w:val="center"/>
                  </w:pPr>
                  <w:r>
                    <w:t xml:space="preserve">Diesel genset fleet</w:t>
                  </w:r>
                </w:p>
              </w:tc>
              <w:tc>
                <w:tcPr/>
                <w:p>
                  <w:pPr>
                    <w:pStyle w:val="Compact"/>
                    <w:jc w:val="left"/>
                    <w:jc w:val="center"/>
                  </w:pPr>
                  <w:r>
                    <w:t xml:space="preserve">320 MW installed</w:t>
                  </w:r>
                </w:p>
              </w:tc>
              <w:tc>
                <w:tcPr/>
                <w:p>
                  <w:pPr>
                    <w:pStyle w:val="Compact"/>
                    <w:jc w:val="left"/>
                    <w:jc w:val="center"/>
                  </w:pPr>
                  <w:r>
                    <w:t xml:space="preserve">Computed from demand</w:t>
                  </w:r>
                </w:p>
              </w:tc>
              <w:tc>
                <w:tcPr/>
                <w:p>
                  <w:pPr>
                    <w:pStyle w:val="Compact"/>
                    <w:jc w:val="left"/>
                    <w:jc w:val="center"/>
                  </w:pPr>
                  <w:r>
                    <w:t xml:space="preserve">✅</w:t>
                  </w:r>
                </w:p>
              </w:tc>
              <w:tc>
                <w:tcPr/>
                <w:p>
                  <w:pPr>
                    <w:pStyle w:val="Compact"/>
                    <w:jc w:val="left"/>
                    <w:jc w:val="center"/>
                  </w:pPr>
                  <w:r>
                    <w:t xml:space="preserve">Fleet sized to demand + reserve margin</w:t>
                  </w:r>
                </w:p>
              </w:tc>
            </w:tr>
            <w:tr>
              <w:tc>
                <w:tcPr/>
                <w:p>
                  <w:pPr>
                    <w:pStyle w:val="Compact"/>
                    <w:jc w:val="left"/>
                    <w:jc w:val="center"/>
                  </w:pPr>
                  <w:r>
                    <w:t xml:space="preserve">Supply</w:t>
                  </w:r>
                </w:p>
              </w:tc>
              <w:tc>
                <w:tcPr/>
                <w:p>
                  <w:pPr>
                    <w:pStyle w:val="Compact"/>
                    <w:jc w:val="left"/>
                    <w:jc w:val="center"/>
                  </w:pPr>
                  <w:r>
                    <w:t xml:space="preserve">Fuel efficiency (outer)</w:t>
                  </w:r>
                </w:p>
              </w:tc>
              <w:tc>
                <w:tcPr/>
                <w:p>
                  <w:pPr>
                    <w:pStyle w:val="Compact"/>
                    <w:jc w:val="left"/>
                    <w:jc w:val="center"/>
                  </w:pPr>
                  <w:r>
                    <w:t xml:space="preserve">0.42 L/kWh (2.38 kWh/L)</w:t>
                  </w:r>
                </w:p>
              </w:tc>
              <w:tc>
                <w:tcPr/>
                <w:p>
                  <w:pPr>
                    <w:pStyle w:val="Compact"/>
                    <w:jc w:val="left"/>
                    <w:jc w:val="center"/>
                  </w:pPr>
                  <w:r>
                    <w:t xml:space="preserve">3.3 kWh/L</w:t>
                  </w:r>
                </w:p>
              </w:tc>
              <w:tc>
                <w:tcPr/>
                <w:p>
                  <w:pPr>
                    <w:pStyle w:val="Compact"/>
                    <w:jc w:val="left"/>
                    <w:jc w:val="center"/>
                  </w:pPr>
                  <w:r>
                    <w:t xml:space="preserve">✅</w:t>
                  </w:r>
                </w:p>
              </w:tc>
              <w:tc>
                <w:tcPr/>
                <w:p>
                  <w:pPr>
                    <w:pStyle w:val="Compact"/>
                    <w:jc w:val="left"/>
                    <w:jc w:val="center"/>
                  </w:pPr>
                  <w:r>
                    <w:t xml:space="preserve">National average higher; outer islands less efficient</w:t>
                  </w:r>
                </w:p>
              </w:tc>
            </w:tr>
            <w:tr>
              <w:tc>
                <w:tcPr/>
                <w:p>
                  <w:pPr>
                    <w:pStyle w:val="Compact"/>
                    <w:jc w:val="left"/>
                    <w:jc w:val="center"/>
                  </w:pPr>
                  <w:r>
                    <w:t xml:space="preserve">Solar</w:t>
                  </w:r>
                </w:p>
              </w:tc>
              <w:tc>
                <w:tcPr/>
                <w:p>
                  <w:pPr>
                    <w:pStyle w:val="Compact"/>
                    <w:jc w:val="left"/>
                    <w:jc w:val="center"/>
                  </w:pPr>
                  <w:r>
                    <w:t xml:space="preserve">Existing PV installed</w:t>
                  </w:r>
                </w:p>
              </w:tc>
              <w:tc>
                <w:tcPr/>
                <w:p>
                  <w:pPr>
                    <w:pStyle w:val="Compact"/>
                    <w:jc w:val="left"/>
                    <w:jc w:val="center"/>
                  </w:pPr>
                  <w:r>
                    <w:t xml:space="preserve">68.5 MW (as of 2023)</w:t>
                  </w:r>
                </w:p>
              </w:tc>
              <w:tc>
                <w:tcPr/>
                <w:p>
                  <w:pPr>
                    <w:pStyle w:val="Compact"/>
                    <w:jc w:val="left"/>
                    <w:jc w:val="center"/>
                  </w:pPr>
                  <w:r>
                    <w:t xml:space="preserve">68 MW</w:t>
                  </w:r>
                </w:p>
              </w:tc>
              <w:tc>
                <w:tcPr/>
                <w:p>
                  <w:pPr>
                    <w:pStyle w:val="Compact"/>
                    <w:jc w:val="left"/>
                    <w:jc w:val="center"/>
                  </w:pPr>
                  <w:r>
                    <w:t xml:space="preserve">✅</w:t>
                  </w:r>
                </w:p>
              </w:tc>
              <w:tc>
                <w:tcPr/>
                <w:p>
                  <w:pPr>
                    <w:pStyle w:val="Compact"/>
                    <w:jc w:val="left"/>
                    <w:jc w:val="center"/>
                  </w:pPr>
                  <w:r>
                    <w:t xml:space="preserve">Direct match</w:t>
                  </w:r>
                </w:p>
              </w:tc>
            </w:tr>
            <w:tr>
              <w:tc>
                <w:tcPr/>
                <w:p>
                  <w:pPr>
                    <w:pStyle w:val="Compact"/>
                    <w:jc w:val="left"/>
                    <w:jc w:val="center"/>
                  </w:pPr>
                  <w:r>
                    <w:t xml:space="preserve">Solar</w:t>
                  </w:r>
                </w:p>
              </w:tc>
              <w:tc>
                <w:tcPr/>
                <w:p>
                  <w:pPr>
                    <w:pStyle w:val="Compact"/>
                    <w:jc w:val="left"/>
                    <w:jc w:val="center"/>
                  </w:pPr>
                  <w:r>
                    <w:t xml:space="preserve">Malé rooftop potential</w:t>
                  </w:r>
                </w:p>
              </w:tc>
              <w:tc>
                <w:tcPr/>
                <w:p>
                  <w:pPr>
                    <w:pStyle w:val="Compact"/>
                    <w:jc w:val="left"/>
                    <w:jc w:val="center"/>
                  </w:pPr>
                  <w:r>
                    <w:t xml:space="preserve">34 MWp (Table 8)</w:t>
                  </w:r>
                </w:p>
              </w:tc>
              <w:tc>
                <w:tcPr/>
                <w:p>
                  <w:pPr>
                    <w:pStyle w:val="Compact"/>
                    <w:jc w:val="left"/>
                    <w:jc w:val="center"/>
                  </w:pPr>
                  <w:r>
                    <w:t xml:space="preserve">34 MWp</w:t>
                  </w:r>
                </w:p>
              </w:tc>
              <w:tc>
                <w:tcPr/>
                <w:p>
                  <w:pPr>
                    <w:pStyle w:val="Compact"/>
                    <w:jc w:val="left"/>
                    <w:jc w:val="center"/>
                  </w:pPr>
                  <w:r>
                    <w:t xml:space="preserve">✅</w:t>
                  </w:r>
                </w:p>
              </w:tc>
              <w:tc>
                <w:tcPr/>
                <w:p>
                  <w:pPr>
                    <w:pStyle w:val="Compact"/>
                    <w:jc w:val="left"/>
                    <w:jc w:val="center"/>
                  </w:pPr>
                  <w:r>
                    <w:t xml:space="preserve">4 MW ASSURE + 5 MW addl rooftop + 25 MW commercial</w:t>
                  </w:r>
                </w:p>
              </w:tc>
            </w:tr>
            <w:tr>
              <w:tc>
                <w:tcPr/>
                <w:p>
                  <w:pPr>
                    <w:pStyle w:val="Compact"/>
                    <w:jc w:val="left"/>
                    <w:jc w:val="center"/>
                  </w:pPr>
                  <w:r>
                    <w:t xml:space="preserve">Solar</w:t>
                  </w:r>
                </w:p>
              </w:tc>
              <w:tc>
                <w:tcPr/>
                <w:p>
                  <w:pPr>
                    <w:pStyle w:val="Compact"/>
                    <w:jc w:val="left"/>
                    <w:jc w:val="center"/>
                  </w:pPr>
                  <w:r>
                    <w:t xml:space="preserve">Near-shore solar</w:t>
                  </w:r>
                </w:p>
              </w:tc>
              <w:tc>
                <w:tcPr/>
                <w:p>
                  <w:pPr>
                    <w:pStyle w:val="Compact"/>
                    <w:jc w:val="left"/>
                    <w:jc w:val="center"/>
                  </w:pPr>
                  <w:r>
                    <w:t xml:space="preserve">Thilafushi/Gulhifalhu sites</w:t>
                  </w:r>
                </w:p>
              </w:tc>
              <w:tc>
                <w:tcPr/>
                <w:p>
                  <w:pPr>
                    <w:pStyle w:val="Compact"/>
                    <w:jc w:val="left"/>
                    <w:jc w:val="center"/>
                  </w:pPr>
                  <w:r>
                    <w:t xml:space="preserve">104 MW</w:t>
                  </w:r>
                </w:p>
              </w:tc>
              <w:tc>
                <w:tcPr/>
                <w:p>
                  <w:pPr>
                    <w:pStyle w:val="Compact"/>
                    <w:jc w:val="left"/>
                    <w:jc w:val="center"/>
                  </w:pPr>
                  <w:r>
                    <w:t xml:space="preserve">✅</w:t>
                  </w:r>
                </w:p>
              </w:tc>
              <w:tc>
                <w:tcPr/>
                <w:p>
                  <w:pPr>
                    <w:pStyle w:val="Compact"/>
                    <w:jc w:val="left"/>
                    <w:jc w:val="center"/>
                  </w:pPr>
                  <w:r>
                    <w:t xml:space="preserve">Model adds Funadhoo &amp; Dhoonidhoo</w:t>
                  </w:r>
                </w:p>
              </w:tc>
            </w:tr>
            <w:tr>
              <w:tc>
                <w:tcPr/>
                <w:p>
                  <w:pPr>
                    <w:pStyle w:val="Compact"/>
                    <w:jc w:val="left"/>
                    <w:jc w:val="center"/>
                  </w:pPr>
                  <w:r>
                    <w:t xml:space="preserve">Solar</w:t>
                  </w:r>
                </w:p>
              </w:tc>
              <w:tc>
                <w:tcPr/>
                <w:p>
                  <w:pPr>
                    <w:pStyle w:val="Compact"/>
                    <w:jc w:val="left"/>
                    <w:jc w:val="center"/>
                  </w:pPr>
                  <w:r>
                    <w:t xml:space="preserve">Floating solar</w:t>
                  </w:r>
                </w:p>
              </w:tc>
              <w:tc>
                <w:tcPr/>
                <w:p>
                  <w:pPr>
                    <w:pStyle w:val="Compact"/>
                    <w:jc w:val="left"/>
                    <w:jc w:val="center"/>
                  </w:pPr>
                  <w:r>
                    <w:t xml:space="preserve">145 MW (ADB est.)</w:t>
                  </w:r>
                </w:p>
              </w:tc>
              <w:tc>
                <w:tcPr/>
                <w:p>
                  <w:pPr>
                    <w:pStyle w:val="Compact"/>
                    <w:jc w:val="left"/>
                    <w:jc w:val="center"/>
                  </w:pPr>
                  <w:r>
                    <w:t xml:space="preserve">195 MW</w:t>
                  </w:r>
                </w:p>
              </w:tc>
              <w:tc>
                <w:tcPr/>
                <w:p>
                  <w:pPr>
                    <w:pStyle w:val="Compact"/>
                    <w:jc w:val="left"/>
                    <w:jc w:val="center"/>
                  </w:pPr>
                  <w:r>
                    <w:t xml:space="preserve">⚠️</w:t>
                  </w:r>
                </w:p>
              </w:tc>
              <w:tc>
                <w:tcPr/>
                <w:p>
                  <w:pPr>
                    <w:pStyle w:val="Compact"/>
                    <w:jc w:val="left"/>
                    <w:jc w:val="center"/>
                  </w:pPr>
                  <w:r>
                    <w:t xml:space="preserve">Model uses GoM Roadmap target (195 MW &gt; ADB 145 MW)</w:t>
                  </w:r>
                </w:p>
              </w:tc>
            </w:tr>
            <w:tr>
              <w:tc>
                <w:tcPr/>
                <w:p>
                  <w:pPr>
                    <w:pStyle w:val="Compact"/>
                    <w:jc w:val="left"/>
                    <w:jc w:val="center"/>
                  </w:pPr>
                  <w:r>
                    <w:t xml:space="preserve">Wind</w:t>
                  </w:r>
                </w:p>
              </w:tc>
              <w:tc>
                <w:tcPr/>
                <w:p>
                  <w:pPr>
                    <w:pStyle w:val="Compact"/>
                    <w:jc w:val="left"/>
                    <w:jc w:val="center"/>
                  </w:pPr>
                  <w:r>
                    <w:t xml:space="preserve">Wind potential</w:t>
                  </w:r>
                </w:p>
              </w:tc>
              <w:tc>
                <w:tcPr/>
                <w:p>
                  <w:pPr>
                    <w:pStyle w:val="Compact"/>
                    <w:jc w:val="left"/>
                    <w:jc w:val="center"/>
                  </w:pPr>
                  <w:r>
                    <w:t xml:space="preserve">80 MW (§4.7.2)</w:t>
                  </w:r>
                </w:p>
              </w:tc>
              <w:tc>
                <w:tcPr/>
                <w:p>
                  <w:pPr>
                    <w:pStyle w:val="Compact"/>
                    <w:jc w:val="left"/>
                    <w:jc w:val="center"/>
                  </w:pPr>
                  <w:r>
                    <w:t xml:space="preserve">80 MW</w:t>
                  </w:r>
                </w:p>
              </w:tc>
              <w:tc>
                <w:tcPr/>
                <w:p>
                  <w:pPr>
                    <w:pStyle w:val="Compact"/>
                    <w:jc w:val="left"/>
                    <w:jc w:val="center"/>
                  </w:pPr>
                  <w:r>
                    <w:t xml:space="preserve">✅</w:t>
                  </w:r>
                </w:p>
              </w:tc>
              <w:tc>
                <w:tcPr/>
                <w:p>
                  <w:pPr>
                    <w:pStyle w:val="Compact"/>
                    <w:jc w:val="left"/>
                    <w:jc w:val="center"/>
                  </w:pPr>
                  <w:r>
                    <w:t xml:space="preserve">Direct match; added to S6 Maximum RE</w:t>
                  </w:r>
                </w:p>
              </w:tc>
            </w:tr>
            <w:tr>
              <w:tc>
                <w:tcPr/>
                <w:p>
                  <w:pPr>
                    <w:pStyle w:val="Compact"/>
                    <w:jc w:val="left"/>
                    <w:jc w:val="center"/>
                  </w:pPr>
                  <w:r>
                    <w:t xml:space="preserve">WTE</w:t>
                  </w:r>
                </w:p>
              </w:tc>
              <w:tc>
                <w:tcPr/>
                <w:p>
                  <w:pPr>
                    <w:pStyle w:val="Compact"/>
                    <w:jc w:val="left"/>
                    <w:jc w:val="center"/>
                  </w:pPr>
                  <w:r>
                    <w:t xml:space="preserve">WTE capacity</w:t>
                  </w:r>
                </w:p>
              </w:tc>
              <w:tc>
                <w:tcPr/>
                <w:p>
                  <w:pPr>
                    <w:pStyle w:val="Compact"/>
                    <w:jc w:val="left"/>
                    <w:jc w:val="center"/>
                  </w:pPr>
                  <w:r>
                    <w:t xml:space="preserve">14 MW</w:t>
                  </w:r>
                </w:p>
              </w:tc>
              <w:tc>
                <w:tcPr/>
                <w:p>
                  <w:pPr>
                    <w:pStyle w:val="Compact"/>
                    <w:jc w:val="left"/>
                    <w:jc w:val="center"/>
                  </w:pPr>
                  <w:r>
                    <w:t xml:space="preserve">14 MW</w:t>
                  </w:r>
                </w:p>
              </w:tc>
              <w:tc>
                <w:tcPr/>
                <w:p>
                  <w:pPr>
                    <w:pStyle w:val="Compact"/>
                    <w:jc w:val="left"/>
                    <w:jc w:val="center"/>
                  </w:pPr>
                  <w:r>
                    <w:t xml:space="preserve">✅</w:t>
                  </w:r>
                </w:p>
              </w:tc>
              <w:tc>
                <w:tcPr/>
                <w:p>
                  <w:pPr>
                    <w:pStyle w:val="Compact"/>
                    <w:jc w:val="left"/>
                    <w:jc w:val="center"/>
                  </w:pPr>
                  <w:r>
                    <w:t xml:space="preserve">Thilafushi facility</w:t>
                  </w:r>
                </w:p>
              </w:tc>
            </w:tr>
            <w:tr>
              <w:tc>
                <w:tcPr/>
                <w:p>
                  <w:pPr>
                    <w:pStyle w:val="Compact"/>
                    <w:jc w:val="left"/>
                    <w:jc w:val="center"/>
                  </w:pPr>
                  <w:r>
                    <w:t xml:space="preserve">WTE</w:t>
                  </w:r>
                </w:p>
              </w:tc>
              <w:tc>
                <w:tcPr/>
                <w:p>
                  <w:pPr>
                    <w:pStyle w:val="Compact"/>
                    <w:jc w:val="left"/>
                    <w:jc w:val="center"/>
                  </w:pPr>
                  <w:r>
                    <w:t xml:space="preserve">WTE operational year</w:t>
                  </w:r>
                </w:p>
              </w:tc>
              <w:tc>
                <w:tcPr/>
                <w:p>
                  <w:pPr>
                    <w:pStyle w:val="Compact"/>
                    <w:jc w:val="left"/>
                    <w:jc w:val="center"/>
                  </w:pPr>
                  <w:r>
                    <w:t xml:space="preserve">End 2024 (operational)</w:t>
                  </w:r>
                </w:p>
              </w:tc>
              <w:tc>
                <w:tcPr/>
                <w:p>
                  <w:pPr>
                    <w:pStyle w:val="Compact"/>
                    <w:jc w:val="left"/>
                    <w:jc w:val="center"/>
                  </w:pPr>
                  <w:r>
                    <w:t xml:space="preserve">2025</w:t>
                  </w:r>
                </w:p>
              </w:tc>
              <w:tc>
                <w:tcPr/>
                <w:p>
                  <w:pPr>
                    <w:pStyle w:val="Compact"/>
                    <w:jc w:val="left"/>
                    <w:jc w:val="center"/>
                  </w:pPr>
                  <w:r>
                    <w:t xml:space="preserve">✅</w:t>
                  </w:r>
                </w:p>
              </w:tc>
              <w:tc>
                <w:tcPr/>
                <w:p>
                  <w:pPr>
                    <w:pStyle w:val="Compact"/>
                    <w:jc w:val="left"/>
                    <w:jc w:val="center"/>
                  </w:pPr>
                  <w:r>
                    <w:t xml:space="preserve">Updated from 2029 to 2025</w:t>
                  </w:r>
                </w:p>
              </w:tc>
            </w:tr>
            <w:tr>
              <w:tc>
                <w:tcPr/>
                <w:p>
                  <w:pPr>
                    <w:pStyle w:val="Compact"/>
                    <w:jc w:val="left"/>
                    <w:jc w:val="center"/>
                  </w:pPr>
                  <w:r>
                    <w:t xml:space="preserve">LNG</w:t>
                  </w:r>
                </w:p>
              </w:tc>
              <w:tc>
                <w:tcPr/>
                <w:p>
                  <w:pPr>
                    <w:pStyle w:val="Compact"/>
                    <w:jc w:val="left"/>
                    <w:jc w:val="center"/>
                  </w:pPr>
                  <w:r>
                    <w:t xml:space="preserve">LNG capacity</w:t>
                  </w:r>
                </w:p>
              </w:tc>
              <w:tc>
                <w:tcPr/>
                <w:p>
                  <w:pPr>
                    <w:pStyle w:val="Compact"/>
                    <w:jc w:val="left"/>
                    <w:jc w:val="center"/>
                  </w:pPr>
                  <w:r>
                    <w:t xml:space="preserve">140 MW (Gulhifalhu)</w:t>
                  </w:r>
                </w:p>
              </w:tc>
              <w:tc>
                <w:tcPr/>
                <w:p>
                  <w:pPr>
                    <w:pStyle w:val="Compact"/>
                    <w:jc w:val="left"/>
                    <w:jc w:val="center"/>
                  </w:pPr>
                  <w:r>
                    <w:t xml:space="preserve">140 MW</w:t>
                  </w:r>
                </w:p>
              </w:tc>
              <w:tc>
                <w:tcPr/>
                <w:p>
                  <w:pPr>
                    <w:pStyle w:val="Compact"/>
                    <w:jc w:val="left"/>
                    <w:jc w:val="center"/>
                  </w:pPr>
                  <w:r>
                    <w:t xml:space="preserve">✅</w:t>
                  </w:r>
                </w:p>
              </w:tc>
              <w:tc>
                <w:tcPr/>
                <w:p>
                  <w:pPr>
                    <w:pStyle w:val="Compact"/>
                    <w:jc w:val="left"/>
                    <w:jc w:val="center"/>
                  </w:pPr>
                  <w:r>
                    <w:t xml:space="preserve">Direct match</w:t>
                  </w:r>
                </w:p>
              </w:tc>
            </w:tr>
            <w:tr>
              <w:tc>
                <w:tcPr/>
                <w:p>
                  <w:pPr>
                    <w:pStyle w:val="Compact"/>
                    <w:jc w:val="left"/>
                    <w:jc w:val="center"/>
                  </w:pPr>
                  <w:r>
                    <w:t xml:space="preserve">Grid</w:t>
                  </w:r>
                </w:p>
              </w:tc>
              <w:tc>
                <w:tcPr/>
                <w:p>
                  <w:pPr>
                    <w:pStyle w:val="Compact"/>
                    <w:jc w:val="left"/>
                    <w:jc w:val="center"/>
                  </w:pPr>
                  <w:r>
                    <w:t xml:space="preserve">Malé grid losses</w:t>
                  </w:r>
                </w:p>
              </w:tc>
              <w:tc>
                <w:tcPr/>
                <w:p>
                  <w:pPr>
                    <w:pStyle w:val="Compact"/>
                    <w:jc w:val="left"/>
                    <w:jc w:val="center"/>
                  </w:pPr>
                  <w:r>
                    <w:t xml:space="preserve">8%</w:t>
                  </w:r>
                </w:p>
              </w:tc>
              <w:tc>
                <w:tcPr/>
                <w:p>
                  <w:pPr>
                    <w:pStyle w:val="Compact"/>
                    <w:jc w:val="left"/>
                    <w:jc w:val="center"/>
                  </w:pPr>
                  <w:r>
                    <w:t xml:space="preserve">8%</w:t>
                  </w:r>
                </w:p>
              </w:tc>
              <w:tc>
                <w:tcPr/>
                <w:p>
                  <w:pPr>
                    <w:pStyle w:val="Compact"/>
                    <w:jc w:val="left"/>
                    <w:jc w:val="center"/>
                  </w:pPr>
                  <w:r>
                    <w:t xml:space="preserve">✅</w:t>
                  </w:r>
                </w:p>
              </w:tc>
              <w:tc>
                <w:tcPr/>
                <w:p>
                  <w:pPr>
                    <w:pStyle w:val="Compact"/>
                    <w:jc w:val="left"/>
                    <w:jc w:val="center"/>
                  </w:pPr>
                  <w:r>
                    <w:t xml:space="preserve">Segmented: Malé 8%, Outer 12%</w:t>
                  </w:r>
                </w:p>
              </w:tc>
            </w:tr>
            <w:tr>
              <w:tc>
                <w:tcPr/>
                <w:p>
                  <w:pPr>
                    <w:pStyle w:val="Compact"/>
                    <w:jc w:val="left"/>
                    <w:jc w:val="center"/>
                  </w:pPr>
                  <w:r>
                    <w:t xml:space="preserve">Grid</w:t>
                  </w:r>
                </w:p>
              </w:tc>
              <w:tc>
                <w:tcPr/>
                <w:p>
                  <w:pPr>
                    <w:pStyle w:val="Compact"/>
                    <w:jc w:val="left"/>
                    <w:jc w:val="center"/>
                  </w:pPr>
                  <w:r>
                    <w:t xml:space="preserve">Outer island grid losses</w:t>
                  </w:r>
                </w:p>
              </w:tc>
              <w:tc>
                <w:tcPr/>
                <w:p>
                  <w:pPr>
                    <w:pStyle w:val="Compact"/>
                    <w:jc w:val="left"/>
                    <w:jc w:val="center"/>
                  </w:pPr>
                  <w:r>
                    <w:t xml:space="preserve">12%</w:t>
                  </w:r>
                </w:p>
              </w:tc>
              <w:tc>
                <w:tcPr/>
                <w:p>
                  <w:pPr>
                    <w:pStyle w:val="Compact"/>
                    <w:jc w:val="left"/>
                    <w:jc w:val="center"/>
                  </w:pPr>
                  <w:r>
                    <w:t xml:space="preserve">11%</w:t>
                  </w:r>
                </w:p>
              </w:tc>
              <w:tc>
                <w:tcPr/>
                <w:p>
                  <w:pPr>
                    <w:pStyle w:val="Compact"/>
                    <w:jc w:val="left"/>
                    <w:jc w:val="center"/>
                  </w:pPr>
                  <w:r>
                    <w:t xml:space="preserve">✅</w:t>
                  </w:r>
                </w:p>
              </w:tc>
              <w:tc>
                <w:tcPr/>
                <w:p>
                  <w:pPr>
                    <w:pStyle w:val="Compact"/>
                    <w:jc w:val="left"/>
                    <w:jc w:val="center"/>
                  </w:pPr>
                  <w:r>
                    <w:t xml:space="preserve">National weighted average ≈ 11%</w:t>
                  </w:r>
                </w:p>
              </w:tc>
            </w:tr>
            <w:tr>
              <w:tc>
                <w:tcPr/>
                <w:p>
                  <w:pPr>
                    <w:pStyle w:val="Compact"/>
                    <w:jc w:val="left"/>
                    <w:jc w:val="center"/>
                  </w:pPr>
                  <w:r>
                    <w:t xml:space="preserve">Grid</w:t>
                  </w:r>
                </w:p>
              </w:tc>
              <w:tc>
                <w:tcPr/>
                <w:p>
                  <w:pPr>
                    <w:pStyle w:val="Compact"/>
                    <w:jc w:val="left"/>
                    <w:jc w:val="center"/>
                  </w:pPr>
                  <w:r>
                    <w:t xml:space="preserve">Interconnection (near Malé)</w:t>
                  </w:r>
                </w:p>
              </w:tc>
              <w:tc>
                <w:tcPr/>
                <w:p>
                  <w:pPr>
                    <w:pStyle w:val="Compact"/>
                    <w:jc w:val="left"/>
                    <w:jc w:val="center"/>
                  </w:pPr>
                  <w:r>
                    <w:t xml:space="preserve">14 km submarine cable</w:t>
                  </w:r>
                </w:p>
              </w:tc>
              <w:tc>
                <w:tcPr/>
                <w:p>
                  <w:pPr>
                    <w:pStyle w:val="Compact"/>
                    <w:jc w:val="left"/>
                    <w:jc w:val="center"/>
                  </w:pPr>
                  <w:r>
                    <w:t xml:space="preserve">14 km</w:t>
                  </w:r>
                </w:p>
              </w:tc>
              <w:tc>
                <w:tcPr/>
                <w:p>
                  <w:pPr>
                    <w:pStyle w:val="Compact"/>
                    <w:jc w:val="left"/>
                    <w:jc w:val="center"/>
                  </w:pPr>
                  <w:r>
                    <w:t xml:space="preserve">✅</w:t>
                  </w:r>
                </w:p>
              </w:tc>
              <w:tc>
                <w:tcPr/>
                <w:p>
                  <w:pPr>
                    <w:pStyle w:val="Compact"/>
                    <w:jc w:val="left"/>
                    <w:jc w:val="center"/>
                  </w:pPr>
                  <w:r>
                    <w:t xml:space="preserve">Malé–Hulhumalé–Villimalé–Thilafushi</w:t>
                  </w:r>
                </w:p>
              </w:tc>
            </w:tr>
            <w:tr>
              <w:tc>
                <w:tcPr/>
                <w:p>
                  <w:pPr>
                    <w:pStyle w:val="Compact"/>
                    <w:jc w:val="left"/>
                    <w:jc w:val="center"/>
                  </w:pPr>
                  <w:r>
                    <w:t xml:space="preserve">Cost</w:t>
                  </w:r>
                </w:p>
              </w:tc>
              <w:tc>
                <w:tcPr/>
                <w:p>
                  <w:pPr>
                    <w:pStyle w:val="Compact"/>
                    <w:jc w:val="left"/>
                    <w:jc w:val="center"/>
                  </w:pPr>
                  <w:r>
                    <w:t xml:space="preserve">Solar PV CAPEX</w:t>
                  </w:r>
                </w:p>
              </w:tc>
              <w:tc>
                <w:tcPr/>
                <w:p>
                  <w:pPr>
                    <w:pStyle w:val="Compact"/>
                    <w:jc w:val="left"/>
                    <w:jc w:val="center"/>
                  </w:pPr>
                  <w:r>
                    <w:t xml:space="preserve">$1,100–1,800/kW (SIDS)</w:t>
                  </w:r>
                </w:p>
              </w:tc>
              <w:tc>
                <w:tcPr/>
                <w:p>
                  <w:pPr>
                    <w:pStyle w:val="Compact"/>
                    <w:jc w:val="left"/>
                    <w:jc w:val="center"/>
                  </w:pPr>
                  <w:r>
                    <w:t xml:space="preserve">$1,500/kW</w:t>
                  </w:r>
                </w:p>
              </w:tc>
              <w:tc>
                <w:tcPr/>
                <w:p>
                  <w:pPr>
                    <w:pStyle w:val="Compact"/>
                    <w:jc w:val="left"/>
                    <w:jc w:val="center"/>
                  </w:pPr>
                  <w:r>
                    <w:t xml:space="preserve">✅</w:t>
                  </w:r>
                </w:p>
              </w:tc>
              <w:tc>
                <w:tcPr/>
                <w:p>
                  <w:pPr>
                    <w:pStyle w:val="Compact"/>
                    <w:jc w:val="left"/>
                    <w:jc w:val="center"/>
                  </w:pPr>
                  <w:r>
                    <w:t xml:space="preserve">Midpoint of SIDS range</w:t>
                  </w:r>
                </w:p>
              </w:tc>
            </w:tr>
            <w:tr>
              <w:tc>
                <w:tcPr/>
                <w:p>
                  <w:pPr>
                    <w:pStyle w:val="Compact"/>
                    <w:jc w:val="left"/>
                    <w:jc w:val="center"/>
                  </w:pPr>
                  <w:r>
                    <w:t xml:space="preserve">Cost</w:t>
                  </w:r>
                </w:p>
              </w:tc>
              <w:tc>
                <w:tcPr/>
                <w:p>
                  <w:pPr>
                    <w:pStyle w:val="Compact"/>
                    <w:jc w:val="left"/>
                    <w:jc w:val="center"/>
                  </w:pPr>
                  <w:r>
                    <w:t xml:space="preserve">Battery CAPEX</w:t>
                  </w:r>
                </w:p>
              </w:tc>
              <w:tc>
                <w:tcPr/>
                <w:p>
                  <w:pPr>
                    <w:pStyle w:val="Compact"/>
                    <w:jc w:val="left"/>
                    <w:jc w:val="center"/>
                  </w:pPr>
                  <w:r>
                    <w:t xml:space="preserve">$250–450/kWh</w:t>
                  </w:r>
                </w:p>
              </w:tc>
              <w:tc>
                <w:tcPr/>
                <w:p>
                  <w:pPr>
                    <w:pStyle w:val="Compact"/>
                    <w:jc w:val="left"/>
                    <w:jc w:val="center"/>
                  </w:pPr>
                  <w:r>
                    <w:t xml:space="preserve">$350/kWh</w:t>
                  </w:r>
                </w:p>
              </w:tc>
              <w:tc>
                <w:tcPr/>
                <w:p>
                  <w:pPr>
                    <w:pStyle w:val="Compact"/>
                    <w:jc w:val="left"/>
                    <w:jc w:val="center"/>
                  </w:pPr>
                  <w:r>
                    <w:t xml:space="preserve">✅</w:t>
                  </w:r>
                </w:p>
              </w:tc>
              <w:tc>
                <w:tcPr/>
                <w:p>
                  <w:pPr>
                    <w:pStyle w:val="Compact"/>
                    <w:jc w:val="left"/>
                    <w:jc w:val="center"/>
                  </w:pPr>
                  <w:r>
                    <w:t xml:space="preserve">Midpoint of range</w:t>
                  </w:r>
                </w:p>
              </w:tc>
            </w:tr>
            <w:tr>
              <w:tc>
                <w:tcPr/>
                <w:p>
                  <w:pPr>
                    <w:pStyle w:val="Compact"/>
                    <w:jc w:val="left"/>
                    <w:jc w:val="center"/>
                  </w:pPr>
                  <w:r>
                    <w:t xml:space="preserve">Cost</w:t>
                  </w:r>
                </w:p>
              </w:tc>
              <w:tc>
                <w:tcPr/>
                <w:p>
                  <w:pPr>
                    <w:pStyle w:val="Compact"/>
                    <w:jc w:val="left"/>
                    <w:jc w:val="center"/>
                  </w:pPr>
                  <w:r>
                    <w:t xml:space="preserve">Deployment pipeline</w:t>
                  </w:r>
                </w:p>
              </w:tc>
              <w:tc>
                <w:tcPr/>
                <w:p>
                  <w:pPr>
                    <w:pStyle w:val="Compact"/>
                    <w:jc w:val="left"/>
                    <w:jc w:val="center"/>
                  </w:pPr>
                  <w:r>
                    <w:t xml:space="preserve">424 MW over 5yr (~85 MW/yr)</w:t>
                  </w:r>
                </w:p>
              </w:tc>
              <w:tc>
                <w:tcPr/>
                <w:p>
                  <w:pPr>
                    <w:pStyle w:val="Compact"/>
                    <w:jc w:val="left"/>
                    <w:jc w:val="center"/>
                  </w:pPr>
                  <w:r>
                    <w:t xml:space="preserve">80 MW/yr</w:t>
                  </w:r>
                </w:p>
              </w:tc>
              <w:tc>
                <w:tcPr/>
                <w:p>
                  <w:pPr>
                    <w:pStyle w:val="Compact"/>
                    <w:jc w:val="left"/>
                    <w:jc w:val="center"/>
                  </w:pPr>
                  <w:r>
                    <w:t xml:space="preserve">✅</w:t>
                  </w:r>
                </w:p>
              </w:tc>
              <w:tc>
                <w:tcPr/>
                <w:p>
                  <w:pPr>
                    <w:pStyle w:val="Compact"/>
                    <w:jc w:val="left"/>
                    <w:jc w:val="center"/>
                  </w:pPr>
                  <w:r>
                    <w:t xml:space="preserve">Model uses 80 MW/yr (conservative)</w:t>
                  </w:r>
                </w:p>
              </w:tc>
            </w:tr>
            <w:tr>
              <w:tc>
                <w:tcPr/>
                <w:p>
                  <w:pPr>
                    <w:pStyle w:val="Compact"/>
                    <w:jc w:val="left"/>
                    <w:jc w:val="center"/>
                  </w:pPr>
                  <w:r>
                    <w:t xml:space="preserve">Fiscal</w:t>
                  </w:r>
                </w:p>
              </w:tc>
              <w:tc>
                <w:tcPr/>
                <w:p>
                  <w:pPr>
                    <w:pStyle w:val="Compact"/>
                    <w:jc w:val="left"/>
                    <w:jc w:val="center"/>
                  </w:pPr>
                  <w:r>
                    <w:t xml:space="preserve">Annual electricity subsidy</w:t>
                  </w:r>
                </w:p>
              </w:tc>
              <w:tc>
                <w:tcPr/>
                <w:p>
                  <w:pPr>
                    <w:pStyle w:val="Compact"/>
                    <w:jc w:val="left"/>
                    <w:jc w:val="center"/>
                  </w:pPr>
                  <w:r>
                    <w:t xml:space="preserve">MVR 3B (~$200M/yr)</w:t>
                  </w:r>
                </w:p>
              </w:tc>
              <w:tc>
                <w:tcPr/>
                <w:p>
                  <w:pPr>
                    <w:pStyle w:val="Compact"/>
                    <w:jc w:val="left"/>
                    <w:jc w:val="center"/>
                  </w:pPr>
                  <w:r>
                    <w:t xml:space="preserve">$180M/yr</w:t>
                  </w:r>
                </w:p>
              </w:tc>
              <w:tc>
                <w:tcPr/>
                <w:p>
                  <w:pPr>
                    <w:pStyle w:val="Compact"/>
                    <w:jc w:val="left"/>
                    <w:jc w:val="center"/>
                  </w:pPr>
                  <w:r>
                    <w:t xml:space="preserve">✅</w:t>
                  </w:r>
                </w:p>
              </w:tc>
              <w:tc>
                <w:tcPr/>
                <w:p>
                  <w:pPr>
                    <w:pStyle w:val="Compact"/>
                    <w:jc w:val="left"/>
                    <w:jc w:val="center"/>
                  </w:pPr>
                  <w:r>
                    <w:t xml:space="preserve">$0.15/kWh × 1,200 GWh ≈ $180M (close match)</w:t>
                  </w:r>
                </w:p>
              </w:tc>
            </w:tr>
            <w:tr>
              <w:tc>
                <w:tcPr/>
                <w:p>
                  <w:pPr>
                    <w:pStyle w:val="Compact"/>
                    <w:jc w:val="left"/>
                    <w:jc w:val="center"/>
                  </w:pPr>
                  <w:r>
                    <w:t xml:space="preserve">RE Target</w:t>
                  </w:r>
                </w:p>
              </w:tc>
              <w:tc>
                <w:tcPr/>
                <w:p>
                  <w:pPr>
                    <w:pStyle w:val="Compact"/>
                    <w:jc w:val="left"/>
                    <w:jc w:val="center"/>
                  </w:pPr>
                  <w:r>
                    <w:t xml:space="preserve">2028 RE target</w:t>
                  </w:r>
                </w:p>
              </w:tc>
              <w:tc>
                <w:tcPr/>
                <w:p>
                  <w:pPr>
                    <w:pStyle w:val="Compact"/>
                    <w:jc w:val="left"/>
                    <w:jc w:val="center"/>
                  </w:pPr>
                  <w:r>
                    <w:t xml:space="preserve">33% of consumption</w:t>
                  </w:r>
                </w:p>
              </w:tc>
              <w:tc>
                <w:tcPr/>
                <w:p>
                  <w:pPr>
                    <w:pStyle w:val="Compact"/>
                    <w:jc w:val="left"/>
                    <w:jc w:val="center"/>
                  </w:pPr>
                  <w:r>
                    <w:t xml:space="preserve">50% (2050 target)</w:t>
                  </w:r>
                </w:p>
              </w:tc>
              <w:tc>
                <w:tcPr/>
                <w:p>
                  <w:pPr>
                    <w:pStyle w:val="Compact"/>
                    <w:jc w:val="left"/>
                    <w:jc w:val="center"/>
                  </w:pPr>
                  <w:r>
                    <w:t xml:space="preserve">⚠️</w:t>
                  </w:r>
                </w:p>
              </w:tc>
              <w:tc>
                <w:tcPr/>
                <w:p>
                  <w:pPr>
                    <w:pStyle w:val="Compact"/>
                    <w:jc w:val="left"/>
                    <w:jc w:val="center"/>
                  </w:pPr>
                  <w:r>
                    <w:t xml:space="preserve">Model targets 50% by 2050; Roadmap targets 33% by 2028</w:t>
                  </w:r>
                </w:p>
              </w:tc>
            </w:tr>
          </w:tbl>
          <w:bookmarkEnd w:id="395"/>
          <w:p/>
        </w:tc>
      </w:tr>
    </w:tbl>
    <w:p>
      <w:pPr>
        <w:pStyle w:val="BodyText"/>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96" name="Picture"/>
                  <a:graphic>
                    <a:graphicData uri="http://schemas.openxmlformats.org/drawingml/2006/picture">
                      <pic:pic>
                        <pic:nvPicPr>
                          <pic:cNvPr descr="C:\Users\LucasSempe\AppData\Local\Programs\Quarto\share\formats\docx\note.png" id="397"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Alignment Summary</w:t>
            </w:r>
          </w:p>
        </w:tc>
      </w:tr>
      <w:tr>
        <w:trPr>
          <w:cantSplit/>
        </w:trPr>
        <w:tc>
          <w:tcPr>
            <w:tcMar>
              <w:top w:w="108" w:type="dxa"/>
              <w:bottom w:w="108" w:type="dxa"/>
            </w:tcMar>
          </w:tcPr>
          <w:p>
            <w:pPr>
              <w:pStyle w:val="BodyText"/>
            </w:pPr>
            <w:pPr>
              <w:spacing w:before="16"/>
            </w:pPr>
            <w:r>
              <w:t xml:space="preserve">Of 21 quantifiable data points compared, 19 are directly matched or closely aligned (✅) and 2 show minor discrepancies (⚠️) that are explained and justified. No critical mismatches (❌) were found. The two ⚠️ items reflect deliberate modelling choices:</w:t>
            </w:r>
          </w:p>
          <w:p>
            <w:pPr>
              <w:pStyle w:val="Compact"/>
              <w:numPr>
                <w:ilvl w:val="0"/>
                <w:numId w:val="1008"/>
              </w:numPr>
            </w:pPr>
            <w:r>
              <w:rPr>
                <w:b/>
                <w:bCs/>
              </w:rPr>
              <w:t xml:space="preserve">Floating solar (195 vs 145 MW):</w:t>
            </w:r>
            <w:r>
              <w:t xml:space="preserve"> </w:t>
            </w:r>
            <w:r>
              <w:t xml:space="preserve">The model adopts the GoM Roadmap target (195 MW) rather than the lower ADB estimate (145 MW), reflecting the government’s stated ambition.</w:t>
            </w:r>
          </w:p>
          <w:p>
            <w:pPr>
              <w:pStyle w:val="Compact"/>
              <w:numPr>
                <w:ilvl w:val="0"/>
                <w:numId w:val="1008"/>
              </w:numPr>
            </w:pPr>
            <w:r>
              <w:rPr>
                <w:b/>
                <w:bCs/>
              </w:rPr>
              <w:t xml:space="preserve">RE target (50% vs 33%):</w:t>
            </w:r>
            <w:r>
              <w:t xml:space="preserve"> </w:t>
            </w:r>
            <w:r>
              <w:t xml:space="preserve">The model’s 50% target applies to the 2050 end-year; the Roadmap’s 33% target applies to 2028, a near-term milestone that the model’s deployment trajectory is calibrated to meet.</w:t>
            </w:r>
          </w:p>
        </w:tc>
      </w:tr>
    </w:tbl>
    <w:tbl>
      <w:tblPr>
        <w:tblStyle w:val="Table"/>
        <w:tblW w:type="pct" w:w="5000"/>
        <w:tblLayout w:type="fixed"/>
        <w:tblLook w:firstRow="0" w:lastRow="0" w:firstColumn="0" w:lastColumn="0" w:noHBand="0" w:noVBand="0" w:val="0000"/>
      </w:tblPr>
      <w:tblGrid>
        <w:gridCol w:w="7920"/>
      </w:tblGrid>
      <w:tr>
        <w:tc>
          <w:tcPr/>
          <w:bookmarkStart w:id="401" w:name="fig-roadmap-match"/>
          <w:p>
            <w:pPr>
              <w:pStyle w:val="Compact"/>
              <w:jc w:val="center"/>
            </w:pPr>
            <w:r>
              <w:drawing>
                <wp:inline>
                  <wp:extent cx="5334000" cy="3810000"/>
                  <wp:effectExtent b="0" l="0" r="0" t="0"/>
                  <wp:docPr descr="" title="" id="399" name="Picture"/>
                  <a:graphic>
                    <a:graphicData uri="http://schemas.openxmlformats.org/drawingml/2006/picture">
                      <pic:pic>
                        <pic:nvPicPr>
                          <pic:cNvPr descr="B-parameters_files/figure-docx/fig-roadmap-match-output-1.png" id="400" name="Picture"/>
                          <pic:cNvPicPr>
                            <a:picLocks noChangeArrowheads="1" noChangeAspect="1"/>
                          </pic:cNvPicPr>
                        </pic:nvPicPr>
                        <pic:blipFill>
                          <a:blip r:embed="rId398"/>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14.1: Parameter alignment with ADB Energy Roadmap 2024–2033.</w:t>
            </w:r>
          </w:p>
          <w:bookmarkEnd w:id="401"/>
        </w:tc>
      </w:tr>
    </w:tbl>
    <w:bookmarkStart w:id="405" w:name="source-quality"/>
    <w:p>
      <w:pPr>
        <w:pStyle w:val="CaptionedFigure"/>
      </w:pPr>
      <w:r>
        <w:drawing>
          <wp:inline>
            <wp:extent cx="5334000" cy="3810000"/>
            <wp:effectExtent b="0" l="0" r="0" t="0"/>
            <wp:docPr descr="Parameter source classification" title="" id="403" name="Picture"/>
            <a:graphic>
              <a:graphicData uri="http://schemas.openxmlformats.org/drawingml/2006/picture">
                <pic:pic>
                  <pic:nvPicPr>
                    <pic:cNvPr descr="B-parameters_files/figure-docx/source-quality-output-1.png" id="404" name="Picture"/>
                    <pic:cNvPicPr>
                      <a:picLocks noChangeArrowheads="1" noChangeAspect="1"/>
                    </pic:cNvPicPr>
                  </pic:nvPicPr>
                  <pic:blipFill>
                    <a:blip r:embed="rId402"/>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t xml:space="preserve">Parameter source classification</w:t>
      </w:r>
    </w:p>
    <w:bookmarkEnd w:id="405"/>
    <w:p>
      <w:pPr>
        <w:pStyle w:val="BodyText"/>
      </w:pPr>
      <w:r>
        <w:t xml:space="preserve">The pie chart above shows the distribution of parameter sources across five quality categories. Institutional sources (IRENA, IEA, ADB, World Bank, IMF, IPCC, BNEF) and academic sources (peer-reviewed journal articles with DOIs) together constitute the majority of the evidence base, reflecting a deliberate effort to ground every parameter in verifiable, recent, citable research. Derived parameters are computed from other parameters using transparent formulae (for example, blended WACC derived from ADB and commercial interest rates). A small number of estimated parameters remain where Maldives-specific data are unavailable; these are identified in the sensitivity analysis as candidate parameters for future empirical research.</w:t>
      </w:r>
    </w:p>
    <w:bookmarkEnd w:id="406"/>
    <w:bookmarkStart w:id="409" w:name="sensitivity-ranges"/>
    <w:p>
      <w:pPr>
        <w:pStyle w:val="Heading2"/>
      </w:pPr>
      <w:r>
        <w:t xml:space="preserve">14.4 Sensitivity Ranges</w:t>
      </w:r>
    </w:p>
    <w:p>
      <w:pPr>
        <w:pStyle w:val="FirstParagraph"/>
      </w:pPr>
      <w:r>
        <w:rPr>
          <w:b/>
          <w:bCs/>
        </w:rPr>
        <w:t xml:space="preserve">171</w:t>
      </w:r>
      <w:r>
        <w:t xml:space="preserve"> </w:t>
      </w:r>
      <w:r>
        <w:t xml:space="preserve">parameters have explicit sensitivity ranges (Low–High bounds) out of</w:t>
      </w:r>
      <w:r>
        <w:t xml:space="preserve"> </w:t>
      </w:r>
      <w:r>
        <w:rPr>
          <w:b/>
          <w:bCs/>
        </w:rPr>
        <w:t xml:space="preserve">307</w:t>
      </w:r>
      <w:r>
        <w:t xml:space="preserve"> </w:t>
      </w:r>
      <w:r>
        <w:t xml:space="preserve">total parameters. These ranges feed directly into the one-way sensitivity analysis (tornado diagrams) and Monte Carlo simulation (triangular distributions).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07" name="Picture"/>
                  <a:graphic>
                    <a:graphicData uri="http://schemas.openxmlformats.org/drawingml/2006/picture">
                      <pic:pic>
                        <pic:nvPicPr>
                          <pic:cNvPr descr="C:\Users\LucasSempe\AppData\Local\Programs\Quarto\share\formats\docx\note.png" id="408"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Parameters without Low/High ranges are structural choices (e.g., base year, number of landings) rather than uncertain quantities. They are held constant across all sensitivity runs.</w:t>
            </w:r>
          </w:p>
        </w:tc>
      </w:tr>
    </w:tbl>
    <w:bookmarkEnd w:id="409"/>
    <w:bookmarkEnd w:id="410"/>
    <w:bookmarkStart w:id="491" w:name="appendix-c-supplementary-analyses"/>
    <w:p>
      <w:pPr>
        <w:pStyle w:val="Heading1"/>
      </w:pPr>
      <w:r>
        <w:t xml:space="preserve">15. Appendix C — Supplementary Analyses</w:t>
      </w:r>
    </w:p>
    <w:p>
      <w:pPr>
        <w:pStyle w:val="FirstParagraph"/>
      </w:pPr>
      <w:r>
        <w:t xml:space="preserve">This appendix presents five supplementary analyses extending the core CBA: technology learning dynamics, climate resilience, cross-sectoral synergies, investment timing under uncertainty, and benchmarking against the international evidence base.</w:t>
      </w:r>
    </w:p>
    <w:p>
      <w:r>
        <w:pict>
          <v:rect style="width:0;height:1.5pt" o:hralign="center" o:hrstd="t" o:hr="t"/>
        </w:pict>
      </w:r>
    </w:p>
    <w:bookmarkStart w:id="419" w:name="sec-learning"/>
    <w:p>
      <w:pPr>
        <w:pStyle w:val="Heading2"/>
      </w:pPr>
      <w:r>
        <w:t xml:space="preserve">15.1 C.1 Endogenous Learning Curves (P6)</w:t>
      </w:r>
    </w:p>
    <w:p>
      <w:pPr>
        <w:pStyle w:val="FirstParagraph"/>
      </w:pPr>
      <w:r>
        <w:t xml:space="preserve">The main CBA uses exogenous cost declines (fixed %/yr). This section tests endogenous</w:t>
      </w:r>
      <w:r>
        <w:t xml:space="preserve"> </w:t>
      </w:r>
      <w:r>
        <w:rPr>
          <w:b/>
          <w:bCs/>
        </w:rPr>
        <w:t xml:space="preserve">Wright’s Law</w:t>
      </w:r>
      <w:r>
        <w:t xml:space="preserve"> </w:t>
      </w:r>
      <w:r>
        <w:t xml:space="preserve">(Wright, 1936)</w:t>
      </w:r>
      <w:r>
        <w:t xml:space="preserve"> </w:t>
      </w:r>
      <w:r>
        <w:t xml:space="preserve">learning: costs decline by a predictable percentage each time cumulative production doubles. Does the Maldives’ deployment volume meaningfully influence cost trajectories?</w:t>
      </w:r>
    </w:p>
    <w:tbl>
      <w:tblPr>
        <w:tblStyle w:val="Table"/>
        <w:tblW w:type="pct" w:w="5000"/>
        <w:tblLayout w:type="fixed"/>
        <w:tblLook w:firstRow="0" w:lastRow="0" w:firstColumn="0" w:lastColumn="0" w:noHBand="0" w:noVBand="0" w:val="0000"/>
      </w:tblPr>
      <w:tblGrid>
        <w:gridCol w:w="7920"/>
      </w:tblGrid>
      <w:tr>
        <w:tc>
          <w:tcPr/>
          <w:bookmarkStart w:id="414" w:name="fig-learning-trajectory"/>
          <w:p>
            <w:pPr>
              <w:pStyle w:val="Compact"/>
              <w:jc w:val="center"/>
            </w:pPr>
            <w:r>
              <w:drawing>
                <wp:inline>
                  <wp:extent cx="5334000" cy="3810000"/>
                  <wp:effectExtent b="0" l="0" r="0" t="0"/>
                  <wp:docPr descr="" title="" id="412" name="Picture"/>
                  <a:graphic>
                    <a:graphicData uri="http://schemas.openxmlformats.org/drawingml/2006/picture">
                      <pic:pic>
                        <pic:nvPicPr>
                          <pic:cNvPr descr="C-supplementary_files/figure-docx/fig-learning-trajectory-output-1.png" id="413" name="Picture"/>
                          <pic:cNvPicPr>
                            <a:picLocks noChangeArrowheads="1" noChangeAspect="1"/>
                          </pic:cNvPicPr>
                        </pic:nvPicPr>
                        <pic:blipFill>
                          <a:blip r:embed="rId411"/>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15.1: Solar PV cost trajectory: exogenous vs. endogenous (Wright’s Law)</w:t>
            </w:r>
          </w:p>
          <w:bookmarkEnd w:id="414"/>
        </w:tc>
      </w:tr>
    </w:tbl>
    <w:p>
      <w:pPr>
        <w:pStyle w:val="BodyText"/>
      </w:pPr>
      <w:r>
        <w:rPr>
          <w:b/>
          <w:bCs/>
        </w:rPr>
        <w:t xml:space="preserve">Learning rates:</w:t>
      </w:r>
      <w:r>
        <w:t xml:space="preserve"> </w:t>
      </w:r>
      <w:r>
        <w:t xml:space="preserve">Solar PV 20% and battery 18% cost reduction per doubling of cumulative installed capacity, consistent with IRENA (2024) and BNEF (2025) global learning rate estimates.</w:t>
      </w:r>
    </w:p>
    <w:p>
      <w:pPr>
        <w:pStyle w:val="BodyText"/>
      </w:pPr>
      <w:hyperlink w:anchor="fig-learning-trajectory">
        <w:r>
          <w:rPr>
            <w:rStyle w:val="Hyperlink"/>
          </w:rPr>
          <w:t xml:space="preserve">Figure 15.1</w:t>
        </w:r>
      </w:hyperlink>
      <w:r>
        <w:t xml:space="preserve"> </w:t>
      </w:r>
      <w:r>
        <w:t xml:space="preserve">and</w:t>
      </w:r>
      <w:r>
        <w:t xml:space="preserve"> </w:t>
      </w:r>
      <w:hyperlink w:anchor="fig-learning-battery">
        <w:r>
          <w:rPr>
            <w:rStyle w:val="Hyperlink"/>
          </w:rPr>
          <w:t xml:space="preserve">Figure 15.2</w:t>
        </w:r>
      </w:hyperlink>
      <w:r>
        <w:t xml:space="preserve"> </w:t>
      </w:r>
      <w:r>
        <w:t xml:space="preserve">compare the exogenous and endogenous cost trajectories. The dashed grey line represents the main CBA’s assumption of a fixed annual cost decline; the solid coloured line traces what Wright’s Law predicts based on cumulative deployment. Because the Maldives is a small market (a tiny fraction of global cumulative deployment), endogenous costs are actually</w:t>
      </w:r>
      <w:r>
        <w:t xml:space="preserve"> </w:t>
      </w:r>
      <w:r>
        <w:rPr>
          <w:i/>
          <w:iCs/>
        </w:rPr>
        <w:t xml:space="preserve">higher</w:t>
      </w:r>
      <w:r>
        <w:t xml:space="preserve"> </w:t>
      </w:r>
      <w:r>
        <w:t xml:space="preserve">than exogenous projections in the near term. Global learning is driven overwhelmingly by deployment in China, India, the United States, and Europe; the Maldives’ hundreds of megawatts are a rounding error in a market deploying hundreds of gigawatts per year.</w:t>
      </w:r>
    </w:p>
    <w:p>
      <w:pPr>
        <w:pStyle w:val="BodyText"/>
      </w:pPr>
      <w:r>
        <w:t xml:space="preserve">However, the policy implication is unchanged: early deployment in the Maldives locks in the benefits of global learning by allowing the country to procure subsequent phases at costs that have been driven down by others’ deployment. The Maldives is a price-taker in global solar and battery markets, and delaying deployment merely delays access to these falling costs without influencing the learning trajectory.</w:t>
      </w:r>
    </w:p>
    <w:tbl>
      <w:tblPr>
        <w:tblStyle w:val="Table"/>
        <w:tblW w:type="pct" w:w="5000"/>
        <w:tblLayout w:type="fixed"/>
        <w:tblLook w:firstRow="0" w:lastRow="0" w:firstColumn="0" w:lastColumn="0" w:noHBand="0" w:noVBand="0" w:val="0000"/>
      </w:tblPr>
      <w:tblGrid>
        <w:gridCol w:w="7920"/>
      </w:tblGrid>
      <w:tr>
        <w:tc>
          <w:tcPr/>
          <w:bookmarkStart w:id="418" w:name="fig-learning-battery"/>
          <w:p>
            <w:pPr>
              <w:pStyle w:val="Compact"/>
              <w:jc w:val="center"/>
            </w:pPr>
            <w:r>
              <w:drawing>
                <wp:inline>
                  <wp:extent cx="5334000" cy="3810000"/>
                  <wp:effectExtent b="0" l="0" r="0" t="0"/>
                  <wp:docPr descr="" title="" id="416" name="Picture"/>
                  <a:graphic>
                    <a:graphicData uri="http://schemas.openxmlformats.org/drawingml/2006/picture">
                      <pic:pic>
                        <pic:nvPicPr>
                          <pic:cNvPr descr="C-supplementary_files/figure-docx/fig-learning-battery-output-1.png" id="417" name="Picture"/>
                          <pic:cNvPicPr>
                            <a:picLocks noChangeArrowheads="1" noChangeAspect="1"/>
                          </pic:cNvPicPr>
                        </pic:nvPicPr>
                        <pic:blipFill>
                          <a:blip r:embed="rId415"/>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15.2: Battery cost trajectory: exogenous vs. endogenous</w:t>
            </w:r>
          </w:p>
          <w:bookmarkEnd w:id="418"/>
        </w:tc>
      </w:tr>
    </w:tbl>
    <w:p>
      <w:r>
        <w:pict>
          <v:rect style="width:0;height:1.5pt" o:hralign="center" o:hrstd="t" o:hr="t"/>
        </w:pict>
      </w:r>
    </w:p>
    <w:bookmarkEnd w:id="419"/>
    <w:bookmarkStart w:id="424" w:name="sec-climate"/>
    <w:p>
      <w:pPr>
        <w:pStyle w:val="Heading2"/>
      </w:pPr>
      <w:r>
        <w:t xml:space="preserve">15.2 C.2 Climate Damage Scenarios (P7)</w:t>
      </w:r>
    </w:p>
    <w:p>
      <w:pPr>
        <w:pStyle w:val="FirstParagraph"/>
      </w:pPr>
      <w:r>
        <w:t xml:space="preserve">Solar photovoltaic generation depends on two climate-sensitive variables: global horizontal irradiance (GHI), which determines how much sunlight reaches the panels, and ambient temperature, which affects cell efficiency through temperature derating. Climate change affects both variables, reducing irradiance and raising temperatures — both reducing output.</w:t>
      </w:r>
    </w:p>
    <w:p>
      <w:pPr>
        <w:pStyle w:val="BodyText"/>
      </w:pPr>
      <w:r>
        <w:rPr>
          <w:b/>
          <w:bCs/>
        </w:rPr>
        <w:t xml:space="preserve">Scenarios modelled: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Pathway</w:t>
            </w:r>
          </w:p>
        </w:tc>
        <w:tc>
          <w:tcPr/>
          <w:p>
            <w:pPr>
              <w:pStyle w:val="Compact"/>
            </w:pPr>
            <w:r>
              <w:t xml:space="preserve">GHI Change by 2050</w:t>
            </w:r>
          </w:p>
        </w:tc>
        <w:tc>
          <w:tcPr/>
          <w:p>
            <w:pPr>
              <w:pStyle w:val="Compact"/>
            </w:pPr>
            <w:r>
              <w:t xml:space="preserve">Temperature Increase</w:t>
            </w:r>
          </w:p>
        </w:tc>
        <w:tc>
          <w:tcPr/>
          <w:p>
            <w:pPr>
              <w:pStyle w:val="Compact"/>
            </w:pPr>
            <w:r>
              <w:t xml:space="preserve">Solar Output Impact</w:t>
            </w:r>
          </w:p>
        </w:tc>
      </w:tr>
      <w:tr>
        <w:tc>
          <w:tcPr/>
          <w:p>
            <w:pPr>
              <w:pStyle w:val="Compact"/>
            </w:pPr>
            <w:r>
              <w:t xml:space="preserve">Baseline</w:t>
            </w:r>
          </w:p>
        </w:tc>
        <w:tc>
          <w:tcPr/>
          <w:p>
            <w:pPr>
              <w:pStyle w:val="Compact"/>
            </w:pPr>
            <w:r>
              <w:t xml:space="preserve">No change</w:t>
            </w:r>
          </w:p>
        </w:tc>
        <w:tc>
          <w:tcPr/>
          <w:p>
            <w:pPr>
              <w:pStyle w:val="Compact"/>
            </w:pPr>
            <w:r>
              <w:t xml:space="preserve">+0.5°C (trend)</w:t>
            </w:r>
          </w:p>
        </w:tc>
        <w:tc>
          <w:tcPr/>
          <w:p>
            <w:pPr>
              <w:pStyle w:val="Compact"/>
            </w:pPr>
            <w:r>
              <w:t xml:space="preserve">Reference</w:t>
            </w:r>
          </w:p>
        </w:tc>
      </w:tr>
      <w:tr>
        <w:tc>
          <w:tcPr/>
          <w:p>
            <w:pPr>
              <w:pStyle w:val="Compact"/>
            </w:pPr>
            <w:r>
              <w:t xml:space="preserve">RCP 4.5</w:t>
            </w:r>
          </w:p>
        </w:tc>
        <w:tc>
          <w:tcPr/>
          <w:p>
            <w:pPr>
              <w:pStyle w:val="Compact"/>
            </w:pPr>
            <w:r>
              <w:t xml:space="preserve">-2%</w:t>
            </w:r>
          </w:p>
        </w:tc>
        <w:tc>
          <w:tcPr/>
          <w:p>
            <w:pPr>
              <w:pStyle w:val="Compact"/>
            </w:pPr>
            <w:r>
              <w:t xml:space="preserve">+1.5°C</w:t>
            </w:r>
          </w:p>
        </w:tc>
        <w:tc>
          <w:tcPr/>
          <w:p>
            <w:pPr>
              <w:pStyle w:val="Compact"/>
            </w:pPr>
            <w:r>
              <w:t xml:space="preserve">0.4% cumulative</w:t>
            </w:r>
          </w:p>
        </w:tc>
      </w:tr>
      <w:tr>
        <w:tc>
          <w:tcPr/>
          <w:p>
            <w:pPr>
              <w:pStyle w:val="Compact"/>
            </w:pPr>
            <w:r>
              <w:t xml:space="preserve">RCP 8.5</w:t>
            </w:r>
          </w:p>
        </w:tc>
        <w:tc>
          <w:tcPr/>
          <w:p>
            <w:pPr>
              <w:pStyle w:val="Compact"/>
            </w:pPr>
            <w:r>
              <w:t xml:space="preserve">-5%</w:t>
            </w:r>
          </w:p>
        </w:tc>
        <w:tc>
          <w:tcPr/>
          <w:p>
            <w:pPr>
              <w:pStyle w:val="Compact"/>
            </w:pPr>
            <w:r>
              <w:t xml:space="preserve">+3.0°C</w:t>
            </w:r>
          </w:p>
        </w:tc>
        <w:tc>
          <w:tcPr/>
          <w:p>
            <w:pPr>
              <w:pStyle w:val="Compact"/>
            </w:pPr>
            <w:r>
              <w:t xml:space="preserve">0.8% cumulative</w:t>
            </w:r>
          </w:p>
        </w:tc>
      </w:tr>
    </w:tbl>
    <w:tbl>
      <w:tblPr>
        <w:tblStyle w:val="Table"/>
        <w:tblW w:type="pct" w:w="5000"/>
        <w:tblLayout w:type="fixed"/>
        <w:tblLook w:firstRow="0" w:lastRow="0" w:firstColumn="0" w:lastColumn="0" w:noHBand="0" w:noVBand="0" w:val="0000"/>
      </w:tblPr>
      <w:tblGrid>
        <w:gridCol w:w="7920"/>
      </w:tblGrid>
      <w:tr>
        <w:tc>
          <w:tcPr/>
          <w:bookmarkStart w:id="423" w:name="fig-climate-trajectory"/>
          <w:p>
            <w:pPr>
              <w:pStyle w:val="Compact"/>
              <w:jc w:val="center"/>
            </w:pPr>
            <w:r>
              <w:drawing>
                <wp:inline>
                  <wp:extent cx="5334000" cy="3810000"/>
                  <wp:effectExtent b="0" l="0" r="0" t="0"/>
                  <wp:docPr descr="" title="" id="421" name="Picture"/>
                  <a:graphic>
                    <a:graphicData uri="http://schemas.openxmlformats.org/drawingml/2006/picture">
                      <pic:pic>
                        <pic:nvPicPr>
                          <pic:cNvPr descr="C-supplementary_files/figure-docx/fig-climate-trajectory-output-1.png" id="422" name="Picture"/>
                          <pic:cNvPicPr>
                            <a:picLocks noChangeArrowheads="1" noChangeAspect="1"/>
                          </pic:cNvPicPr>
                        </pic:nvPicPr>
                        <pic:blipFill>
                          <a:blip r:embed="rId420"/>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15.3: Solar generation under climate scenarios</w:t>
            </w:r>
          </w:p>
          <w:bookmarkEnd w:id="423"/>
        </w:tc>
      </w:tr>
    </w:tbl>
    <w:p>
      <w:pPr>
        <w:pStyle w:val="BodyText"/>
      </w:pPr>
      <w:hyperlink w:anchor="fig-climate-trajectory">
        <w:r>
          <w:rPr>
            <w:rStyle w:val="Hyperlink"/>
          </w:rPr>
          <w:t xml:space="preserve">Figure 15.3</w:t>
        </w:r>
      </w:hyperlink>
      <w:r>
        <w:t xml:space="preserve"> </w:t>
      </w:r>
      <w:r>
        <w:t xml:space="preserve">shows the solar generation trajectories under the three climate scenarios. The baseline (green) represents generation without climate change impacts beyond the temperature derating already embedded in the main model. RCP 4.5 (orange) represents a moderate climate pathway with global warming held to approximately two degrees Celsius by 2100, while RCP 8.5 (red, dashed) represents a high-emissions pathway with much greater warming.</w:t>
      </w:r>
    </w:p>
    <w:p>
      <w:pPr>
        <w:pStyle w:val="BodyText"/>
      </w:pPr>
      <w:r>
        <w:t xml:space="preserve">Solar energy proves robust to climate change. Even under the pessimistic RCP 8.5 scenario, the cumulative generation loss over thirty years is less than one percent. The 7.5% climate adaptation premium embedded in CAPEX estimates across the main CBA more than compensates for any climate-driven output reduction.</w:t>
      </w:r>
    </w:p>
    <w:p>
      <w:r>
        <w:pict>
          <v:rect style="width:0;height:1.5pt" o:hralign="center" o:hrstd="t" o:hr="t"/>
        </w:pict>
      </w:r>
    </w:p>
    <w:bookmarkEnd w:id="424"/>
    <w:bookmarkStart w:id="429" w:name="sec-transport"/>
    <w:p>
      <w:pPr>
        <w:pStyle w:val="Heading2"/>
      </w:pPr>
      <w:r>
        <w:t xml:space="preserve">15.3 C.3 Transport Electrification (P8)</w:t>
      </w:r>
    </w:p>
    <w:p>
      <w:pPr>
        <w:pStyle w:val="FirstParagraph"/>
      </w:pPr>
      <w:r>
        <w:t xml:space="preserve">This supplementary module analyses land transport electrification. Transport is treated separately because it depends on vehicle fleet turnover, consumer adoption, and fuel pricing decisions largely independent of the utility sector. Nevertheless, the synergy is significant: EVs charged from a decarbonised grid deliver both transport emissions reductions and demand growth that improves RE asset utilisation.</w:t>
      </w:r>
    </w:p>
    <w:p>
      <w:pPr>
        <w:pStyle w:val="BodyText"/>
      </w:pPr>
      <w:r>
        <w:rPr>
          <w:b/>
          <w:bCs/>
        </w:rPr>
        <w:t xml:space="preserve">Fleet:</w:t>
      </w:r>
      <w:r>
        <w:t xml:space="preserve"> </w:t>
      </w:r>
      <w:r>
        <w:t xml:space="preserve">131,000 registered vehicles, 92% motorcycles.</w:t>
      </w:r>
    </w:p>
    <w:p>
      <w:pPr>
        <w:pStyle w:val="BodyText"/>
      </w:pPr>
      <w:r>
        <w:rPr>
          <w:b/>
          <w:bCs/>
        </w:rPr>
        <w:t xml:space="preserve">Adoption model:</w:t>
      </w:r>
      <w:r>
        <w:t xml:space="preserve"> </w:t>
      </w:r>
      <w:r>
        <w:t xml:space="preserve">Logistic S-curve with three scenarios:</w:t>
      </w:r>
    </w:p>
    <w:tbl>
      <w:tblPr>
        <w:tblStyle w:val="Table"/>
        <w:tblW w:type="pct" w:w="5000"/>
        <w:tblLayout w:type="fixed"/>
        <w:tblLook w:firstRow="0" w:lastRow="0" w:firstColumn="0" w:lastColumn="0" w:noHBand="0" w:noVBand="0" w:val="0000"/>
      </w:tblPr>
      <w:tblGrid>
        <w:gridCol w:w="7920"/>
      </w:tblGrid>
      <w:tr>
        <w:tc>
          <w:tcPr/>
          <w:bookmarkStart w:id="428" w:name="fig-ev-adoption"/>
          <w:p>
            <w:pPr>
              <w:pStyle w:val="Compact"/>
              <w:jc w:val="center"/>
            </w:pPr>
            <w:r>
              <w:drawing>
                <wp:inline>
                  <wp:extent cx="5334000" cy="3810000"/>
                  <wp:effectExtent b="0" l="0" r="0" t="0"/>
                  <wp:docPr descr="" title="" id="426" name="Picture"/>
                  <a:graphic>
                    <a:graphicData uri="http://schemas.openxmlformats.org/drawingml/2006/picture">
                      <pic:pic>
                        <pic:nvPicPr>
                          <pic:cNvPr descr="C-supplementary_files/figure-docx/fig-ev-adoption-output-1.png" id="427" name="Picture"/>
                          <pic:cNvPicPr>
                            <a:picLocks noChangeArrowheads="1" noChangeAspect="1"/>
                          </pic:cNvPicPr>
                        </pic:nvPicPr>
                        <pic:blipFill>
                          <a:blip r:embed="rId425"/>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15.4: EV adoption curves by scenario</w:t>
            </w:r>
          </w:p>
          <w:bookmarkEnd w:id="428"/>
        </w:tc>
      </w:tr>
    </w:tbl>
    <w:p>
      <w:pPr>
        <w:pStyle w:val="BodyText"/>
      </w:pPr>
      <w:hyperlink w:anchor="fig-ev-adoption">
        <w:r>
          <w:rPr>
            <w:rStyle w:val="Hyperlink"/>
          </w:rPr>
          <w:t xml:space="preserve">Figure 15.4</w:t>
        </w:r>
      </w:hyperlink>
      <w:r>
        <w:t xml:space="preserve"> </w:t>
      </w:r>
      <w:r>
        <w:t xml:space="preserve">illustrates the three logistic S-curve adoption scenarios. The S-curve shape reflects the typical pattern of technology diffusion: slow initial adoption as early adopters take up the technology, rapid acceleration as costs fall and charging infrastructure expands, and eventual saturation as the remaining fleet turns over naturally. The three scenarios bracket a wide range of policy ambition, from minimal intervention (low) to aggressive incentives and infrastructure investment (high).</w:t>
      </w:r>
    </w:p>
    <w:p>
      <w:pPr>
        <w:pStyle w:val="BodyText"/>
      </w:pPr>
      <w:r>
        <w:t xml:space="preserve">The transport scenarios table above shows that even the medium adoption scenario generates substantial economic benefits. The positive NPV and BCR above one indicate that transport electrification is economically worthwhile, with benefits larger when EVs are charged from renewable rather than diesel electricity.</w:t>
      </w:r>
    </w:p>
    <w:p>
      <w:pPr>
        <w:pStyle w:val="BodyText"/>
      </w:pPr>
      <w:r>
        <w:t xml:space="preserve">Electricity decarbonisation and transport electrification are mutually reinforcing. A decarbonised grid makes EV adoption more environmentally beneficial, while EV adoption increases electricity demand and improves RE asset utilisation.</w:t>
      </w:r>
    </w:p>
    <w:p>
      <w:r>
        <w:pict>
          <v:rect style="width:0;height:1.5pt" o:hralign="center" o:hrstd="t" o:hr="t"/>
        </w:pict>
      </w:r>
    </w:p>
    <w:bookmarkEnd w:id="429"/>
    <w:bookmarkStart w:id="433" w:name="sec-real-options"/>
    <w:p>
      <w:pPr>
        <w:pStyle w:val="Heading2"/>
      </w:pPr>
      <w:r>
        <w:t xml:space="preserve">15.4 C.4 Real Options Analysis</w:t>
      </w:r>
    </w:p>
    <w:p>
      <w:pPr>
        <w:pStyle w:val="FirstParagraph"/>
      </w:pPr>
      <w:r>
        <w:t xml:space="preserve">Standard NPV analysis treats each investment decision as a</w:t>
      </w:r>
      <w:r>
        <w:t xml:space="preserve"> </w:t>
      </w:r>
      <w:r>
        <w:t xml:space="preserve">“now-or-never”</w:t>
      </w:r>
      <w:r>
        <w:t xml:space="preserve"> </w:t>
      </w:r>
      <w:r>
        <w:t xml:space="preserve">proposition: the project is either undertaken immediately at today’s estimated costs, or it is foregone entirely. Real options theory, as developed by Dixit and Pindyck (1994), recognises that this framing ignores a valuable asset — the ability to</w:t>
      </w:r>
      <w:r>
        <w:t xml:space="preserve"> </w:t>
      </w:r>
      <w:r>
        <w:rPr>
          <w:b/>
          <w:bCs/>
        </w:rPr>
        <w:t xml:space="preserve">wait and learn</w:t>
      </w:r>
      <w:r>
        <w:t xml:space="preserve"> </w:t>
      </w:r>
      <w:r>
        <w:t xml:space="preserve">before committing irreversible capital.</w:t>
      </w:r>
    </w:p>
    <w:bookmarkStart w:id="430" w:name="option-value-of-waiting"/>
    <w:p>
      <w:pPr>
        <w:pStyle w:val="Heading3"/>
      </w:pPr>
      <w:r>
        <w:t xml:space="preserve">15.4.1 Option Value of Waiting</w:t>
      </w:r>
    </w:p>
    <w:p>
      <w:pPr>
        <w:pStyle w:val="FirstParagraph"/>
      </w:pPr>
      <w:r>
        <w:t xml:space="preserve">A submarine cable, once laid, cannot be redeployed to another location or repurposed for another function. The two-and-a-half billion dollars committed to the cable is effectively sunk from the moment construction begins. Meanwhile, the key determinants of the cable’s value — battery storage costs, India’s electricity export capacity and willingness, bilateral political relations, and the Maldives’ own renewable energy performance — are all evolving rapidly and will be far clearer five to ten years from now than they are today.</w:t>
      </w:r>
    </w:p>
    <w:p>
      <w:pPr>
        <w:pStyle w:val="BodyText"/>
      </w:pPr>
      <w:r>
        <w:t xml:space="preserve">The cable’s marginal BCR versus domestic renewable energy is below one, meaning that the additional investment beyond what a domestic renewable energy pathway would require does not generate commensurate additional benefits at current cost estimates. Each year of delay resolves additional uncertainty: battery costs decline at eighteen percent per capacity doubling (Wright’s Law), revealing whether domestic storage can substitute for imported baseload power; India’s export policies and grid composition become clearer; and the Maldives’ own renewable energy deployment generates performance data that reduces projection uncertainty.</w:t>
      </w:r>
    </w:p>
    <w:p>
      <w:pPr>
        <w:pStyle w:val="BodyText"/>
      </w:pPr>
      <w:r>
        <w:t xml:space="preserve">The cost of delay is the foregone cable benefits — approximately one hundred and fifty to two hundred million dollars per year in fuel savings that could have been captured earlier. But these foregone benefits are largely offset by the fuel savings captured through domestic renewable energy deployment, which can proceed in parallel with the cable deferral and which the model shows to be highly cost-effective in its own right.</w:t>
      </w:r>
    </w:p>
    <w:bookmarkEnd w:id="430"/>
    <w:bookmarkStart w:id="431" w:name="staging-strategy"/>
    <w:p>
      <w:pPr>
        <w:pStyle w:val="Heading3"/>
      </w:pPr>
      <w:r>
        <w:t xml:space="preserve">15.4.2 Staging Strategy</w:t>
      </w:r>
    </w:p>
    <w:p>
      <w:pPr>
        <w:pStyle w:val="FirstParagraph"/>
      </w:pPr>
      <w:r>
        <w:t xml:space="preserve">Rather than a binary invest-or-abandon decision, the real options framework recommends a staged approach that preserves flexibility while capturing immediate value. The first phase (2026–2030) deploys outer-island solar-battery systems, which capture approximately sixty percent of total available fuel savings without any international infrastructure commitment. The second phase (2030–2035) commissions a detailed cable feasibility study while monitoring battery cost trajectories and bilateral diplomatic progress. The critical decision point arrives around 2035, by which time the government will have sufficient information to make a well-informed commitment. If battery costs have fallen faster than expected, domestic renewable energy dominates and the cable is unnecessary. If battery cost declines have stalled or demand growth has exceeded projections, the cable becomes the marginal investment worth pursuing.</w:t>
      </w:r>
    </w:p>
    <w:bookmarkEnd w:id="431"/>
    <w:bookmarkStart w:id="432" w:name="implications-for-scenario-ranking"/>
    <w:p>
      <w:pPr>
        <w:pStyle w:val="Heading3"/>
      </w:pPr>
      <w:r>
        <w:t xml:space="preserve">15.4.3 Implications for Scenario Ranking</w:t>
      </w:r>
    </w:p>
    <w:p>
      <w:pPr>
        <w:pStyle w:val="FirstParagraph"/>
      </w:pPr>
      <w:r>
        <w:t xml:space="preserve">The real options perspective strengthens the case for S3 (National Grid) and S4 (Islanded Green), both of which preserve maximum future flexibility by avoiding large irreversible commitments to international infrastructure. S2 (Full Integration) requires the largest irreversible commitment earliest and therefore carries the highest opportunity cost of premature commitment. The option value of waiting is estimated at two hundred to five hundred million dollars — three to eight percent of cable CAPEX — depending on assumed cost volatility, a significant sum that standard NPV analysis entirely overlooks.</w:t>
      </w:r>
    </w:p>
    <w:p>
      <w:r>
        <w:pict>
          <v:rect style="width:0;height:1.5pt" o:hralign="center" o:hrstd="t" o:hr="t"/>
        </w:pict>
      </w:r>
    </w:p>
    <w:bookmarkEnd w:id="432"/>
    <w:bookmarkEnd w:id="433"/>
    <w:bookmarkStart w:id="490" w:name="sec-benchmarks"/>
    <w:p>
      <w:pPr>
        <w:pStyle w:val="Heading2"/>
      </w:pPr>
      <w:r>
        <w:t xml:space="preserve">15.5 C.5 International Benchmarking</w:t>
      </w:r>
    </w:p>
    <w:p>
      <w:pPr>
        <w:pStyle w:val="FirstParagraph"/>
      </w:pPr>
      <w:r>
        <w:t xml:space="preserve">Comparing this study with published SIDS energy analyses serves two purposes. First, it validates the model’s parameter choices and methodological framework against established practice. Second, it identifies where this study advances beyond existing work, contributing to the global evidence base.</w:t>
      </w:r>
    </w:p>
    <w:tbl>
      <w:tblPr>
        <w:tblStyle w:val="Table"/>
        <w:tblW w:type="pct" w:w="5000"/>
        <w:tblLayout w:type="fixed"/>
        <w:tblLook w:firstRow="0" w:lastRow="0" w:firstColumn="0" w:lastColumn="0" w:noHBand="0" w:noVBand="0" w:val="0000"/>
      </w:tblPr>
      <w:tblGrid>
        <w:gridCol w:w="7920"/>
      </w:tblGrid>
      <w:tr>
        <w:tc>
          <w:tcPr/>
          <w:bookmarkStart w:id="434" w:name="tbl-benchmarks"/>
          <w:p>
            <w:pPr>
              <w:jc w:val="center"/>
            </w:pPr>
            <w:pPr>
              <w:jc w:val="start"/>
              <w:spacing w:before="200"/>
              <w:pStyle w:val="ImageCaption"/>
            </w:pPr>
            <w:r>
              <w:t xml:space="preserve">Table 15.1: Comparison with published SIDS energy studies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Study</w:t>
                  </w:r>
                </w:p>
              </w:tc>
              <w:tc>
                <w:tcPr/>
                <w:p>
                  <w:pPr>
                    <w:pStyle w:val="Compact"/>
                    <w:jc w:val="center"/>
                  </w:pPr>
                  <w:r>
                    <w:t xml:space="preserve">Region</w:t>
                  </w:r>
                </w:p>
              </w:tc>
              <w:tc>
                <w:tcPr/>
                <w:p>
                  <w:pPr>
                    <w:pStyle w:val="Compact"/>
                    <w:jc w:val="center"/>
                  </w:pPr>
                  <w:r>
                    <w:t xml:space="preserve">Discount Rate</w:t>
                  </w:r>
                </w:p>
              </w:tc>
              <w:tc>
                <w:tcPr/>
                <w:p>
                  <w:pPr>
                    <w:pStyle w:val="Compact"/>
                    <w:jc w:val="center"/>
                  </w:pPr>
                  <w:r>
                    <w:t xml:space="preserve">Solar CAPEX</w:t>
                  </w:r>
                </w:p>
              </w:tc>
              <w:tc>
                <w:tcPr/>
                <w:p>
                  <w:pPr>
                    <w:pStyle w:val="Compact"/>
                    <w:jc w:val="center"/>
                  </w:pPr>
                  <w:r>
                    <w:t xml:space="preserve">LCOE Range</w:t>
                  </w:r>
                </w:p>
              </w:tc>
              <w:tc>
                <w:tcPr/>
                <w:p>
                  <w:pPr>
                    <w:pStyle w:val="Compact"/>
                    <w:jc w:val="center"/>
                  </w:pPr>
                  <w:r>
                    <w:t xml:space="preserve">Sensitivity</w:t>
                  </w:r>
                </w:p>
              </w:tc>
            </w:tr>
            <w:tr>
              <w:tc>
                <w:tcPr/>
                <w:p>
                  <w:pPr>
                    <w:pStyle w:val="Compact"/>
                    <w:jc w:val="center"/>
                  </w:pPr>
                  <w:r>
                    <w:t xml:space="preserve">Dornan &amp; Jotzo (2015)</w:t>
                  </w:r>
                </w:p>
              </w:tc>
              <w:tc>
                <w:tcPr/>
                <w:p>
                  <w:pPr>
                    <w:pStyle w:val="Compact"/>
                    <w:jc w:val="center"/>
                  </w:pPr>
                  <w:r>
                    <w:t xml:space="preserve">Fiji</w:t>
                  </w:r>
                </w:p>
              </w:tc>
              <w:tc>
                <w:tcPr/>
                <w:p>
                  <w:pPr>
                    <w:pStyle w:val="Compact"/>
                    <w:jc w:val="center"/>
                  </w:pPr>
                  <w:r>
                    <w:t xml:space="preserve">10%</w:t>
                  </w:r>
                </w:p>
              </w:tc>
              <w:tc>
                <w:tcPr/>
                <w:p>
                  <w:pPr>
                    <w:pStyle w:val="Compact"/>
                    <w:jc w:val="center"/>
                  </w:pPr>
                  <w:r>
                    <w:t xml:space="preserve">n/a</w:t>
                  </w:r>
                </w:p>
              </w:tc>
              <w:tc>
                <w:tcPr/>
                <w:p>
                  <w:pPr>
                    <w:pStyle w:val="Compact"/>
                    <w:jc w:val="center"/>
                  </w:pPr>
                  <w:r>
                    <w:t xml:space="preserve">Fig-based</w:t>
                  </w:r>
                </w:p>
              </w:tc>
              <w:tc>
                <w:tcPr/>
                <w:p>
                  <w:pPr>
                    <w:pStyle w:val="Compact"/>
                    <w:jc w:val="center"/>
                  </w:pPr>
                  <w:r>
                    <w:t xml:space="preserve">Monte Carlo portfolio</w:t>
                  </w:r>
                </w:p>
              </w:tc>
            </w:tr>
            <w:tr>
              <w:tc>
                <w:tcPr/>
                <w:p>
                  <w:pPr>
                    <w:pStyle w:val="Compact"/>
                    <w:jc w:val="center"/>
                  </w:pPr>
                  <w:r>
                    <w:t xml:space="preserve">Timilsina &amp; Shah (2016)</w:t>
                  </w:r>
                </w:p>
              </w:tc>
              <w:tc>
                <w:tcPr/>
                <w:p>
                  <w:pPr>
                    <w:pStyle w:val="Compact"/>
                    <w:jc w:val="center"/>
                  </w:pPr>
                  <w:r>
                    <w:t xml:space="preserve">38 SIDS</w:t>
                  </w:r>
                </w:p>
              </w:tc>
              <w:tc>
                <w:tcPr/>
                <w:p>
                  <w:pPr>
                    <w:pStyle w:val="Compact"/>
                    <w:jc w:val="center"/>
                  </w:pPr>
                  <w:r>
                    <w:t xml:space="preserve">—</w:t>
                  </w:r>
                </w:p>
              </w:tc>
              <w:tc>
                <w:tcPr/>
                <w:p>
                  <w:pPr>
                    <w:pStyle w:val="Compact"/>
                    <w:jc w:val="center"/>
                  </w:pPr>
                  <w:r>
                    <w:t xml:space="preserve">Policy review</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Blechinger et al. (2016)</w:t>
                  </w:r>
                </w:p>
              </w:tc>
              <w:tc>
                <w:tcPr/>
                <w:p>
                  <w:pPr>
                    <w:pStyle w:val="Compact"/>
                    <w:jc w:val="center"/>
                  </w:pPr>
                  <w:r>
                    <w:t xml:space="preserve">Philippines</w:t>
                  </w:r>
                </w:p>
              </w:tc>
              <w:tc>
                <w:tcPr/>
                <w:p>
                  <w:pPr>
                    <w:pStyle w:val="Compact"/>
                    <w:jc w:val="center"/>
                  </w:pPr>
                  <w:r>
                    <w:t xml:space="preserve">6%</w:t>
                  </w:r>
                </w:p>
              </w:tc>
              <w:tc>
                <w:tcPr/>
                <w:p>
                  <w:pPr>
                    <w:pStyle w:val="Compact"/>
                    <w:jc w:val="center"/>
                  </w:pPr>
                  <w:r>
                    <w:t xml:space="preserve">$1,500–2,500</w:t>
                  </w:r>
                </w:p>
              </w:tc>
              <w:tc>
                <w:tcPr/>
                <w:p>
                  <w:pPr>
                    <w:pStyle w:val="Compact"/>
                    <w:jc w:val="center"/>
                  </w:pPr>
                  <w:r>
                    <w:t xml:space="preserve">$0.30–0.60</w:t>
                  </w:r>
                </w:p>
              </w:tc>
              <w:tc>
                <w:tcPr/>
                <w:p>
                  <w:pPr>
                    <w:pStyle w:val="Compact"/>
                    <w:jc w:val="center"/>
                  </w:pPr>
                  <w:r>
                    <w:t xml:space="preserve">One-way</w:t>
                  </w:r>
                </w:p>
              </w:tc>
            </w:tr>
            <w:tr>
              <w:tc>
                <w:tcPr/>
                <w:p>
                  <w:pPr>
                    <w:pStyle w:val="Compact"/>
                    <w:jc w:val="center"/>
                  </w:pPr>
                  <w:r>
                    <w:t xml:space="preserve">Aderinto &amp; Li (2020)</w:t>
                  </w:r>
                </w:p>
              </w:tc>
              <w:tc>
                <w:tcPr/>
                <w:p>
                  <w:pPr>
                    <w:pStyle w:val="Compact"/>
                    <w:jc w:val="center"/>
                  </w:pPr>
                  <w:r>
                    <w:t xml:space="preserve">General SIDS</w:t>
                  </w:r>
                </w:p>
              </w:tc>
              <w:tc>
                <w:tcPr/>
                <w:p>
                  <w:pPr>
                    <w:pStyle w:val="Compact"/>
                    <w:jc w:val="center"/>
                  </w:pPr>
                  <w:r>
                    <w:t xml:space="preserve">—</w:t>
                  </w:r>
                </w:p>
              </w:tc>
              <w:tc>
                <w:tcPr/>
                <w:p>
                  <w:pPr>
                    <w:pStyle w:val="Compact"/>
                    <w:jc w:val="center"/>
                  </w:pPr>
                  <w:r>
                    <w:t xml:space="preserve">$1,200–2,000</w:t>
                  </w:r>
                </w:p>
              </w:tc>
              <w:tc>
                <w:tcPr/>
                <w:p>
                  <w:pPr>
                    <w:pStyle w:val="Compact"/>
                    <w:jc w:val="center"/>
                  </w:pPr>
                  <w:r>
                    <w:t xml:space="preserve">$0.20–0.45</w:t>
                  </w:r>
                </w:p>
              </w:tc>
              <w:tc>
                <w:tcPr/>
                <w:p>
                  <w:pPr>
                    <w:pStyle w:val="Compact"/>
                    <w:jc w:val="center"/>
                  </w:pPr>
                  <w:r>
                    <w:t xml:space="preserve">—</w:t>
                  </w:r>
                </w:p>
              </w:tc>
            </w:tr>
            <w:tr>
              <w:tc>
                <w:tcPr/>
                <w:p>
                  <w:pPr>
                    <w:pStyle w:val="Compact"/>
                    <w:jc w:val="center"/>
                  </w:pPr>
                  <w:r>
                    <w:t xml:space="preserve">Lucas et al. (2017)</w:t>
                  </w:r>
                </w:p>
              </w:tc>
              <w:tc>
                <w:tcPr/>
                <w:p>
                  <w:pPr>
                    <w:pStyle w:val="Compact"/>
                    <w:jc w:val="center"/>
                  </w:pPr>
                  <w:r>
                    <w:t xml:space="preserve">São Tomé</w:t>
                  </w:r>
                </w:p>
              </w:tc>
              <w:tc>
                <w:tcPr/>
                <w:p>
                  <w:pPr>
                    <w:pStyle w:val="Compact"/>
                    <w:jc w:val="center"/>
                  </w:pPr>
                  <w:r>
                    <w:t xml:space="preserve">3–10%</w:t>
                  </w:r>
                </w:p>
              </w:tc>
              <w:tc>
                <w:tcPr/>
                <w:p>
                  <w:pPr>
                    <w:pStyle w:val="Compact"/>
                    <w:jc w:val="center"/>
                  </w:pPr>
                  <w:r>
                    <w:t xml:space="preserve">$1,800</w:t>
                  </w:r>
                </w:p>
              </w:tc>
              <w:tc>
                <w:tcPr/>
                <w:p>
                  <w:pPr>
                    <w:pStyle w:val="Compact"/>
                    <w:jc w:val="center"/>
                  </w:pPr>
                  <w:r>
                    <w:t xml:space="preserve">$0.25–0.40</w:t>
                  </w:r>
                </w:p>
              </w:tc>
              <w:tc>
                <w:tcPr/>
                <w:p>
                  <w:pPr>
                    <w:pStyle w:val="Compact"/>
                    <w:jc w:val="center"/>
                  </w:pPr>
                  <w:r>
                    <w:t xml:space="preserve">Scenario-based</w:t>
                  </w:r>
                </w:p>
              </w:tc>
            </w:tr>
            <w:tr>
              <w:tc>
                <w:tcPr/>
                <w:p>
                  <w:pPr>
                    <w:pStyle w:val="Compact"/>
                    <w:jc w:val="center"/>
                  </w:pPr>
                  <w:r>
                    <w:t xml:space="preserve">Surroop et al. (2018)</w:t>
                  </w:r>
                </w:p>
              </w:tc>
              <w:tc>
                <w:tcPr/>
                <w:p>
                  <w:pPr>
                    <w:pStyle w:val="Compact"/>
                    <w:jc w:val="center"/>
                  </w:pPr>
                  <w:r>
                    <w:t xml:space="preserve">Mauritius</w:t>
                  </w:r>
                </w:p>
              </w:tc>
              <w:tc>
                <w:tcPr/>
                <w:p>
                  <w:pPr>
                    <w:pStyle w:val="Compact"/>
                    <w:jc w:val="center"/>
                  </w:pPr>
                  <w:r>
                    <w:t xml:space="preserve">6–12%</w:t>
                  </w:r>
                </w:p>
              </w:tc>
              <w:tc>
                <w:tcPr/>
                <w:p>
                  <w:pPr>
                    <w:pStyle w:val="Compact"/>
                    <w:jc w:val="center"/>
                  </w:pPr>
                  <w:r>
                    <w:t xml:space="preserve">$1,600</w:t>
                  </w:r>
                </w:p>
              </w:tc>
              <w:tc>
                <w:tcPr/>
                <w:p>
                  <w:pPr>
                    <w:pStyle w:val="Compact"/>
                    <w:jc w:val="center"/>
                  </w:pPr>
                  <w:r>
                    <w:t xml:space="preserve">$0.15–0.30</w:t>
                  </w:r>
                </w:p>
              </w:tc>
              <w:tc>
                <w:tcPr/>
                <w:p>
                  <w:pPr>
                    <w:pStyle w:val="Compact"/>
                    <w:jc w:val="center"/>
                  </w:pPr>
                  <w:r>
                    <w:t xml:space="preserve">One-way</w:t>
                  </w:r>
                </w:p>
              </w:tc>
            </w:tr>
            <w:tr>
              <w:tc>
                <w:tcPr/>
                <w:p>
                  <w:pPr>
                    <w:pStyle w:val="Compact"/>
                    <w:jc w:val="center"/>
                  </w:pPr>
                  <w:r>
                    <w:t xml:space="preserve">Meschede et al. (2019)</w:t>
                  </w:r>
                </w:p>
              </w:tc>
              <w:tc>
                <w:tcPr/>
                <w:p>
                  <w:pPr>
                    <w:pStyle w:val="Compact"/>
                    <w:jc w:val="center"/>
                  </w:pPr>
                  <w:r>
                    <w:t xml:space="preserve">Multiple SIDS</w:t>
                  </w:r>
                </w:p>
              </w:tc>
              <w:tc>
                <w:tcPr/>
                <w:p>
                  <w:pPr>
                    <w:pStyle w:val="Compact"/>
                    <w:jc w:val="center"/>
                  </w:pPr>
                  <w:r>
                    <w:t xml:space="preserve">8%</w:t>
                  </w:r>
                </w:p>
              </w:tc>
              <w:tc>
                <w:tcPr/>
                <w:p>
                  <w:pPr>
                    <w:pStyle w:val="Compact"/>
                    <w:jc w:val="center"/>
                  </w:pPr>
                  <w:r>
                    <w:t xml:space="preserve">$1,400–2,200</w:t>
                  </w:r>
                </w:p>
              </w:tc>
              <w:tc>
                <w:tcPr/>
                <w:p>
                  <w:pPr>
                    <w:pStyle w:val="Compact"/>
                    <w:jc w:val="center"/>
                  </w:pPr>
                  <w:r>
                    <w:t xml:space="preserve">$0.25–0.55</w:t>
                  </w:r>
                </w:p>
              </w:tc>
              <w:tc>
                <w:tcPr/>
                <w:p>
                  <w:pPr>
                    <w:pStyle w:val="Compact"/>
                    <w:jc w:val="center"/>
                  </w:pPr>
                  <w:r>
                    <w:t xml:space="preserve">—</w:t>
                  </w:r>
                </w:p>
              </w:tc>
            </w:tr>
            <w:tr>
              <w:tc>
                <w:tcPr/>
                <w:p>
                  <w:pPr>
                    <w:pStyle w:val="Compact"/>
                    <w:jc w:val="center"/>
                  </w:pPr>
                  <w:r>
                    <w:t xml:space="preserve">GIZ (2021)</w:t>
                  </w:r>
                </w:p>
              </w:tc>
              <w:tc>
                <w:tcPr/>
                <w:p>
                  <w:pPr>
                    <w:pStyle w:val="Compact"/>
                    <w:jc w:val="center"/>
                  </w:pPr>
                  <w:r>
                    <w:t xml:space="preserve">Pacific SIDS</w:t>
                  </w:r>
                </w:p>
              </w:tc>
              <w:tc>
                <w:tcPr/>
                <w:p>
                  <w:pPr>
                    <w:pStyle w:val="Compact"/>
                    <w:jc w:val="center"/>
                  </w:pPr>
                  <w:r>
                    <w:t xml:space="preserve">5–7%</w:t>
                  </w:r>
                </w:p>
              </w:tc>
              <w:tc>
                <w:tcPr/>
                <w:p>
                  <w:pPr>
                    <w:pStyle w:val="Compact"/>
                    <w:jc w:val="center"/>
                  </w:pPr>
                  <w:r>
                    <w:t xml:space="preserve">$1,500</w:t>
                  </w:r>
                </w:p>
              </w:tc>
              <w:tc>
                <w:tcPr/>
                <w:p>
                  <w:pPr>
                    <w:pStyle w:val="Compact"/>
                    <w:jc w:val="center"/>
                  </w:pPr>
                  <w:r>
                    <w:t xml:space="preserve">$0.18–0.35</w:t>
                  </w:r>
                </w:p>
              </w:tc>
              <w:tc>
                <w:tcPr/>
                <w:p>
                  <w:pPr>
                    <w:pStyle w:val="Compact"/>
                    <w:jc w:val="center"/>
                  </w:pPr>
                  <w:r>
                    <w:t xml:space="preserve">Monte Carlo</w:t>
                  </w:r>
                </w:p>
              </w:tc>
            </w:tr>
            <w:tr>
              <w:tc>
                <w:tcPr/>
                <w:p>
                  <w:pPr>
                    <w:pStyle w:val="Compact"/>
                    <w:jc w:val="center"/>
                  </w:pPr>
                  <w:r>
                    <w:t xml:space="preserve">ADB (2022)</w:t>
                  </w:r>
                </w:p>
              </w:tc>
              <w:tc>
                <w:tcPr/>
                <w:p>
                  <w:pPr>
                    <w:pStyle w:val="Compact"/>
                    <w:jc w:val="center"/>
                  </w:pPr>
                  <w:r>
                    <w:t xml:space="preserve">Pacific SIDS</w:t>
                  </w:r>
                </w:p>
              </w:tc>
              <w:tc>
                <w:tcPr/>
                <w:p>
                  <w:pPr>
                    <w:pStyle w:val="Compact"/>
                    <w:jc w:val="center"/>
                  </w:pPr>
                  <w:r>
                    <w:t xml:space="preserve">6%</w:t>
                  </w:r>
                </w:p>
              </w:tc>
              <w:tc>
                <w:tcPr/>
                <w:p>
                  <w:pPr>
                    <w:pStyle w:val="Compact"/>
                    <w:jc w:val="center"/>
                  </w:pPr>
                  <w:r>
                    <w:t xml:space="preserve">$1,200–1,800</w:t>
                  </w:r>
                </w:p>
              </w:tc>
              <w:tc>
                <w:tcPr/>
                <w:p>
                  <w:pPr>
                    <w:pStyle w:val="Compact"/>
                    <w:jc w:val="center"/>
                  </w:pPr>
                  <w:r>
                    <w:t xml:space="preserve">$0.15–0.30</w:t>
                  </w:r>
                </w:p>
              </w:tc>
              <w:tc>
                <w:tcPr/>
                <w:p>
                  <w:pPr>
                    <w:pStyle w:val="Compact"/>
                    <w:jc w:val="center"/>
                  </w:pPr>
                  <w:r>
                    <w:t xml:space="preserve">Switching value</w:t>
                  </w:r>
                </w:p>
              </w:tc>
            </w:tr>
            <w:tr>
              <w:tc>
                <w:tcPr/>
                <w:p>
                  <w:pPr>
                    <w:pStyle w:val="Compact"/>
                    <w:jc w:val="center"/>
                  </w:pPr>
                  <w:r>
                    <w:t xml:space="preserve">IRENA (2024)</w:t>
                  </w:r>
                </w:p>
              </w:tc>
              <w:tc>
                <w:tcPr/>
                <w:p>
                  <w:pPr>
                    <w:pStyle w:val="Compact"/>
                    <w:jc w:val="center"/>
                  </w:pPr>
                  <w:r>
                    <w:t xml:space="preserve">Global/SIDS</w:t>
                  </w:r>
                </w:p>
              </w:tc>
              <w:tc>
                <w:tcPr/>
                <w:p>
                  <w:pPr>
                    <w:pStyle w:val="Compact"/>
                    <w:jc w:val="center"/>
                  </w:pPr>
                  <w:r>
                    <w:t xml:space="preserve">7.5%</w:t>
                  </w:r>
                </w:p>
              </w:tc>
              <w:tc>
                <w:tcPr/>
                <w:p>
                  <w:pPr>
                    <w:pStyle w:val="Compact"/>
                    <w:jc w:val="center"/>
                  </w:pPr>
                  <w:r>
                    <w:t xml:space="preserve">$1,000–1,500</w:t>
                  </w:r>
                </w:p>
              </w:tc>
              <w:tc>
                <w:tcPr/>
                <w:p>
                  <w:pPr>
                    <w:pStyle w:val="Compact"/>
                    <w:jc w:val="center"/>
                  </w:pPr>
                  <w:r>
                    <w:t xml:space="preserve">$0.10–0.25</w:t>
                  </w:r>
                </w:p>
              </w:tc>
              <w:tc>
                <w:tcPr/>
                <w:p>
                  <w:pPr>
                    <w:pStyle w:val="Compact"/>
                    <w:jc w:val="center"/>
                  </w:pPr>
                  <w:r>
                    <w:t xml:space="preserve">—</w:t>
                  </w:r>
                </w:p>
              </w:tc>
            </w:tr>
            <w:tr>
              <w:tc>
                <w:tcPr/>
                <w:p>
                  <w:pPr>
                    <w:pStyle w:val="Compact"/>
                    <w:jc w:val="center"/>
                  </w:pPr>
                  <w:r>
                    <w:rPr>
                      <w:b/>
                      <w:bCs/>
                    </w:rPr>
                    <w:t xml:space="preserve">This study</w:t>
                  </w:r>
                </w:p>
              </w:tc>
              <w:tc>
                <w:tcPr/>
                <w:p>
                  <w:pPr>
                    <w:pStyle w:val="Compact"/>
                    <w:jc w:val="center"/>
                  </w:pPr>
                  <w:r>
                    <w:rPr>
                      <w:b/>
                      <w:bCs/>
                    </w:rPr>
                    <w:t xml:space="preserve">Maldives</w:t>
                  </w:r>
                </w:p>
              </w:tc>
              <w:tc>
                <w:tcPr/>
                <w:p>
                  <w:pPr>
                    <w:pStyle w:val="Compact"/>
                    <w:jc w:val="center"/>
                  </w:pPr>
                  <w:r>
                    <w:rPr>
                      <w:b/>
                      <w:bCs/>
                    </w:rPr>
                    <w:t xml:space="preserve">6%</w:t>
                  </w:r>
                </w:p>
              </w:tc>
              <w:tc>
                <w:tcPr/>
                <w:p>
                  <w:pPr>
                    <w:pStyle w:val="Compact"/>
                    <w:jc w:val="center"/>
                  </w:pPr>
                  <w:r>
                    <w:rPr>
                      <w:b/>
                      <w:bCs/>
                    </w:rPr>
                    <w:t xml:space="preserve">$1,500</w:t>
                  </w:r>
                </w:p>
              </w:tc>
              <w:tc>
                <w:tcPr/>
                <w:p>
                  <w:pPr>
                    <w:pStyle w:val="Compact"/>
                    <w:jc w:val="center"/>
                  </w:pPr>
                  <w:r>
                    <w:rPr>
                      <w:b/>
                      <w:bCs/>
                    </w:rPr>
                    <w:t xml:space="preserve">$0.09–0.34</w:t>
                  </w:r>
                </w:p>
              </w:tc>
              <w:tc>
                <w:tcPr/>
                <w:p>
                  <w:pPr>
                    <w:pStyle w:val="Compact"/>
                    <w:jc w:val="center"/>
                  </w:pPr>
                  <w:r>
                    <w:rPr>
                      <w:b/>
                      <w:bCs/>
                    </w:rPr>
                    <w:t xml:space="preserve">MC + tornado + switching</w:t>
                  </w:r>
                </w:p>
              </w:tc>
            </w:tr>
          </w:tbl>
          <w:bookmarkEnd w:id="434"/>
          <w:p/>
        </w:tc>
      </w:tr>
    </w:tbl>
    <w:p>
      <w:pPr>
        <w:pStyle w:val="BodyText"/>
      </w:pPr>
      <w:r>
        <w:t xml:space="preserve">This study’s parameter values fall comfortably within the published ranges for SIDS energy analyses. The six-percent discount rate follows ADB SIDS practice and is consistent with the central tendency of the studies reviewed. The solar CAPEX of fifteen hundred dollars per kilowatt reflects the installation premium characteristic of island environments — above global utility-scale costs but below the upper end of the range observed in smaller Pacific island installations. The model’s LCOE range of nine to thirty-four cents per kilowatt-hour spans the full spectrum from the most cost-effective outer-island solar-battery installations to the most expensive diesel generation on remote islands, consistent with the ranges reported across the benchmarked studies.</w:t>
      </w:r>
    </w:p>
    <w:p>
      <w:pPr>
        <w:pStyle w:val="BodyText"/>
      </w:pPr>
      <w:r>
        <w:t xml:space="preserve">This study’s main contribution beyond the existing literature lies in the breadth of its uncertainty treatment and supplementary analyses. The combination of Monte Carlo, tornado diagrams, switching-value analysis, multi-horizon sensitivity, and declining discount rate schedules provides more comprehensive robustness testing than any single published SIDS CBA identified in the literature review. The seven-scenario comparison exceeds the typical two-to-three scenario framework, enabling ranking rather than binary comparison. The island-level least-cost engine with explicit land constraints provides spatial granularity that aggregate national models cannot capture. Distributional analysis using household microdata, multi-criteria scoring, real options framing, endogenous learning curves, and climate damage scenarios each address a dimension that standard CBA overlooks.</w:t>
      </w:r>
    </w:p>
    <w:bookmarkStart w:id="489" w:name="refs"/>
    <w:bookmarkStart w:id="435" w:name="ref-osowog2023"/>
    <w:p>
      <w:pPr>
        <w:pStyle w:val="Bibliography"/>
      </w:pPr>
      <w:r>
        <w:t xml:space="preserve">Ahluwalia, M. S., &amp; Patel, U. R. (2023). One sun one world one grid: A roadmap for cross-border renewable energy trade.</w:t>
      </w:r>
      <w:r>
        <w:t xml:space="preserve"> </w:t>
      </w:r>
      <w:r>
        <w:rPr>
          <w:i/>
          <w:iCs/>
        </w:rPr>
        <w:t xml:space="preserve">IRADe Working Paper</w:t>
      </w:r>
      <w:r>
        <w:t xml:space="preserve">.</w:t>
      </w:r>
    </w:p>
    <w:bookmarkEnd w:id="435"/>
    <w:bookmarkStart w:id="437" w:name="ref-adb_guidelines2017"/>
    <w:p>
      <w:pPr>
        <w:pStyle w:val="Bibliography"/>
      </w:pPr>
      <w:r>
        <w:t xml:space="preserve">Asian Development Bank. (2017).</w:t>
      </w:r>
      <w:r>
        <w:t xml:space="preserve"> </w:t>
      </w:r>
      <w:r>
        <w:rPr>
          <w:i/>
          <w:iCs/>
        </w:rPr>
        <w:t xml:space="preserve">Guidelines for the economic analysis of projects</w:t>
      </w:r>
      <w:r>
        <w:t xml:space="preserve">. Asian Development Bank.</w:t>
      </w:r>
      <w:r>
        <w:t xml:space="preserve"> </w:t>
      </w:r>
      <w:hyperlink r:id="rId436">
        <w:r>
          <w:rPr>
            <w:rStyle w:val="Hyperlink"/>
          </w:rPr>
          <w:t xml:space="preserve">https://www.adb.org/documents/guidelines-economic-analysis-projects</w:t>
        </w:r>
      </w:hyperlink>
    </w:p>
    <w:bookmarkEnd w:id="437"/>
    <w:bookmarkStart w:id="439" w:name="ref-adb_assure2023"/>
    <w:p>
      <w:pPr>
        <w:pStyle w:val="Bibliography"/>
      </w:pPr>
      <w:r>
        <w:t xml:space="preserve">Asian Development Bank. (2023).</w:t>
      </w:r>
      <w:r>
        <w:t xml:space="preserve"> </w:t>
      </w:r>
      <w:r>
        <w:rPr>
          <w:i/>
          <w:iCs/>
        </w:rPr>
        <w:t xml:space="preserve">Accelerating sustainable system development using renewable energy project (55191-001)</w:t>
      </w:r>
      <w:r>
        <w:t xml:space="preserve">. ADB.</w:t>
      </w:r>
      <w:r>
        <w:t xml:space="preserve"> </w:t>
      </w:r>
      <w:hyperlink r:id="rId438">
        <w:r>
          <w:rPr>
            <w:rStyle w:val="Hyperlink"/>
          </w:rPr>
          <w:t xml:space="preserve">https://www.adb.org/projects/55191-001/main</w:t>
        </w:r>
      </w:hyperlink>
    </w:p>
    <w:bookmarkEnd w:id="439"/>
    <w:bookmarkStart w:id="440" w:name="ref-adb_lending2026"/>
    <w:p>
      <w:pPr>
        <w:pStyle w:val="Bibliography"/>
      </w:pPr>
      <w:r>
        <w:t xml:space="preserve">Asian Development Bank. (2026).</w:t>
      </w:r>
      <w:r>
        <w:t xml:space="preserve"> </w:t>
      </w:r>
      <w:r>
        <w:rPr>
          <w:i/>
          <w:iCs/>
        </w:rPr>
        <w:t xml:space="preserve">ADB lending policies for concessional assistance</w:t>
      </w:r>
      <w:r>
        <w:t xml:space="preserve">. Asian Development Bank.</w:t>
      </w:r>
    </w:p>
    <w:bookmarkEnd w:id="440"/>
    <w:bookmarkStart w:id="442" w:name="ref-atlantic_council2024"/>
    <w:p>
      <w:pPr>
        <w:pStyle w:val="Bibliography"/>
      </w:pPr>
      <w:r>
        <w:t xml:space="preserve">Atlantic Council. (2024).</w:t>
      </w:r>
      <w:r>
        <w:t xml:space="preserve"> </w:t>
      </w:r>
      <w:r>
        <w:rPr>
          <w:i/>
          <w:iCs/>
        </w:rPr>
        <w:t xml:space="preserve">A roadmap for the caribbean’s energy transition</w:t>
      </w:r>
      <w:r>
        <w:t xml:space="preserve">. Atlantic Council.</w:t>
      </w:r>
      <w:r>
        <w:t xml:space="preserve"> </w:t>
      </w:r>
      <w:hyperlink r:id="rId441">
        <w:r>
          <w:rPr>
            <w:rStyle w:val="Hyperlink"/>
          </w:rPr>
          <w:t xml:space="preserve">https://www.atlanticcouncil.org/in-depth-research-reports/issue-brief/a-roadmap-for-the-caribbeans-energy-transition/</w:t>
        </w:r>
      </w:hyperlink>
    </w:p>
    <w:bookmarkEnd w:id="442"/>
    <w:bookmarkStart w:id="443" w:name="ref-bnef_battery2025"/>
    <w:p>
      <w:pPr>
        <w:pStyle w:val="Bibliography"/>
      </w:pPr>
      <w:r>
        <w:t xml:space="preserve">Bloomberg New Energy Finance. (2025).</w:t>
      </w:r>
      <w:r>
        <w:t xml:space="preserve"> </w:t>
      </w:r>
      <w:r>
        <w:rPr>
          <w:i/>
          <w:iCs/>
        </w:rPr>
        <w:t xml:space="preserve">Lithium-ion battery pack and cell prices survey 2025</w:t>
      </w:r>
      <w:r>
        <w:t xml:space="preserve">. BNEF.</w:t>
      </w:r>
    </w:p>
    <w:bookmarkEnd w:id="443"/>
    <w:bookmarkStart w:id="444" w:name="ref-boardman2018"/>
    <w:p>
      <w:pPr>
        <w:pStyle w:val="Bibliography"/>
      </w:pPr>
      <w:r>
        <w:t xml:space="preserve">Boardman, A. E., Greenberg, D. H., Vining, A. R., &amp; Weimer, D. L. (2018).</w:t>
      </w:r>
      <w:r>
        <w:t xml:space="preserve"> </w:t>
      </w:r>
      <w:r>
        <w:rPr>
          <w:i/>
          <w:iCs/>
        </w:rPr>
        <w:t xml:space="preserve">Cost-benefit analysis: Concepts and practice</w:t>
      </w:r>
      <w:r>
        <w:t xml:space="preserve"> </w:t>
      </w:r>
      <w:r>
        <w:t xml:space="preserve">(5th ed.). Cambridge University Press.</w:t>
      </w:r>
    </w:p>
    <w:bookmarkEnd w:id="444"/>
    <w:bookmarkStart w:id="445" w:name="ref-dixit_pindyck1994"/>
    <w:p>
      <w:pPr>
        <w:pStyle w:val="Bibliography"/>
      </w:pPr>
      <w:r>
        <w:t xml:space="preserve">Dixit, A. K., &amp; Pindyck, R. S. (1994).</w:t>
      </w:r>
      <w:r>
        <w:t xml:space="preserve"> </w:t>
      </w:r>
      <w:r>
        <w:rPr>
          <w:i/>
          <w:iCs/>
        </w:rPr>
        <w:t xml:space="preserve">Investment under uncertainty</w:t>
      </w:r>
      <w:r>
        <w:t xml:space="preserve">. Princeton University Press.</w:t>
      </w:r>
    </w:p>
    <w:bookmarkEnd w:id="445"/>
    <w:bookmarkStart w:id="447" w:name="ref-dodgson2009"/>
    <w:p>
      <w:pPr>
        <w:pStyle w:val="Bibliography"/>
      </w:pPr>
      <w:r>
        <w:t xml:space="preserve">Dodgson, J. S., Spackman, M., Pearman, A., &amp; Phillips, L. D. (2009).</w:t>
      </w:r>
      <w:r>
        <w:t xml:space="preserve"> </w:t>
      </w:r>
      <w:r>
        <w:rPr>
          <w:i/>
          <w:iCs/>
        </w:rPr>
        <w:t xml:space="preserve">Multi-criteria analysis: A manual</w:t>
      </w:r>
      <w:r>
        <w:t xml:space="preserve">. Department for Communities; Local Government, United Kingdom.</w:t>
      </w:r>
      <w:r>
        <w:t xml:space="preserve"> </w:t>
      </w:r>
      <w:hyperlink r:id="rId446">
        <w:r>
          <w:rPr>
            <w:rStyle w:val="Hyperlink"/>
          </w:rPr>
          <w:t xml:space="preserve">https://www.gov.uk/government/publications/multi-criteria-analysis-manual-for-making-government-policy</w:t>
        </w:r>
      </w:hyperlink>
    </w:p>
    <w:bookmarkEnd w:id="447"/>
    <w:bookmarkStart w:id="449" w:name="ref-drupp2018"/>
    <w:p>
      <w:pPr>
        <w:pStyle w:val="Bibliography"/>
      </w:pPr>
      <w:r>
        <w:t xml:space="preserve">Drupp, M. A., Freeman, M. C., Groom, B., &amp; Nesje, F. (2018). Discounting disentangled.</w:t>
      </w:r>
      <w:r>
        <w:t xml:space="preserve"> </w:t>
      </w:r>
      <w:r>
        <w:rPr>
          <w:i/>
          <w:iCs/>
        </w:rPr>
        <w:t xml:space="preserve">American Economic Journal: Economic Policy</w:t>
      </w:r>
      <w:r>
        <w:t xml:space="preserve">,</w:t>
      </w:r>
      <w:r>
        <w:t xml:space="preserve"> </w:t>
      </w:r>
      <w:r>
        <w:rPr>
          <w:i/>
          <w:iCs/>
        </w:rPr>
        <w:t xml:space="preserve">10</w:t>
      </w:r>
      <w:r>
        <w:t xml:space="preserve">(4), 109–134.</w:t>
      </w:r>
      <w:r>
        <w:t xml:space="preserve"> </w:t>
      </w:r>
      <w:hyperlink r:id="rId448">
        <w:r>
          <w:rPr>
            <w:rStyle w:val="Hyperlink"/>
          </w:rPr>
          <w:t xml:space="preserve">https://doi.org/10.1257/pol.20160240</w:t>
        </w:r>
      </w:hyperlink>
    </w:p>
    <w:bookmarkEnd w:id="449"/>
    <w:bookmarkStart w:id="451" w:name="ref-gca2025"/>
    <w:p>
      <w:pPr>
        <w:pStyle w:val="Bibliography"/>
      </w:pPr>
      <w:r>
        <w:t xml:space="preserve">Global Center on Adaptation. (2025).</w:t>
      </w:r>
      <w:r>
        <w:t xml:space="preserve"> </w:t>
      </w:r>
      <w:r>
        <w:rPr>
          <w:i/>
          <w:iCs/>
        </w:rPr>
        <w:t xml:space="preserve">State and trends in adaptation report 2024–2025</w:t>
      </w:r>
      <w:r>
        <w:t xml:space="preserve">. Global Center on Adaptation.</w:t>
      </w:r>
      <w:r>
        <w:t xml:space="preserve"> </w:t>
      </w:r>
      <w:hyperlink r:id="rId450">
        <w:r>
          <w:rPr>
            <w:rStyle w:val="Hyperlink"/>
          </w:rPr>
          <w:t xml:space="preserve">https://gca.org/reports/state-and-trends-in-adaptation/</w:t>
        </w:r>
      </w:hyperlink>
    </w:p>
    <w:bookmarkEnd w:id="451"/>
    <w:bookmarkStart w:id="453" w:name="ref-maldives_ndc2020"/>
    <w:p>
      <w:pPr>
        <w:pStyle w:val="Bibliography"/>
      </w:pPr>
      <w:r>
        <w:t xml:space="preserve">Government of Maldives. (2020).</w:t>
      </w:r>
      <w:r>
        <w:t xml:space="preserve"> </w:t>
      </w:r>
      <w:r>
        <w:rPr>
          <w:i/>
          <w:iCs/>
        </w:rPr>
        <w:t xml:space="preserve">Nationally determined contribution</w:t>
      </w:r>
      <w:r>
        <w:t xml:space="preserve">. Ministry of Environment.</w:t>
      </w:r>
      <w:r>
        <w:t xml:space="preserve"> </w:t>
      </w:r>
      <w:hyperlink r:id="rId452">
        <w:r>
          <w:rPr>
            <w:rStyle w:val="Hyperlink"/>
          </w:rPr>
          <w:t xml:space="preserve">https://unfccc.int</w:t>
        </w:r>
      </w:hyperlink>
    </w:p>
    <w:bookmarkEnd w:id="453"/>
    <w:bookmarkStart w:id="455" w:name="ref-hm_treasury2022"/>
    <w:p>
      <w:pPr>
        <w:pStyle w:val="Bibliography"/>
      </w:pPr>
      <w:r>
        <w:t xml:space="preserve">HM Treasury. (2022).</w:t>
      </w:r>
      <w:r>
        <w:t xml:space="preserve"> </w:t>
      </w:r>
      <w:r>
        <w:rPr>
          <w:i/>
          <w:iCs/>
        </w:rPr>
        <w:t xml:space="preserve">The green book: Central government guidance on appraisal and evaluation</w:t>
      </w:r>
      <w:r>
        <w:t xml:space="preserve">. HM Treasury, United Kingdom.</w:t>
      </w:r>
      <w:r>
        <w:t xml:space="preserve"> </w:t>
      </w:r>
      <w:hyperlink r:id="rId454">
        <w:r>
          <w:rPr>
            <w:rStyle w:val="Hyperlink"/>
          </w:rPr>
          <w:t xml:space="preserve">https://www.gov.uk/government/publications/the-green-book-appraisal-and-evaluation-in-central-governent</w:t>
        </w:r>
      </w:hyperlink>
    </w:p>
    <w:bookmarkEnd w:id="455"/>
    <w:bookmarkStart w:id="456" w:name="ref-ipcc2006"/>
    <w:p>
      <w:pPr>
        <w:pStyle w:val="Bibliography"/>
      </w:pPr>
      <w:r>
        <w:t xml:space="preserve">Intergovernmental Panel on Climate Change. (2006).</w:t>
      </w:r>
      <w:r>
        <w:t xml:space="preserve"> </w:t>
      </w:r>
      <w:r>
        <w:rPr>
          <w:i/>
          <w:iCs/>
        </w:rPr>
        <w:t xml:space="preserve">2006 IPCC guidelines for national greenhouse gas inventories</w:t>
      </w:r>
      <w:r>
        <w:t xml:space="preserve">. IPCC.</w:t>
      </w:r>
    </w:p>
    <w:bookmarkEnd w:id="456"/>
    <w:bookmarkStart w:id="458" w:name="ref-iea_india2023"/>
    <w:p>
      <w:pPr>
        <w:pStyle w:val="Bibliography"/>
      </w:pPr>
      <w:r>
        <w:t xml:space="preserve">International Energy Agency. (2023).</w:t>
      </w:r>
      <w:r>
        <w:t xml:space="preserve"> </w:t>
      </w:r>
      <w:r>
        <w:rPr>
          <w:i/>
          <w:iCs/>
        </w:rPr>
        <w:t xml:space="preserve">India energy outlook 2023</w:t>
      </w:r>
      <w:r>
        <w:t xml:space="preserve">. IEA.</w:t>
      </w:r>
      <w:r>
        <w:t xml:space="preserve"> </w:t>
      </w:r>
      <w:hyperlink r:id="rId457">
        <w:r>
          <w:rPr>
            <w:rStyle w:val="Hyperlink"/>
          </w:rPr>
          <w:t xml:space="preserve">https://www.iea.org/reports/india-energy-outlook-2023</w:t>
        </w:r>
      </w:hyperlink>
    </w:p>
    <w:bookmarkEnd w:id="458"/>
    <w:bookmarkStart w:id="460" w:name="ref-imf_dst2023"/>
    <w:p>
      <w:pPr>
        <w:pStyle w:val="Bibliography"/>
      </w:pPr>
      <w:r>
        <w:t xml:space="preserve">International Monetary Fund. (2023).</w:t>
      </w:r>
      <w:r>
        <w:t xml:space="preserve"> </w:t>
      </w:r>
      <w:r>
        <w:rPr>
          <w:i/>
          <w:iCs/>
        </w:rPr>
        <w:t xml:space="preserve">Debt sustainability analysis framework for low-income countries</w:t>
      </w:r>
      <w:r>
        <w:t xml:space="preserve">. IMF.</w:t>
      </w:r>
      <w:r>
        <w:t xml:space="preserve"> </w:t>
      </w:r>
      <w:hyperlink r:id="rId459">
        <w:r>
          <w:rPr>
            <w:rStyle w:val="Hyperlink"/>
          </w:rPr>
          <w:t xml:space="preserve">https://www.imf.org/en/Topics/Sovereign-Debt/Debt-Sustainability-Analysis</w:t>
        </w:r>
      </w:hyperlink>
    </w:p>
    <w:bookmarkEnd w:id="460"/>
    <w:bookmarkStart w:id="462" w:name="ref-irena_roadmap_maldives2015"/>
    <w:p>
      <w:pPr>
        <w:pStyle w:val="Bibliography"/>
      </w:pPr>
      <w:r>
        <w:t xml:space="preserve">International Renewable Energy Agency. (2015).</w:t>
      </w:r>
      <w:r>
        <w:t xml:space="preserve"> </w:t>
      </w:r>
      <w:r>
        <w:rPr>
          <w:i/>
          <w:iCs/>
        </w:rPr>
        <w:t xml:space="preserve">Renewable energy roadmap for the republic of maldives</w:t>
      </w:r>
      <w:r>
        <w:t xml:space="preserve">. IRENA.</w:t>
      </w:r>
      <w:r>
        <w:t xml:space="preserve"> </w:t>
      </w:r>
      <w:hyperlink r:id="rId461">
        <w:r>
          <w:rPr>
            <w:rStyle w:val="Hyperlink"/>
          </w:rPr>
          <w:t xml:space="preserve">https://www.irena.org/publications/2015/Sep/Renewable-Energy-Roadmap-for-The-Republic-of-Maldives</w:t>
        </w:r>
      </w:hyperlink>
    </w:p>
    <w:bookmarkEnd w:id="462"/>
    <w:bookmarkStart w:id="464" w:name="ref-irena_sids2023"/>
    <w:p>
      <w:pPr>
        <w:pStyle w:val="Bibliography"/>
      </w:pPr>
      <w:r>
        <w:t xml:space="preserve">International Renewable Energy Agency. (2023).</w:t>
      </w:r>
      <w:r>
        <w:t xml:space="preserve"> </w:t>
      </w:r>
      <w:r>
        <w:rPr>
          <w:i/>
          <w:iCs/>
        </w:rPr>
        <w:t xml:space="preserve">Renewable energy in small island developing states</w:t>
      </w:r>
      <w:r>
        <w:t xml:space="preserve">. IRENA.</w:t>
      </w:r>
      <w:r>
        <w:t xml:space="preserve"> </w:t>
      </w:r>
      <w:hyperlink r:id="rId463">
        <w:r>
          <w:rPr>
            <w:rStyle w:val="Hyperlink"/>
          </w:rPr>
          <w:t xml:space="preserve">https://www.irena.org/publications</w:t>
        </w:r>
      </w:hyperlink>
    </w:p>
    <w:bookmarkEnd w:id="464"/>
    <w:bookmarkStart w:id="466" w:name="ref-irena_costs2024"/>
    <w:p>
      <w:pPr>
        <w:pStyle w:val="Bibliography"/>
      </w:pPr>
      <w:r>
        <w:t xml:space="preserve">International Renewable Energy Agency. (2024).</w:t>
      </w:r>
      <w:r>
        <w:t xml:space="preserve"> </w:t>
      </w:r>
      <w:r>
        <w:rPr>
          <w:i/>
          <w:iCs/>
        </w:rPr>
        <w:t xml:space="preserve">Renewable power generation costs in 2023</w:t>
      </w:r>
      <w:r>
        <w:t xml:space="preserve">. IRENA.</w:t>
      </w:r>
      <w:r>
        <w:t xml:space="preserve"> </w:t>
      </w:r>
      <w:hyperlink r:id="rId465">
        <w:r>
          <w:rPr>
            <w:rStyle w:val="Hyperlink"/>
          </w:rPr>
          <w:t xml:space="preserve">https://www.irena.org/Publications/2024/Sep/Renewable-Power-Generation-Costs-in-2023</w:t>
        </w:r>
      </w:hyperlink>
    </w:p>
    <w:bookmarkEnd w:id="466"/>
    <w:bookmarkStart w:id="468" w:name="ref-jordan2013"/>
    <w:p>
      <w:pPr>
        <w:pStyle w:val="Bibliography"/>
      </w:pPr>
      <w:r>
        <w:t xml:space="preserve">Jordan, D. C., &amp; Kurtz, S. R. (2013). Photovoltaic degradation rates — an analytical review.</w:t>
      </w:r>
      <w:r>
        <w:t xml:space="preserve"> </w:t>
      </w:r>
      <w:r>
        <w:rPr>
          <w:i/>
          <w:iCs/>
        </w:rPr>
        <w:t xml:space="preserve">Progress in Photovoltaics: Research and Applications</w:t>
      </w:r>
      <w:r>
        <w:t xml:space="preserve">,</w:t>
      </w:r>
      <w:r>
        <w:t xml:space="preserve"> </w:t>
      </w:r>
      <w:r>
        <w:rPr>
          <w:i/>
          <w:iCs/>
        </w:rPr>
        <w:t xml:space="preserve">21</w:t>
      </w:r>
      <w:r>
        <w:t xml:space="preserve">(1), 12–29.</w:t>
      </w:r>
      <w:r>
        <w:t xml:space="preserve"> </w:t>
      </w:r>
      <w:hyperlink r:id="rId467">
        <w:r>
          <w:rPr>
            <w:rStyle w:val="Hyperlink"/>
          </w:rPr>
          <w:t xml:space="preserve">https://doi.org/10.1002/pip.1182</w:t>
        </w:r>
      </w:hyperlink>
    </w:p>
    <w:bookmarkEnd w:id="468"/>
    <w:bookmarkStart w:id="469" w:name="ref-gom_roadmap2024"/>
    <w:p>
      <w:pPr>
        <w:pStyle w:val="Bibliography"/>
      </w:pPr>
      <w:r>
        <w:t xml:space="preserve">Ministry of Climate Change, Environment and Energy, Republic of Maldives. (2024).</w:t>
      </w:r>
      <w:r>
        <w:t xml:space="preserve"> </w:t>
      </w:r>
      <w:r>
        <w:rPr>
          <w:i/>
          <w:iCs/>
        </w:rPr>
        <w:t xml:space="preserve">Paving the way for a just energy transition in maldives — road map for the energy sector 2024–2033</w:t>
      </w:r>
      <w:r>
        <w:t xml:space="preserve">. Government of Maldives.</w:t>
      </w:r>
    </w:p>
    <w:bookmarkEnd w:id="469"/>
    <w:bookmarkStart w:id="471" w:name="ref-maldives_srep"/>
    <w:p>
      <w:pPr>
        <w:pStyle w:val="Bibliography"/>
      </w:pPr>
      <w:r>
        <w:t xml:space="preserve">Ministry of Environment and Energy, Republic of Maldives. (2016).</w:t>
      </w:r>
      <w:r>
        <w:t xml:space="preserve"> </w:t>
      </w:r>
      <w:r>
        <w:rPr>
          <w:i/>
          <w:iCs/>
        </w:rPr>
        <w:t xml:space="preserve">Energy sector overview: SREP</w:t>
      </w:r>
      <w:r>
        <w:t xml:space="preserve">. Government of Maldives.</w:t>
      </w:r>
      <w:r>
        <w:t xml:space="preserve"> </w:t>
      </w:r>
      <w:hyperlink r:id="rId470">
        <w:r>
          <w:rPr>
            <w:rStyle w:val="Hyperlink"/>
          </w:rPr>
          <w:t xml:space="preserve">https://www.cif.org/sites/default/files/maldives_energy_sector_srep_-_nigeria_.pdf</w:t>
        </w:r>
      </w:hyperlink>
    </w:p>
    <w:bookmarkEnd w:id="471"/>
    <w:bookmarkStart w:id="472" w:name="ref-maldives_iedb2018"/>
    <w:p>
      <w:pPr>
        <w:pStyle w:val="Bibliography"/>
      </w:pPr>
      <w:r>
        <w:t xml:space="preserve">Ministry of Environment, Republic of Maldives. (2018).</w:t>
      </w:r>
      <w:r>
        <w:t xml:space="preserve"> </w:t>
      </w:r>
      <w:r>
        <w:rPr>
          <w:i/>
          <w:iCs/>
        </w:rPr>
        <w:t xml:space="preserve">Island electricity data book 2018</w:t>
      </w:r>
      <w:r>
        <w:t xml:space="preserve">. Government of Maldives.</w:t>
      </w:r>
    </w:p>
    <w:bookmarkEnd w:id="472"/>
    <w:bookmarkStart w:id="473" w:name="ref-hies2019"/>
    <w:p>
      <w:pPr>
        <w:pStyle w:val="Bibliography"/>
      </w:pPr>
      <w:r>
        <w:t xml:space="preserve">National Bureau of Statistics, Republic of Maldives. (2019).</w:t>
      </w:r>
      <w:r>
        <w:t xml:space="preserve"> </w:t>
      </w:r>
      <w:r>
        <w:rPr>
          <w:i/>
          <w:iCs/>
        </w:rPr>
        <w:t xml:space="preserve">Household income and expenditure survey 2019</w:t>
      </w:r>
      <w:r>
        <w:t xml:space="preserve">. Government of Maldives.</w:t>
      </w:r>
    </w:p>
    <w:bookmarkEnd w:id="473"/>
    <w:bookmarkStart w:id="475" w:name="ref-maldives_census2022"/>
    <w:p>
      <w:pPr>
        <w:pStyle w:val="Bibliography"/>
      </w:pPr>
      <w:r>
        <w:t xml:space="preserve">National Bureau of Statistics, Republic of Maldives. (2022).</w:t>
      </w:r>
      <w:r>
        <w:t xml:space="preserve"> </w:t>
      </w:r>
      <w:r>
        <w:rPr>
          <w:i/>
          <w:iCs/>
        </w:rPr>
        <w:t xml:space="preserve">Population and housing census 2022</w:t>
      </w:r>
      <w:r>
        <w:t xml:space="preserve">. Government of Maldives.</w:t>
      </w:r>
      <w:r>
        <w:t xml:space="preserve"> </w:t>
      </w:r>
      <w:hyperlink r:id="rId474">
        <w:r>
          <w:rPr>
            <w:rStyle w:val="Hyperlink"/>
          </w:rPr>
          <w:t xml:space="preserve">https://census.gov.mv/</w:t>
        </w:r>
      </w:hyperlink>
    </w:p>
    <w:bookmarkEnd w:id="475"/>
    <w:bookmarkStart w:id="476" w:name="ref-parry2014"/>
    <w:p>
      <w:pPr>
        <w:pStyle w:val="Bibliography"/>
      </w:pPr>
      <w:r>
        <w:t xml:space="preserve">Parry, I., Heine, D., Lis, E., &amp; Li, S. (2014).</w:t>
      </w:r>
      <w:r>
        <w:t xml:space="preserve"> </w:t>
      </w:r>
      <w:r>
        <w:rPr>
          <w:i/>
          <w:iCs/>
        </w:rPr>
        <w:t xml:space="preserve">Getting energy prices right: From principle to practice</w:t>
      </w:r>
      <w:r>
        <w:t xml:space="preserve"> </w:t>
      </w:r>
      <w:r>
        <w:t xml:space="preserve">(IMF Working Paper WP/14/199). International Monetary Fund.</w:t>
      </w:r>
    </w:p>
    <w:bookmarkEnd w:id="476"/>
    <w:bookmarkStart w:id="478" w:name="ref-reglobal2023"/>
    <w:p>
      <w:pPr>
        <w:pStyle w:val="Bibliography"/>
      </w:pPr>
      <w:r>
        <w:t xml:space="preserve">REGlobal. (2023).</w:t>
      </w:r>
      <w:r>
        <w:t xml:space="preserve"> </w:t>
      </w:r>
      <w:r>
        <w:rPr>
          <w:i/>
          <w:iCs/>
        </w:rPr>
        <w:t xml:space="preserve">Embracing renewables: Overview of the clean energy sector in maldives</w:t>
      </w:r>
      <w:r>
        <w:t xml:space="preserve">. REGlobal.</w:t>
      </w:r>
      <w:r>
        <w:t xml:space="preserve"> </w:t>
      </w:r>
      <w:hyperlink r:id="rId477">
        <w:r>
          <w:rPr>
            <w:rStyle w:val="Hyperlink"/>
          </w:rPr>
          <w:t xml:space="preserve">https://reglobal.org/embracing-renewables-overview-of-the-clean-energy-sector-in-maldives/</w:t>
        </w:r>
      </w:hyperlink>
    </w:p>
    <w:bookmarkEnd w:id="478"/>
    <w:bookmarkStart w:id="479" w:name="ref-stern2006"/>
    <w:p>
      <w:pPr>
        <w:pStyle w:val="Bibliography"/>
      </w:pPr>
      <w:r>
        <w:t xml:space="preserve">Stern, N. (2006).</w:t>
      </w:r>
      <w:r>
        <w:t xml:space="preserve"> </w:t>
      </w:r>
      <w:r>
        <w:rPr>
          <w:i/>
          <w:iCs/>
        </w:rPr>
        <w:t xml:space="preserve">The economics of climate change: The stern review</w:t>
      </w:r>
      <w:r>
        <w:t xml:space="preserve">. HM Treasury, United Kingdom; Cambridge University Press.</w:t>
      </w:r>
    </w:p>
    <w:bookmarkEnd w:id="479"/>
    <w:bookmarkStart w:id="481" w:name="ref-epa_scc2023"/>
    <w:p>
      <w:pPr>
        <w:pStyle w:val="Bibliography"/>
      </w:pPr>
      <w:r>
        <w:t xml:space="preserve">US Environmental Protection Agency. (2023).</w:t>
      </w:r>
      <w:r>
        <w:t xml:space="preserve"> </w:t>
      </w:r>
      <w:r>
        <w:rPr>
          <w:i/>
          <w:iCs/>
        </w:rPr>
        <w:t xml:space="preserve">Report on the social cost of greenhouse gases: Estimates incorporating recent scientific advances</w:t>
      </w:r>
      <w:r>
        <w:t xml:space="preserve">. EPA.</w:t>
      </w:r>
      <w:r>
        <w:t xml:space="preserve"> </w:t>
      </w:r>
      <w:hyperlink r:id="rId480">
        <w:r>
          <w:rPr>
            <w:rStyle w:val="Hyperlink"/>
          </w:rPr>
          <w:t xml:space="preserve">https://www.epa.gov/environmental-economics/scghg</w:t>
        </w:r>
      </w:hyperlink>
    </w:p>
    <w:bookmarkEnd w:id="481"/>
    <w:bookmarkStart w:id="483" w:name="ref-weitzman2001"/>
    <w:p>
      <w:pPr>
        <w:pStyle w:val="Bibliography"/>
      </w:pPr>
      <w:r>
        <w:t xml:space="preserve">Weitzman, M. L. (2001). Gamma discounting.</w:t>
      </w:r>
      <w:r>
        <w:t xml:space="preserve"> </w:t>
      </w:r>
      <w:r>
        <w:rPr>
          <w:i/>
          <w:iCs/>
        </w:rPr>
        <w:t xml:space="preserve">American Economic Review</w:t>
      </w:r>
      <w:r>
        <w:t xml:space="preserve">,</w:t>
      </w:r>
      <w:r>
        <w:t xml:space="preserve"> </w:t>
      </w:r>
      <w:r>
        <w:rPr>
          <w:i/>
          <w:iCs/>
        </w:rPr>
        <w:t xml:space="preserve">91</w:t>
      </w:r>
      <w:r>
        <w:t xml:space="preserve">(1), 260–271.</w:t>
      </w:r>
      <w:r>
        <w:t xml:space="preserve"> </w:t>
      </w:r>
      <w:hyperlink r:id="rId482">
        <w:r>
          <w:rPr>
            <w:rStyle w:val="Hyperlink"/>
          </w:rPr>
          <w:t xml:space="preserve">https://doi.org/10.1257/aer.91.1.260</w:t>
        </w:r>
      </w:hyperlink>
    </w:p>
    <w:bookmarkEnd w:id="483"/>
    <w:bookmarkStart w:id="485" w:name="ref-gsa2023_atlas"/>
    <w:p>
      <w:pPr>
        <w:pStyle w:val="Bibliography"/>
      </w:pPr>
      <w:r>
        <w:t xml:space="preserve">World Bank Group. (2023).</w:t>
      </w:r>
      <w:r>
        <w:t xml:space="preserve"> </w:t>
      </w:r>
      <w:r>
        <w:rPr>
          <w:i/>
          <w:iCs/>
        </w:rPr>
        <w:t xml:space="preserve">Global solar atlas 2.0</w:t>
      </w:r>
      <w:r>
        <w:t xml:space="preserve">. World Bank / Solargis.</w:t>
      </w:r>
      <w:r>
        <w:t xml:space="preserve"> </w:t>
      </w:r>
      <w:hyperlink r:id="rId484">
        <w:r>
          <w:rPr>
            <w:rStyle w:val="Hyperlink"/>
          </w:rPr>
          <w:t xml:space="preserve">https://globalsolaratlas.info/</w:t>
        </w:r>
      </w:hyperlink>
    </w:p>
    <w:bookmarkEnd w:id="485"/>
    <w:bookmarkStart w:id="487" w:name="ref-wright1936"/>
    <w:p>
      <w:pPr>
        <w:pStyle w:val="Bibliography"/>
      </w:pPr>
      <w:r>
        <w:t xml:space="preserve">Wright, T. P. (1936). Factors affecting the cost of airplanes.</w:t>
      </w:r>
      <w:r>
        <w:t xml:space="preserve"> </w:t>
      </w:r>
      <w:r>
        <w:rPr>
          <w:i/>
          <w:iCs/>
        </w:rPr>
        <w:t xml:space="preserve">Journal of the Aeronautical Sciences</w:t>
      </w:r>
      <w:r>
        <w:t xml:space="preserve">,</w:t>
      </w:r>
      <w:r>
        <w:t xml:space="preserve"> </w:t>
      </w:r>
      <w:r>
        <w:rPr>
          <w:i/>
          <w:iCs/>
        </w:rPr>
        <w:t xml:space="preserve">3</w:t>
      </w:r>
      <w:r>
        <w:t xml:space="preserve">(4), 122–128.</w:t>
      </w:r>
      <w:r>
        <w:t xml:space="preserve"> </w:t>
      </w:r>
      <w:hyperlink r:id="rId486">
        <w:r>
          <w:rPr>
            <w:rStyle w:val="Hyperlink"/>
          </w:rPr>
          <w:t xml:space="preserve">https://doi.org/10.2514/8.155</w:t>
        </w:r>
      </w:hyperlink>
    </w:p>
    <w:bookmarkEnd w:id="487"/>
    <w:bookmarkStart w:id="488" w:name="ref-znes_flensburg"/>
    <w:p>
      <w:pPr>
        <w:pStyle w:val="Bibliography"/>
      </w:pPr>
      <w:r>
        <w:t xml:space="preserve">Zentrum für Nachhaltige Energiesysteme (ZNES), Europa-Universität Flensburg. (2020).</w:t>
      </w:r>
      <w:r>
        <w:t xml:space="preserve"> </w:t>
      </w:r>
      <w:r>
        <w:rPr>
          <w:i/>
          <w:iCs/>
        </w:rPr>
        <w:t xml:space="preserve">Rooftop solar potential assessment for mal</w:t>
      </w:r>
      <w:r>
        <w:rPr>
          <w:i/>
          <w:iCs/>
        </w:rPr>
        <w:t xml:space="preserve">é</w:t>
      </w:r>
      <w:r>
        <w:t xml:space="preserve">. ZNES Flensburg.</w:t>
      </w:r>
    </w:p>
    <w:bookmarkEnd w:id="488"/>
    <w:bookmarkEnd w:id="489"/>
    <w:bookmarkEnd w:id="490"/>
    <w:bookmarkEnd w:id="49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Government of Maldives,</w:t>
      </w:r>
      <w:r>
        <w:t xml:space="preserve"> </w:t>
      </w:r>
      <w:r>
        <w:rPr>
          <w:i/>
          <w:iCs/>
        </w:rPr>
        <w:t xml:space="preserve">Road Map for the Energy Sector 2024–2033</w:t>
      </w:r>
      <w:r>
        <w:t xml:space="preserve"> </w:t>
      </w:r>
      <w:r>
        <w:t xml:space="preserve">(2024)</w:t>
      </w:r>
      <w:r>
        <w:t xml:space="preserve">; confirmed by</w:t>
      </w:r>
      <w:r>
        <w:t xml:space="preserve"> </w:t>
      </w:r>
      <w:r>
        <w:t xml:space="preserve">REGlobal (2023)</w:t>
      </w:r>
      <w:r>
        <w:t xml:space="preserve"> </w:t>
      </w:r>
      <w:r>
        <w:t xml:space="preserve">and</w:t>
      </w:r>
      <w:r>
        <w:t xml:space="preserve"> </w:t>
      </w:r>
      <w:r>
        <w:t xml:space="preserve">International Renewable Energy Agency (2015)</w:t>
      </w:r>
      <w:r>
        <w:t xml:space="preserve">.</w:t>
      </w:r>
    </w:p>
  </w:footnote>
  <w:footnote w:id="36">
    <w:p>
      <w:pPr>
        <w:pStyle w:val="FootnoteText"/>
      </w:pPr>
      <w:r>
        <w:rPr>
          <w:rStyle w:val="FootnoteReference"/>
        </w:rPr>
        <w:footnoteRef/>
      </w:r>
      <w:r>
        <w:t xml:space="preserve"> </w:t>
      </w:r>
      <w:r>
        <w:t xml:space="preserve">Ministry of Climate Change, Environment and Energy, Republic of Maldives (2024)</w:t>
      </w:r>
      <w:r>
        <w:t xml:space="preserve">;</w:t>
      </w:r>
      <w:r>
        <w:t xml:space="preserve"> </w:t>
      </w:r>
      <w:r>
        <w:t xml:space="preserve">National Bureau of Statistics, Republic of Maldives (2022)</w:t>
      </w:r>
      <w:r>
        <w:t xml:space="preserve">.</w:t>
      </w:r>
    </w:p>
  </w:footnote>
  <w:footnote w:id="50">
    <w:p>
      <w:pPr>
        <w:pStyle w:val="FootnoteText"/>
      </w:pPr>
      <w:r>
        <w:rPr>
          <w:rStyle w:val="FootnoteReference"/>
        </w:rPr>
        <w:footnoteRef/>
      </w:r>
      <w:r>
        <w:t xml:space="preserve"> </w:t>
      </w:r>
      <w:r>
        <w:t xml:space="preserve">Bloomberg New Energy Finance (2025)</w:t>
      </w:r>
      <w:r>
        <w:t xml:space="preserve">.</w:t>
      </w:r>
    </w:p>
  </w:footnote>
  <w:footnote w:id="61">
    <w:p>
      <w:pPr>
        <w:pStyle w:val="FootnoteText"/>
      </w:pPr>
      <w:r>
        <w:rPr>
          <w:rStyle w:val="FootnoteReference"/>
        </w:rPr>
        <w:footnoteRef/>
      </w:r>
      <w:r>
        <w:t xml:space="preserve"> </w:t>
      </w:r>
      <w:r>
        <w:t xml:space="preserve">Ministry of Climate Change, Environment and Energy, Republic of Maldives (2024)</w:t>
      </w:r>
      <w:r>
        <w:t xml:space="preserve">; confirmed by</w:t>
      </w:r>
      <w:r>
        <w:t xml:space="preserve"> </w:t>
      </w:r>
      <w:r>
        <w:t xml:space="preserve">REGlobal (2023)</w:t>
      </w:r>
      <w:r>
        <w:t xml:space="preserve"> </w:t>
      </w:r>
      <w:r>
        <w:t xml:space="preserve">and STELCO operational data.</w:t>
      </w:r>
    </w:p>
  </w:footnote>
  <w:footnote w:id="62">
    <w:p>
      <w:pPr>
        <w:pStyle w:val="FootnoteText"/>
      </w:pPr>
      <w:r>
        <w:rPr>
          <w:rStyle w:val="FootnoteReference"/>
        </w:rPr>
        <w:footnoteRef/>
      </w:r>
      <w:r>
        <w:t xml:space="preserve"> </w:t>
      </w:r>
      <w:r>
        <w:t xml:space="preserve">World Bank Group (2023)</w:t>
      </w:r>
      <w:r>
        <w:t xml:space="preserve">.</w:t>
      </w:r>
    </w:p>
  </w:footnote>
  <w:footnote w:id="63">
    <w:p>
      <w:pPr>
        <w:pStyle w:val="FootnoteText"/>
      </w:pPr>
      <w:r>
        <w:rPr>
          <w:rStyle w:val="FootnoteReference"/>
        </w:rPr>
        <w:footnoteRef/>
      </w:r>
      <w:r>
        <w:t xml:space="preserve"> </w:t>
      </w:r>
      <w:r>
        <w:t xml:space="preserve">Ministry of Environment, Republic of Maldives (2018)</w:t>
      </w:r>
      <w:r>
        <w:t xml:space="preserve">; STELCO Annual Report.</w:t>
      </w:r>
    </w:p>
  </w:footnote>
  <w:footnote w:id="64">
    <w:p>
      <w:pPr>
        <w:pStyle w:val="FootnoteText"/>
      </w:pPr>
      <w:r>
        <w:rPr>
          <w:rStyle w:val="FootnoteReference"/>
        </w:rPr>
        <w:footnoteRef/>
      </w:r>
      <w:r>
        <w:t xml:space="preserve"> </w:t>
      </w:r>
      <w:r>
        <w:t xml:space="preserve">Asian Development Bank (2023)</w:t>
      </w:r>
      <w:r>
        <w:t xml:space="preserve">;</w:t>
      </w:r>
      <w:r>
        <w:t xml:space="preserve"> </w:t>
      </w:r>
      <w:r>
        <w:t xml:space="preserve">Ministry of Environment and Energy, Republic of Maldives (2016)</w:t>
      </w:r>
      <w:r>
        <w:t xml:space="preserve">.</w:t>
      </w:r>
    </w:p>
  </w:footnote>
  <w:footnote w:id="65">
    <w:p>
      <w:pPr>
        <w:pStyle w:val="FootnoteText"/>
      </w:pPr>
      <w:r>
        <w:rPr>
          <w:rStyle w:val="FootnoteReference"/>
        </w:rPr>
        <w:footnoteRef/>
      </w:r>
      <w:r>
        <w:t xml:space="preserve"> </w:t>
      </w:r>
      <w:r>
        <w:t xml:space="preserve">Ministry of Climate Change, Environment and Energy, Republic of Maldives (2024)</w:t>
      </w:r>
      <w:r>
        <w:t xml:space="preserve">; the Roadmap reports over $200 million in annual electricity subsidies.</w:t>
      </w:r>
    </w:p>
  </w:footnote>
  <w:footnote w:id="67">
    <w:p>
      <w:pPr>
        <w:pStyle w:val="FootnoteText"/>
      </w:pPr>
      <w:r>
        <w:rPr>
          <w:rStyle w:val="FootnoteReference"/>
        </w:rPr>
        <w:footnoteRef/>
      </w:r>
      <w:r>
        <w:t xml:space="preserve"> </w:t>
      </w:r>
      <w:r>
        <w:t xml:space="preserve">Government of Maldives (2020)</w:t>
      </w:r>
      <w:r>
        <w:t xml:space="preserve">.</w:t>
      </w:r>
    </w:p>
  </w:footnote>
  <w:footnote w:id="68">
    <w:p>
      <w:pPr>
        <w:pStyle w:val="FootnoteText"/>
      </w:pPr>
      <w:r>
        <w:rPr>
          <w:rStyle w:val="FootnoteReference"/>
        </w:rPr>
        <w:footnoteRef/>
      </w:r>
      <w:r>
        <w:t xml:space="preserve"> </w:t>
      </w:r>
      <w:r>
        <w:t xml:space="preserve">Government of Maldives (2020)</w:t>
      </w:r>
      <w:r>
        <w:t xml:space="preserve">.</w:t>
      </w:r>
    </w:p>
  </w:footnote>
  <w:footnote w:id="69">
    <w:p>
      <w:pPr>
        <w:pStyle w:val="FootnoteText"/>
      </w:pPr>
      <w:r>
        <w:rPr>
          <w:rStyle w:val="FootnoteReference"/>
        </w:rPr>
        <w:footnoteRef/>
      </w:r>
      <w:r>
        <w:t xml:space="preserve"> </w:t>
      </w:r>
      <w:r>
        <w:t xml:space="preserve">International Renewable Energy Agency (2024)</w:t>
      </w:r>
      <w:r>
        <w:t xml:space="preserve">.</w:t>
      </w:r>
    </w:p>
  </w:footnote>
  <w:footnote w:id="70">
    <w:p>
      <w:pPr>
        <w:pStyle w:val="FootnoteText"/>
      </w:pPr>
      <w:r>
        <w:rPr>
          <w:rStyle w:val="FootnoteReference"/>
        </w:rPr>
        <w:footnoteRef/>
      </w:r>
      <w:r>
        <w:t xml:space="preserve"> </w:t>
      </w:r>
      <w:r>
        <w:t xml:space="preserve">Bloomberg New Energy Finance (2025)</w:t>
      </w:r>
      <w:r>
        <w:t xml:space="preserve">.</w:t>
      </w:r>
    </w:p>
  </w:footnote>
  <w:footnote w:id="73">
    <w:p>
      <w:pPr>
        <w:pStyle w:val="FootnoteText"/>
      </w:pPr>
      <w:r>
        <w:rPr>
          <w:rStyle w:val="FootnoteReference"/>
        </w:rPr>
        <w:footnoteRef/>
      </w:r>
      <w:r>
        <w:t xml:space="preserve"> </w:t>
      </w:r>
      <w:r>
        <w:t xml:space="preserve">US Environmental Protection Agency (2023)</w:t>
      </w:r>
      <w:r>
        <w:t xml:space="preserve">.</w:t>
      </w:r>
    </w:p>
  </w:footnote>
  <w:footnote w:id="74">
    <w:p>
      <w:pPr>
        <w:pStyle w:val="FootnoteText"/>
      </w:pPr>
      <w:r>
        <w:rPr>
          <w:rStyle w:val="FootnoteReference"/>
        </w:rPr>
        <w:footnoteRef/>
      </w:r>
      <w:r>
        <w:t xml:space="preserve"> </w:t>
      </w:r>
      <w:r>
        <w:t xml:space="preserve">Conservative aggregate: noise $5/MWh, fuel spill risk $3/MWh, biodiversity $2/MWh.</w:t>
      </w:r>
    </w:p>
  </w:footnote>
  <w:footnote w:id="80">
    <w:p>
      <w:pPr>
        <w:pStyle w:val="FootnoteText"/>
      </w:pPr>
      <w:r>
        <w:rPr>
          <w:rStyle w:val="FootnoteReference"/>
        </w:rPr>
        <w:footnoteRef/>
      </w:r>
      <w:r>
        <w:t xml:space="preserve"> </w:t>
      </w:r>
      <w:r>
        <w:t xml:space="preserve">National Bureau of Statistics, Republic of Maldives (2022)</w:t>
      </w:r>
      <w:r>
        <w:t xml:space="preserve">.</w:t>
      </w:r>
    </w:p>
  </w:footnote>
  <w:footnote w:id="81">
    <w:p>
      <w:pPr>
        <w:pStyle w:val="FootnoteText"/>
      </w:pPr>
      <w:r>
        <w:rPr>
          <w:rStyle w:val="FootnoteReference"/>
        </w:rPr>
        <w:footnoteRef/>
      </w:r>
      <w:r>
        <w:t xml:space="preserve"> </w:t>
      </w:r>
      <w:r>
        <w:t xml:space="preserve">Ministry of Environment, Republic of Maldives (2018)</w:t>
      </w:r>
      <w:r>
        <w:t xml:space="preserve">.</w:t>
      </w:r>
    </w:p>
  </w:footnote>
  <w:footnote w:id="82">
    <w:p>
      <w:pPr>
        <w:pStyle w:val="FootnoteText"/>
      </w:pPr>
      <w:r>
        <w:rPr>
          <w:rStyle w:val="FootnoteReference"/>
        </w:rPr>
        <w:footnoteRef/>
      </w:r>
      <w:r>
        <w:t xml:space="preserve"> </w:t>
      </w:r>
      <w:r>
        <w:t xml:space="preserve">Derived from resort capacity data and typical load factors;</w:t>
      </w:r>
      <w:r>
        <w:t xml:space="preserve"> </w:t>
      </w:r>
      <w:r>
        <w:t xml:space="preserve">Ministry of Climate Change, Environment and Energy, Republic of Maldives (2024)</w:t>
      </w:r>
      <w:r>
        <w:t xml:space="preserve">.</w:t>
      </w:r>
    </w:p>
  </w:footnote>
  <w:footnote w:id="91">
    <w:p>
      <w:pPr>
        <w:pStyle w:val="FootnoteText"/>
      </w:pPr>
      <w:r>
        <w:rPr>
          <w:rStyle w:val="FootnoteReference"/>
        </w:rPr>
        <w:footnoteRef/>
      </w:r>
      <w:r>
        <w:t xml:space="preserve"> </w:t>
      </w:r>
      <w:r>
        <w:t xml:space="preserve">Based on recent Maldives import parity price data; see</w:t>
      </w:r>
      <w:r>
        <w:t xml:space="preserve"> </w:t>
      </w:r>
      <w:hyperlink r:id="rId85">
        <w:r>
          <w:rPr>
            <w:rStyle w:val="Hyperlink"/>
          </w:rPr>
          <w:t xml:space="preserve">Appendix B</w:t>
        </w:r>
      </w:hyperlink>
      <w:r>
        <w:t xml:space="preserve"> </w:t>
      </w:r>
      <w:r>
        <w:t xml:space="preserve">for sources and sensitivity ranges.</w:t>
      </w:r>
    </w:p>
  </w:footnote>
  <w:footnote w:id="92">
    <w:p>
      <w:pPr>
        <w:pStyle w:val="FootnoteText"/>
      </w:pPr>
      <w:r>
        <w:rPr>
          <w:rStyle w:val="FootnoteReference"/>
        </w:rPr>
        <w:footnoteRef/>
      </w:r>
      <w:r>
        <w:t xml:space="preserve"> </w:t>
      </w:r>
      <w:r>
        <w:t xml:space="preserve">VOLL consistent with developing-country valuation literature; see</w:t>
      </w:r>
      <w:r>
        <w:t xml:space="preserve"> </w:t>
      </w:r>
      <w:hyperlink r:id="rId85">
        <w:r>
          <w:rPr>
            <w:rStyle w:val="Hyperlink"/>
          </w:rPr>
          <w:t xml:space="preserve">Appendix B</w:t>
        </w:r>
      </w:hyperlink>
      <w:r>
        <w:t xml:space="preserve">.</w:t>
      </w:r>
    </w:p>
  </w:footnote>
  <w:footnote w:id="93">
    <w:p>
      <w:pPr>
        <w:pStyle w:val="FootnoteText"/>
      </w:pPr>
      <w:r>
        <w:rPr>
          <w:rStyle w:val="FootnoteReference"/>
        </w:rPr>
        <w:footnoteRef/>
      </w:r>
      <w:r>
        <w:t xml:space="preserve"> </w:t>
      </w:r>
      <w:r>
        <w:t xml:space="preserve">See</w:t>
      </w:r>
      <w:r>
        <w:t xml:space="preserve"> </w:t>
      </w:r>
      <w:hyperlink r:id="rId85">
        <w:r>
          <w:rPr>
            <w:rStyle w:val="Hyperlink"/>
          </w:rPr>
          <w:t xml:space="preserve">Appendix B</w:t>
        </w:r>
      </w:hyperlink>
      <w:r>
        <w:t xml:space="preserve"> </w:t>
      </w:r>
      <w:r>
        <w:t xml:space="preserve">for component sources and sensitivity ranges.</w:t>
      </w:r>
    </w:p>
  </w:footnote>
  <w:footnote w:id="97">
    <w:p>
      <w:pPr>
        <w:pStyle w:val="FootnoteText"/>
      </w:pPr>
      <w:r>
        <w:rPr>
          <w:rStyle w:val="FootnoteReference"/>
        </w:rPr>
        <w:footnoteRef/>
      </w:r>
      <w:r>
        <w:t xml:space="preserve"> </w:t>
      </w:r>
      <w:r>
        <w:t xml:space="preserve">Ministry of Climate Change, Environment and Energy, Republic of Maldives (2024)</w:t>
      </w:r>
      <w:r>
        <w:t xml:space="preserve">.</w:t>
      </w:r>
    </w:p>
  </w:footnote>
  <w:footnote w:id="105">
    <w:p>
      <w:pPr>
        <w:pStyle w:val="FootnoteText"/>
      </w:pPr>
      <w:r>
        <w:rPr>
          <w:rStyle w:val="FootnoteReference"/>
        </w:rPr>
        <w:footnoteRef/>
      </w:r>
      <w:r>
        <w:t xml:space="preserve"> </w:t>
      </w:r>
      <w:r>
        <w:t xml:space="preserve">International Renewable Energy Agency (2015)</w:t>
      </w:r>
      <w:r>
        <w:t xml:space="preserve">; STELCO Annual Reports confirm CAGR of approximately 5%.</w:t>
      </w:r>
    </w:p>
  </w:footnote>
  <w:footnote w:id="106">
    <w:p>
      <w:pPr>
        <w:pStyle w:val="FootnoteText"/>
      </w:pPr>
      <w:r>
        <w:rPr>
          <w:rStyle w:val="FootnoteReference"/>
        </w:rPr>
        <w:footnoteRef/>
      </w:r>
      <w:r>
        <w:t xml:space="preserve"> </w:t>
      </w:r>
      <w:r>
        <w:t xml:space="preserve">See</w:t>
      </w:r>
      <w:r>
        <w:t xml:space="preserve"> </w:t>
      </w:r>
      <w:hyperlink r:id="rId85">
        <w:r>
          <w:rPr>
            <w:rStyle w:val="Hyperlink"/>
          </w:rPr>
          <w:t xml:space="preserve">Appendix B</w:t>
        </w:r>
      </w:hyperlink>
      <w:r>
        <w:t xml:space="preserve"> </w:t>
      </w:r>
      <w:r>
        <w:t xml:space="preserve">for fuel price source and sensitivity range.</w:t>
      </w:r>
    </w:p>
  </w:footnote>
  <w:footnote w:id="108">
    <w:p>
      <w:pPr>
        <w:pStyle w:val="FootnoteText"/>
      </w:pPr>
      <w:r>
        <w:rPr>
          <w:rStyle w:val="FootnoteReference"/>
        </w:rPr>
        <w:footnoteRef/>
      </w:r>
      <w:r>
        <w:t xml:space="preserve"> </w:t>
      </w:r>
      <w:r>
        <w:t xml:space="preserve">Ahluwalia &amp; Patel (2023)</w:t>
      </w:r>
      <w:r>
        <w:t xml:space="preserve">; cable route distance estimated from Kanyakumari, India to Malé.</w:t>
      </w:r>
    </w:p>
  </w:footnote>
  <w:footnote w:id="109">
    <w:p>
      <w:pPr>
        <w:pStyle w:val="FootnoteText"/>
      </w:pPr>
      <w:r>
        <w:rPr>
          <w:rStyle w:val="FootnoteReference"/>
        </w:rPr>
        <w:footnoteRef/>
      </w:r>
      <w:r>
        <w:t xml:space="preserve"> </w:t>
      </w:r>
      <w:r>
        <w:t xml:space="preserve">International Energy Agency (2023)</w:t>
      </w:r>
      <w:r>
        <w:t xml:space="preserve">; Indian wholesale price plus cross-border transmission premium.</w:t>
      </w:r>
    </w:p>
  </w:footnote>
  <w:footnote w:id="110">
    <w:p>
      <w:pPr>
        <w:pStyle w:val="FootnoteText"/>
      </w:pPr>
      <w:r>
        <w:rPr>
          <w:rStyle w:val="FootnoteReference"/>
        </w:rPr>
        <w:footnoteRef/>
      </w:r>
      <w:r>
        <w:t xml:space="preserve"> </w:t>
      </w:r>
      <w:r>
        <w:t xml:space="preserve">International Energy Agency (2023)</w:t>
      </w:r>
      <w:r>
        <w:t xml:space="preserve">.</w:t>
      </w:r>
    </w:p>
  </w:footnote>
  <w:footnote w:id="111">
    <w:p>
      <w:pPr>
        <w:pStyle w:val="FootnoteText"/>
      </w:pPr>
      <w:r>
        <w:rPr>
          <w:rStyle w:val="FootnoteReference"/>
        </w:rPr>
        <w:footnoteRef/>
      </w:r>
      <w:r>
        <w:t xml:space="preserve"> </w:t>
      </w:r>
      <w:r>
        <w:t xml:space="preserve">NorNed: 580 km North Sea cable, operational since 2008; Basslink: 290 km Bass Strait cable, operational since 2006. Combined record yields λ ≈ 0.15 faults per year.</w:t>
      </w:r>
    </w:p>
  </w:footnote>
  <w:footnote w:id="114">
    <w:p>
      <w:pPr>
        <w:pStyle w:val="FootnoteText"/>
      </w:pPr>
      <w:r>
        <w:rPr>
          <w:rStyle w:val="FootnoteReference"/>
        </w:rPr>
        <w:footnoteRef/>
      </w:r>
      <w:r>
        <w:t xml:space="preserve"> </w:t>
      </w:r>
      <w:r>
        <w:t xml:space="preserve">International Renewable Energy Agency (2023)</w:t>
      </w:r>
      <w:r>
        <w:t xml:space="preserve">;</w:t>
      </w:r>
      <w:r>
        <w:t xml:space="preserve"> </w:t>
      </w:r>
      <w:r>
        <w:t xml:space="preserve">Atlantic Council (2024)</w:t>
      </w:r>
      <w:r>
        <w:t xml:space="preserve">.</w:t>
      </w:r>
    </w:p>
  </w:footnote>
  <w:footnote w:id="117">
    <w:p>
      <w:pPr>
        <w:pStyle w:val="FootnoteText"/>
      </w:pPr>
      <w:r>
        <w:rPr>
          <w:rStyle w:val="FootnoteReference"/>
        </w:rPr>
        <w:footnoteRef/>
      </w:r>
      <w:r>
        <w:t xml:space="preserve"> </w:t>
      </w:r>
      <w:r>
        <w:t xml:space="preserve">Ministry of Climate Change, Environment and Energy, Republic of Maldives (2024)</w:t>
      </w:r>
      <w:r>
        <w:t xml:space="preserve"> </w:t>
      </w:r>
      <w:r>
        <w:t xml:space="preserve">§4.7.2:</w:t>
      </w:r>
      <w:r>
        <w:t xml:space="preserve"> </w:t>
      </w:r>
      <w:r>
        <w:t xml:space="preserve">“80 MW wind potential.”</w:t>
      </w:r>
    </w:p>
  </w:footnote>
  <w:footnote w:id="119">
    <w:p>
      <w:pPr>
        <w:pStyle w:val="FootnoteText"/>
      </w:pPr>
      <w:r>
        <w:rPr>
          <w:rStyle w:val="FootnoteReference"/>
        </w:rPr>
        <w:footnoteRef/>
      </w:r>
      <w:r>
        <w:t xml:space="preserve"> </w:t>
      </w:r>
      <w:r>
        <w:t xml:space="preserve">Intergovernmental Panel on Climate Change (2006)</w:t>
      </w:r>
      <w:r>
        <w:t xml:space="preserve">.</w:t>
      </w:r>
    </w:p>
  </w:footnote>
  <w:footnote w:id="136">
    <w:p>
      <w:pPr>
        <w:pStyle w:val="FootnoteText"/>
      </w:pPr>
      <w:r>
        <w:rPr>
          <w:rStyle w:val="FootnoteReference"/>
        </w:rPr>
        <w:footnoteRef/>
      </w:r>
      <w:r>
        <w:t xml:space="preserve"> </w:t>
      </w:r>
      <w:r>
        <w:t xml:space="preserve">ADB Energy Roadmap 2024–2033 (Table 8): 4 MW ASSURE rooftop + 5 MW additional rooftop + 25 MW commercial rooftop on Gulhifalhu/Thilafushi = 34 MWp total. This is nearly double the earlier ZNES Flensburg estimate of 18 MWp (public buildings and sports facilities only).</w:t>
      </w:r>
    </w:p>
  </w:footnote>
  <w:footnote w:id="174">
    <w:p>
      <w:pPr>
        <w:pStyle w:val="FootnoteText"/>
      </w:pPr>
      <w:r>
        <w:rPr>
          <w:rStyle w:val="FootnoteReference"/>
        </w:rPr>
        <w:footnoteRef/>
      </w:r>
      <w:r>
        <w:t xml:space="preserve"> </w:t>
      </w:r>
      <w:r>
        <w:t xml:space="preserve">Asian Development Bank (2017)</w:t>
      </w:r>
      <w:r>
        <w:t xml:space="preserve">;</w:t>
      </w:r>
      <w:r>
        <w:t xml:space="preserve"> </w:t>
      </w:r>
      <w:r>
        <w:t xml:space="preserve">Boardman et al. (2018)</w:t>
      </w:r>
      <w:r>
        <w:t xml:space="preserve">.</w:t>
      </w:r>
    </w:p>
  </w:footnote>
  <w:footnote w:id="194">
    <w:p>
      <w:pPr>
        <w:pStyle w:val="FootnoteText"/>
      </w:pPr>
      <w:r>
        <w:rPr>
          <w:rStyle w:val="FootnoteReference"/>
        </w:rPr>
        <w:footnoteRef/>
      </w:r>
      <w:r>
        <w:t xml:space="preserve"> </w:t>
      </w:r>
      <w:r>
        <w:t xml:space="preserve">Stern (2006)</w:t>
      </w:r>
    </w:p>
  </w:footnote>
  <w:footnote w:id="227">
    <w:p>
      <w:pPr>
        <w:pStyle w:val="FootnoteText"/>
      </w:pPr>
      <w:r>
        <w:rPr>
          <w:rStyle w:val="FootnoteReference"/>
        </w:rPr>
        <w:footnoteRef/>
      </w:r>
      <w:r>
        <w:t xml:space="preserve"> </w:t>
      </w:r>
      <w:r>
        <w:t xml:space="preserve">See</w:t>
      </w:r>
      <w:r>
        <w:t xml:space="preserve"> </w:t>
      </w:r>
      <w:hyperlink r:id="rId85">
        <w:r>
          <w:rPr>
            <w:rStyle w:val="Hyperlink"/>
          </w:rPr>
          <w:t xml:space="preserve">Appendix B</w:t>
        </w:r>
      </w:hyperlink>
      <w:r>
        <w:t xml:space="preserve">.</w:t>
      </w:r>
    </w:p>
  </w:footnote>
  <w:footnote w:id="249">
    <w:p>
      <w:pPr>
        <w:pStyle w:val="FootnoteText"/>
      </w:pPr>
      <w:r>
        <w:rPr>
          <w:rStyle w:val="FootnoteReference"/>
        </w:rPr>
        <w:footnoteRef/>
      </w:r>
      <w:r>
        <w:t xml:space="preserve"> </w:t>
      </w:r>
      <w:r>
        <w:t xml:space="preserve">Asian Development Bank (2026)</w:t>
      </w:r>
      <w:r>
        <w:t xml:space="preserve">.</w:t>
      </w:r>
    </w:p>
  </w:footnote>
  <w:footnote w:id="251">
    <w:p>
      <w:pPr>
        <w:pStyle w:val="FootnoteText"/>
      </w:pPr>
      <w:r>
        <w:rPr>
          <w:rStyle w:val="FootnoteReference"/>
        </w:rPr>
        <w:footnoteRef/>
      </w:r>
      <w:r>
        <w:t xml:space="preserve"> </w:t>
      </w:r>
      <w:r>
        <w:t xml:space="preserve">International Monetary Fund (2023)</w:t>
      </w:r>
      <w:r>
        <w:t xml:space="preserve">.</w:t>
      </w:r>
    </w:p>
  </w:footnote>
  <w:footnote w:id="258">
    <w:p>
      <w:pPr>
        <w:pStyle w:val="FootnoteText"/>
      </w:pPr>
      <w:r>
        <w:rPr>
          <w:rStyle w:val="FootnoteReference"/>
        </w:rPr>
        <w:footnoteRef/>
      </w:r>
      <w:r>
        <w:t xml:space="preserve"> </w:t>
      </w:r>
      <w:r>
        <w:t xml:space="preserve">Ministry of Climate Change, Environment and Energy, Republic of Maldives (2024)</w:t>
      </w:r>
    </w:p>
  </w:footnote>
  <w:footnote w:id="268">
    <w:p>
      <w:pPr>
        <w:pStyle w:val="FootnoteText"/>
      </w:pPr>
      <w:r>
        <w:rPr>
          <w:rStyle w:val="FootnoteReference"/>
        </w:rPr>
        <w:footnoteRef/>
      </w:r>
      <w:r>
        <w:t xml:space="preserve"> </w:t>
      </w:r>
      <w:r>
        <w:t xml:space="preserve">EPA guidelines.</w:t>
      </w:r>
    </w:p>
  </w:footnote>
  <w:footnote w:id="271">
    <w:p>
      <w:pPr>
        <w:pStyle w:val="FootnoteText"/>
      </w:pPr>
      <w:r>
        <w:rPr>
          <w:rStyle w:val="FootnoteReference"/>
        </w:rPr>
        <w:footnoteRef/>
      </w:r>
      <w:r>
        <w:t xml:space="preserve"> </w:t>
      </w:r>
      <w:r>
        <w:t xml:space="preserve">Bloomberg New Energy Finance (2025)</w:t>
      </w:r>
      <w:r>
        <w:t xml:space="preserve">.</w:t>
      </w:r>
    </w:p>
  </w:footnote>
  <w:footnote w:id="272">
    <w:p>
      <w:pPr>
        <w:pStyle w:val="FootnoteText"/>
      </w:pPr>
      <w:r>
        <w:rPr>
          <w:rStyle w:val="FootnoteReference"/>
        </w:rPr>
        <w:footnoteRef/>
      </w:r>
      <w:r>
        <w:t xml:space="preserve"> </w:t>
      </w:r>
      <w:r>
        <w:t xml:space="preserve">International Renewable Energy Agency (2024)</w:t>
      </w:r>
      <w:r>
        <w:t xml:space="preserve">.</w:t>
      </w:r>
    </w:p>
  </w:footnote>
  <w:footnote w:id="274">
    <w:p>
      <w:pPr>
        <w:pStyle w:val="FootnoteText"/>
      </w:pPr>
      <w:r>
        <w:rPr>
          <w:rStyle w:val="FootnoteReference"/>
        </w:rPr>
        <w:footnoteRef/>
      </w:r>
      <w:r>
        <w:t xml:space="preserve"> </w:t>
      </w:r>
      <w:r>
        <w:t xml:space="preserve">Jordan &amp; Kurtz (2013)</w:t>
      </w:r>
      <w:r>
        <w:t xml:space="preserve">.</w:t>
      </w:r>
    </w:p>
  </w:footnote>
  <w:footnote w:id="280">
    <w:p>
      <w:pPr>
        <w:pStyle w:val="FootnoteText"/>
      </w:pPr>
      <w:r>
        <w:rPr>
          <w:rStyle w:val="FootnoteReference"/>
        </w:rPr>
        <w:footnoteRef/>
      </w:r>
      <w:r>
        <w:t xml:space="preserve"> </w:t>
      </w:r>
      <w:r>
        <w:t xml:space="preserve">NorNed and Basslink records; see</w:t>
      </w:r>
      <w:r>
        <w:t xml:space="preserve"> </w:t>
      </w:r>
      <w:hyperlink w:anchor="sec-s2">
        <w:r>
          <w:rPr>
            <w:rStyle w:val="Hyperlink"/>
          </w:rPr>
          <w:t xml:space="preserve">Section 5.3</w:t>
        </w:r>
      </w:hyperlink>
      <w:r>
        <w:t xml:space="preserve">.</w:t>
      </w:r>
    </w:p>
  </w:footnote>
  <w:footnote w:id="283">
    <w:p>
      <w:pPr>
        <w:pStyle w:val="FootnoteText"/>
      </w:pPr>
      <w:r>
        <w:rPr>
          <w:rStyle w:val="FootnoteReference"/>
        </w:rPr>
        <w:footnoteRef/>
      </w:r>
      <w:r>
        <w:t xml:space="preserve"> </w:t>
      </w:r>
      <w:r>
        <w:t xml:space="preserve">Asian Development Bank (2026)</w:t>
      </w:r>
      <w:r>
        <w:t xml:space="preserve">.</w:t>
      </w:r>
    </w:p>
  </w:footnote>
  <w:footnote w:id="285">
    <w:p>
      <w:pPr>
        <w:pStyle w:val="FootnoteText"/>
      </w:pPr>
      <w:r>
        <w:rPr>
          <w:rStyle w:val="FootnoteReference"/>
        </w:rPr>
        <w:footnoteRef/>
      </w:r>
      <w:r>
        <w:t xml:space="preserve"> </w:t>
      </w:r>
      <w:r>
        <w:t xml:space="preserve">Zentrum für Nachhaltige Energiesysteme (ZNES), Europa-Universität Flensburg (2020)</w:t>
      </w:r>
      <w:r>
        <w:t xml:space="preserve">.</w:t>
      </w:r>
    </w:p>
  </w:footnote>
  <w:footnote w:id="288">
    <w:p>
      <w:pPr>
        <w:pStyle w:val="FootnoteText"/>
      </w:pPr>
      <w:r>
        <w:rPr>
          <w:rStyle w:val="FootnoteReference"/>
        </w:rPr>
        <w:footnoteRef/>
      </w:r>
      <w:r>
        <w:t xml:space="preserve"> </w:t>
      </w:r>
      <w:r>
        <w:t xml:space="preserve">International Renewable Energy Agency (2024)</w:t>
      </w:r>
      <w:r>
        <w:t xml:space="preserve">;</w:t>
      </w:r>
      <w:r>
        <w:t xml:space="preserve"> </w:t>
      </w:r>
      <w:r>
        <w:t xml:space="preserve">Bloomberg New Energy Finance (2025)</w:t>
      </w:r>
      <w:r>
        <w:t xml:space="preserve">. See</w:t>
      </w:r>
      <w:r>
        <w:t xml:space="preserve"> </w:t>
      </w:r>
      <w:hyperlink r:id="rId86">
        <w:r>
          <w:rPr>
            <w:rStyle w:val="Hyperlink"/>
          </w:rPr>
          <w:t xml:space="preserve">Appendix C</w:t>
        </w:r>
      </w:hyperlink>
      <w:r>
        <w:t xml:space="preserve">.</w:t>
      </w:r>
    </w:p>
  </w:footnote>
  <w:footnote w:id="291">
    <w:p>
      <w:pPr>
        <w:pStyle w:val="FootnoteText"/>
      </w:pPr>
      <w:r>
        <w:rPr>
          <w:rStyle w:val="FootnoteReference"/>
        </w:rPr>
        <w:footnoteRef/>
      </w:r>
      <w:r>
        <w:t xml:space="preserve"> </w:t>
      </w:r>
      <w:r>
        <w:t xml:space="preserve">Ministry of Climate Change, Environment and Energy, Republic of Maldives (2024)</w:t>
      </w:r>
      <w:r>
        <w:t xml:space="preserve">.</w:t>
      </w:r>
    </w:p>
  </w:footnote>
  <w:footnote w:id="293">
    <w:p>
      <w:pPr>
        <w:pStyle w:val="FootnoteText"/>
      </w:pPr>
      <w:r>
        <w:rPr>
          <w:rStyle w:val="FootnoteReference"/>
        </w:rPr>
        <w:footnoteRef/>
      </w:r>
      <w:r>
        <w:t xml:space="preserve"> </w:t>
      </w:r>
      <w:r>
        <w:t xml:space="preserve">Ministry of Climate Change, Environment and Energy, Republic of Maldives (2024)</w:t>
      </w:r>
      <w:r>
        <w:t xml:space="preserve">.</w:t>
      </w:r>
    </w:p>
  </w:footnote>
  <w:footnote w:id="294">
    <w:p>
      <w:pPr>
        <w:pStyle w:val="FootnoteText"/>
      </w:pPr>
      <w:r>
        <w:rPr>
          <w:rStyle w:val="FootnoteReference"/>
        </w:rPr>
        <w:footnoteRef/>
      </w:r>
      <w:r>
        <w:t xml:space="preserve"> </w:t>
      </w:r>
      <w:r>
        <w:t xml:space="preserve">See</w:t>
      </w:r>
      <w:r>
        <w:t xml:space="preserve"> </w:t>
      </w:r>
      <w:hyperlink r:id="rId86">
        <w:r>
          <w:rPr>
            <w:rStyle w:val="Hyperlink"/>
          </w:rPr>
          <w:t xml:space="preserve">Appendix C</w:t>
        </w:r>
      </w:hyperlink>
      <w:r>
        <w:t xml:space="preserve">.</w:t>
      </w:r>
    </w:p>
  </w:footnote>
  <w:footnote w:id="295">
    <w:p>
      <w:pPr>
        <w:pStyle w:val="FootnoteText"/>
      </w:pPr>
      <w:r>
        <w:rPr>
          <w:rStyle w:val="FootnoteReference"/>
        </w:rPr>
        <w:footnoteRef/>
      </w:r>
      <w:r>
        <w:t xml:space="preserve"> </w:t>
      </w:r>
      <w:r>
        <w:t xml:space="preserve">Global Center on Adaptation (2025)</w:t>
      </w:r>
      <w:r>
        <w:t xml:space="preserv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6" Target="media/rId76.png" /><Relationship Type="http://schemas.openxmlformats.org/officeDocument/2006/relationships/image" Id="rId121" Target="media/rId121.png" /><Relationship Type="http://schemas.openxmlformats.org/officeDocument/2006/relationships/image" Id="rId149" Target="media/rId149.png" /><Relationship Type="http://schemas.openxmlformats.org/officeDocument/2006/relationships/image" Id="rId132" Target="media/rId132.png" /><Relationship Type="http://schemas.openxmlformats.org/officeDocument/2006/relationships/image" Id="rId160" Target="media/rId160.png" /><Relationship Type="http://schemas.openxmlformats.org/officeDocument/2006/relationships/image" Id="rId155" Target="media/rId155.png" /><Relationship Type="http://schemas.openxmlformats.org/officeDocument/2006/relationships/image" Id="rId127" Target="media/rId127.png" /><Relationship Type="http://schemas.openxmlformats.org/officeDocument/2006/relationships/image" Id="rId139" Target="media/rId139.png" /><Relationship Type="http://schemas.openxmlformats.org/officeDocument/2006/relationships/image" Id="rId190" Target="media/rId190.png" /><Relationship Type="http://schemas.openxmlformats.org/officeDocument/2006/relationships/image" Id="rId178" Target="media/rId178.png" /><Relationship Type="http://schemas.openxmlformats.org/officeDocument/2006/relationships/image" Id="rId185" Target="media/rId185.png" /><Relationship Type="http://schemas.openxmlformats.org/officeDocument/2006/relationships/image" Id="rId169" Target="media/rId169.png" /><Relationship Type="http://schemas.openxmlformats.org/officeDocument/2006/relationships/image" Id="rId202" Target="media/rId202.png" /><Relationship Type="http://schemas.openxmlformats.org/officeDocument/2006/relationships/image" Id="rId198" Target="media/rId198.png" /><Relationship Type="http://schemas.openxmlformats.org/officeDocument/2006/relationships/image" Id="rId207" Target="media/rId207.png" /><Relationship Type="http://schemas.openxmlformats.org/officeDocument/2006/relationships/image" Id="rId223" Target="media/rId223.png" /><Relationship Type="http://schemas.openxmlformats.org/officeDocument/2006/relationships/image" Id="rId229" Target="media/rId229.png" /><Relationship Type="http://schemas.openxmlformats.org/officeDocument/2006/relationships/image" Id="rId216" Target="media/rId216.png" /><Relationship Type="http://schemas.openxmlformats.org/officeDocument/2006/relationships/image" Id="rId234" Target="media/rId234.png" /><Relationship Type="http://schemas.openxmlformats.org/officeDocument/2006/relationships/image" Id="rId244" Target="media/rId244.png" /><Relationship Type="http://schemas.openxmlformats.org/officeDocument/2006/relationships/image" Id="rId252" Target="media/rId252.png" /><Relationship Type="http://schemas.openxmlformats.org/officeDocument/2006/relationships/image" Id="rId263" Target="media/rId263.png" /><Relationship Type="http://schemas.openxmlformats.org/officeDocument/2006/relationships/image" Id="rId398" Target="media/rId398.png" /><Relationship Type="http://schemas.openxmlformats.org/officeDocument/2006/relationships/image" Id="rId402" Target="media/rId402.png" /><Relationship Type="http://schemas.openxmlformats.org/officeDocument/2006/relationships/image" Id="rId420" Target="media/rId420.png" /><Relationship Type="http://schemas.openxmlformats.org/officeDocument/2006/relationships/image" Id="rId425" Target="media/rId425.png" /><Relationship Type="http://schemas.openxmlformats.org/officeDocument/2006/relationships/image" Id="rId415" Target="media/rId415.png" /><Relationship Type="http://schemas.openxmlformats.org/officeDocument/2006/relationships/image" Id="rId411" Target="media/rId411.png" /><Relationship Type="http://schemas.openxmlformats.org/officeDocument/2006/relationships/image" Id="rId45" Target="media/rId45.png" /><Relationship Type="http://schemas.openxmlformats.org/officeDocument/2006/relationships/image" Id="rId21" Target="media/rId21.png" /><Relationship Type="http://schemas.openxmlformats.org/officeDocument/2006/relationships/image" Id="rId175" Target="media/rId175.png" /><Relationship Type="http://schemas.openxmlformats.org/officeDocument/2006/relationships/image" Id="rId102" Target="media/rId102.png" /><Relationship Type="http://schemas.openxmlformats.org/officeDocument/2006/relationships/image" Id="rId38" Target="media/rId38.png" /><Relationship Type="http://schemas.openxmlformats.org/officeDocument/2006/relationships/image" Id="rId27" Target="media/rId27.png" /><Relationship Type="http://schemas.openxmlformats.org/officeDocument/2006/relationships/hyperlink" Id="rId84" Target="A-methodology-detail.qmd" TargetMode="External" /><Relationship Type="http://schemas.openxmlformats.org/officeDocument/2006/relationships/hyperlink" Id="rId85" Target="B-parameters.qmd" TargetMode="External" /><Relationship Type="http://schemas.openxmlformats.org/officeDocument/2006/relationships/hyperlink" Id="rId86" Target="C-supplementary.qmd" TargetMode="External" /><Relationship Type="http://schemas.openxmlformats.org/officeDocument/2006/relationships/hyperlink" Id="rId25" Target="executive-summary.qmd" TargetMode="External" /><Relationship Type="http://schemas.openxmlformats.org/officeDocument/2006/relationships/hyperlink" Id="rId474" Target="https://census.gov.mv/" TargetMode="External" /><Relationship Type="http://schemas.openxmlformats.org/officeDocument/2006/relationships/hyperlink" Id="rId467" Target="https://doi.org/10.1002/pip.1182" TargetMode="External" /><Relationship Type="http://schemas.openxmlformats.org/officeDocument/2006/relationships/hyperlink" Id="rId482" Target="https://doi.org/10.1257/aer.91.1.260" TargetMode="External" /><Relationship Type="http://schemas.openxmlformats.org/officeDocument/2006/relationships/hyperlink" Id="rId448" Target="https://doi.org/10.1257/pol.20160240" TargetMode="External" /><Relationship Type="http://schemas.openxmlformats.org/officeDocument/2006/relationships/hyperlink" Id="rId486" Target="https://doi.org/10.2514/8.155" TargetMode="External" /><Relationship Type="http://schemas.openxmlformats.org/officeDocument/2006/relationships/hyperlink" Id="rId450" Target="https://gca.org/reports/state-and-trends-in-adaptation/" TargetMode="External" /><Relationship Type="http://schemas.openxmlformats.org/officeDocument/2006/relationships/hyperlink" Id="rId484" Target="https://globalsolaratlas.info/" TargetMode="External" /><Relationship Type="http://schemas.openxmlformats.org/officeDocument/2006/relationships/hyperlink" Id="rId477" Target="https://reglobal.org/embracing-renewables-overview-of-the-clean-energy-sector-in-maldives/" TargetMode="External" /><Relationship Type="http://schemas.openxmlformats.org/officeDocument/2006/relationships/hyperlink" Id="rId452" Target="https://unfccc.int" TargetMode="External" /><Relationship Type="http://schemas.openxmlformats.org/officeDocument/2006/relationships/hyperlink" Id="rId436" Target="https://www.adb.org/documents/guidelines-economic-analysis-projects" TargetMode="External" /><Relationship Type="http://schemas.openxmlformats.org/officeDocument/2006/relationships/hyperlink" Id="rId438" Target="https://www.adb.org/projects/55191-001/main" TargetMode="External" /><Relationship Type="http://schemas.openxmlformats.org/officeDocument/2006/relationships/hyperlink" Id="rId441" Target="https://www.atlanticcouncil.org/in-depth-research-reports/issue-brief/a-roadmap-for-the-caribbeans-energy-transition/" TargetMode="External" /><Relationship Type="http://schemas.openxmlformats.org/officeDocument/2006/relationships/hyperlink" Id="rId470" Target="https://www.cif.org/sites/default/files/maldives_energy_sector_srep_-_nigeria_.pdf" TargetMode="External" /><Relationship Type="http://schemas.openxmlformats.org/officeDocument/2006/relationships/hyperlink" Id="rId480" Target="https://www.epa.gov/environmental-economics/scghg" TargetMode="External" /><Relationship Type="http://schemas.openxmlformats.org/officeDocument/2006/relationships/hyperlink" Id="rId446" Target="https://www.gov.uk/government/publications/multi-criteria-analysis-manual-for-making-government-policy" TargetMode="External" /><Relationship Type="http://schemas.openxmlformats.org/officeDocument/2006/relationships/hyperlink" Id="rId454" Target="https://www.gov.uk/government/publications/the-green-book-appraisal-and-evaluation-in-central-governent" TargetMode="External" /><Relationship Type="http://schemas.openxmlformats.org/officeDocument/2006/relationships/hyperlink" Id="rId457" Target="https://www.iea.org/reports/india-energy-outlook-2023" TargetMode="External" /><Relationship Type="http://schemas.openxmlformats.org/officeDocument/2006/relationships/hyperlink" Id="rId459" Target="https://www.imf.org/en/Topics/Sovereign-Debt/Debt-Sustainability-Analysis" TargetMode="External" /><Relationship Type="http://schemas.openxmlformats.org/officeDocument/2006/relationships/hyperlink" Id="rId465" Target="https://www.irena.org/Publications/2024/Sep/Renewable-Power-Generation-Costs-in-2023" TargetMode="External" /><Relationship Type="http://schemas.openxmlformats.org/officeDocument/2006/relationships/hyperlink" Id="rId463" Target="https://www.irena.org/publications" TargetMode="External" /><Relationship Type="http://schemas.openxmlformats.org/officeDocument/2006/relationships/hyperlink" Id="rId461" Target="https://www.irena.org/publications/2015/Sep/Renewable-Energy-Roadmap-for-The-Republic-of-Maldives" TargetMode="External" /></Relationships>
</file>

<file path=word/_rels/footnotes.xml.rels><?xml version="1.0" encoding="UTF-8"?><Relationships xmlns="http://schemas.openxmlformats.org/package/2006/relationships"><Relationship Type="http://schemas.openxmlformats.org/officeDocument/2006/relationships/hyperlink" Id="rId84" Target="A-methodology-detail.qmd" TargetMode="External" /><Relationship Type="http://schemas.openxmlformats.org/officeDocument/2006/relationships/hyperlink" Id="rId85" Target="B-parameters.qmd" TargetMode="External" /><Relationship Type="http://schemas.openxmlformats.org/officeDocument/2006/relationships/hyperlink" Id="rId86" Target="C-supplementary.qmd" TargetMode="External" /><Relationship Type="http://schemas.openxmlformats.org/officeDocument/2006/relationships/hyperlink" Id="rId25" Target="executive-summary.qmd" TargetMode="External" /><Relationship Type="http://schemas.openxmlformats.org/officeDocument/2006/relationships/hyperlink" Id="rId474" Target="https://census.gov.mv/" TargetMode="External" /><Relationship Type="http://schemas.openxmlformats.org/officeDocument/2006/relationships/hyperlink" Id="rId467" Target="https://doi.org/10.1002/pip.1182" TargetMode="External" /><Relationship Type="http://schemas.openxmlformats.org/officeDocument/2006/relationships/hyperlink" Id="rId482" Target="https://doi.org/10.1257/aer.91.1.260" TargetMode="External" /><Relationship Type="http://schemas.openxmlformats.org/officeDocument/2006/relationships/hyperlink" Id="rId448" Target="https://doi.org/10.1257/pol.20160240" TargetMode="External" /><Relationship Type="http://schemas.openxmlformats.org/officeDocument/2006/relationships/hyperlink" Id="rId486" Target="https://doi.org/10.2514/8.155" TargetMode="External" /><Relationship Type="http://schemas.openxmlformats.org/officeDocument/2006/relationships/hyperlink" Id="rId450" Target="https://gca.org/reports/state-and-trends-in-adaptation/" TargetMode="External" /><Relationship Type="http://schemas.openxmlformats.org/officeDocument/2006/relationships/hyperlink" Id="rId484" Target="https://globalsolaratlas.info/" TargetMode="External" /><Relationship Type="http://schemas.openxmlformats.org/officeDocument/2006/relationships/hyperlink" Id="rId477" Target="https://reglobal.org/embracing-renewables-overview-of-the-clean-energy-sector-in-maldives/" TargetMode="External" /><Relationship Type="http://schemas.openxmlformats.org/officeDocument/2006/relationships/hyperlink" Id="rId452" Target="https://unfccc.int" TargetMode="External" /><Relationship Type="http://schemas.openxmlformats.org/officeDocument/2006/relationships/hyperlink" Id="rId436" Target="https://www.adb.org/documents/guidelines-economic-analysis-projects" TargetMode="External" /><Relationship Type="http://schemas.openxmlformats.org/officeDocument/2006/relationships/hyperlink" Id="rId438" Target="https://www.adb.org/projects/55191-001/main" TargetMode="External" /><Relationship Type="http://schemas.openxmlformats.org/officeDocument/2006/relationships/hyperlink" Id="rId441" Target="https://www.atlanticcouncil.org/in-depth-research-reports/issue-brief/a-roadmap-for-the-caribbeans-energy-transition/" TargetMode="External" /><Relationship Type="http://schemas.openxmlformats.org/officeDocument/2006/relationships/hyperlink" Id="rId470" Target="https://www.cif.org/sites/default/files/maldives_energy_sector_srep_-_nigeria_.pdf" TargetMode="External" /><Relationship Type="http://schemas.openxmlformats.org/officeDocument/2006/relationships/hyperlink" Id="rId480" Target="https://www.epa.gov/environmental-economics/scghg" TargetMode="External" /><Relationship Type="http://schemas.openxmlformats.org/officeDocument/2006/relationships/hyperlink" Id="rId446" Target="https://www.gov.uk/government/publications/multi-criteria-analysis-manual-for-making-government-policy" TargetMode="External" /><Relationship Type="http://schemas.openxmlformats.org/officeDocument/2006/relationships/hyperlink" Id="rId454" Target="https://www.gov.uk/government/publications/the-green-book-appraisal-and-evaluation-in-central-governent" TargetMode="External" /><Relationship Type="http://schemas.openxmlformats.org/officeDocument/2006/relationships/hyperlink" Id="rId457" Target="https://www.iea.org/reports/india-energy-outlook-2023" TargetMode="External" /><Relationship Type="http://schemas.openxmlformats.org/officeDocument/2006/relationships/hyperlink" Id="rId459" Target="https://www.imf.org/en/Topics/Sovereign-Debt/Debt-Sustainability-Analysis" TargetMode="External" /><Relationship Type="http://schemas.openxmlformats.org/officeDocument/2006/relationships/hyperlink" Id="rId465" Target="https://www.irena.org/Publications/2024/Sep/Renewable-Power-Generation-Costs-in-2023" TargetMode="External" /><Relationship Type="http://schemas.openxmlformats.org/officeDocument/2006/relationships/hyperlink" Id="rId463" Target="https://www.irena.org/publications" TargetMode="External" /><Relationship Type="http://schemas.openxmlformats.org/officeDocument/2006/relationships/hyperlink" Id="rId461" Target="https://www.irena.org/publications/2015/Sep/Renewable-Energy-Roadmap-for-The-Republic-of-Maldiv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Energy Transition Pathways for the Maldives</dc:title>
  <dc:creator>Lucas Sempé</dc:creator>
  <cp:keywords/>
  <dcterms:created xsi:type="dcterms:W3CDTF">2026-02-12T09:43:11Z</dcterms:created>
  <dcterms:modified xsi:type="dcterms:W3CDTF">2026-02-12T09:43:11Z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ook">
    <vt:lpwstr/>
  </property>
  <property fmtid="{D5CDD505-2E9C-101B-9397-08002B2CF9AE}" pid="7" name="by-affiliation">
    <vt:lpwstr/>
  </property>
  <property fmtid="{D5CDD505-2E9C-101B-9397-08002B2CF9AE}" pid="8" name="by-author">
    <vt:lpwstr/>
  </property>
  <property fmtid="{D5CDD505-2E9C-101B-9397-08002B2CF9AE}" pid="9" name="crossref">
    <vt:lpwstr/>
  </property>
  <property fmtid="{D5CDD505-2E9C-101B-9397-08002B2CF9AE}" pid="10" name="csl">
    <vt:lpwstr>https://raw.githubusercontent.com/citation-style-language/styles/master/apa.csl</vt:lpwstr>
  </property>
  <property fmtid="{D5CDD505-2E9C-101B-9397-08002B2CF9AE}" pid="11" name="date">
    <vt:lpwstr>February 2026</vt:lpwstr>
  </property>
  <property fmtid="{D5CDD505-2E9C-101B-9397-08002B2CF9AE}" pid="12" name="date-format">
    <vt:lpwstr>MMMM YYYY</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jupyter">
    <vt:lpwstr>python3</vt:lpwstr>
  </property>
  <property fmtid="{D5CDD505-2E9C-101B-9397-08002B2CF9AE}" pid="17" name="labels">
    <vt:lpwstr/>
  </property>
  <property fmtid="{D5CDD505-2E9C-101B-9397-08002B2CF9AE}" pid="18" name="subtitle">
    <vt:lpwstr>A Cost-Benefit Analysis of Seven Electricity Scenarios, 2026–2056</vt:lpwstr>
  </property>
  <property fmtid="{D5CDD505-2E9C-101B-9397-08002B2CF9AE}" pid="19" name="template-partials">
    <vt:lpwstr/>
  </property>
  <property fmtid="{D5CDD505-2E9C-101B-9397-08002B2CF9AE}" pid="20" name="toc-title">
    <vt:lpwstr>Table of contents</vt:lpwstr>
  </property>
</Properties>
</file>