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21.png" ContentType="image/png"/>
  <Override PartName="/word/media/rId146.png" ContentType="image/png"/>
  <Override PartName="/word/media/rId9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Energy Transition Pathways for the Maldives</w:t>
      </w:r>
    </w:p>
    <w:p>
      <w:pPr>
        <w:pStyle w:val="Subtitle"/>
      </w:pPr>
      <w:r>
        <w:t xml:space="preserve">A Cost-Benefit Analysis of Seven Electricity Scenarios, 2026–2056</w:t>
      </w:r>
    </w:p>
    <w:p>
      <w:pPr>
        <w:pStyle w:val="Author"/>
      </w:pPr>
      <w:r>
        <w:t xml:space="preserve">Lucas Sempé</w:t>
      </w:r>
    </w:p>
    <w:p>
      <w:pPr>
        <w:pStyle w:val="Date"/>
      </w:pPr>
      <w:r>
        <w:t xml:space="preserve">February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2" w:name="Xf8a4fa3e99787fc7f8b3720db94729b334a9882"/>
    <w:p>
      <w:pPr>
        <w:pStyle w:val="Heading1"/>
      </w:pPr>
      <w:r>
        <w:t xml:space="preserve">1. Energy Transition Pathways for the Maldives</w:t>
      </w:r>
    </w:p>
    <w:p>
      <w:pPr>
        <w:pStyle w:val="FirstParagraph"/>
      </w:pPr>
      <w:r>
        <w:t xml:space="preserve">A Cost-Benefit Analysis of Seven Electricity Scenarios, 2026–2056</w:t>
      </w:r>
    </w:p>
    <w:p>
      <w:pPr>
        <w:pStyle w:val="BodyText"/>
      </w:pPr>
      <w:r>
        <w:br/>
      </w:r>
    </w:p>
    <w:bookmarkStart w:id="31" w:name="about-this-report"/>
    <w:p>
      <w:pPr>
        <w:pStyle w:val="Heading2"/>
      </w:pPr>
      <w:r>
        <w:t xml:space="preserve">About This Report</w:t>
      </w:r>
    </w:p>
    <w:p>
      <w:pPr>
        <w:pStyle w:val="FirstParagraph"/>
      </w:pPr>
      <w:r>
        <w:t xml:space="preserve">The Republic of Maldives faces a defining energy challenge. With</w:t>
      </w:r>
      <w:r>
        <w:t xml:space="preserve"> </w:t>
      </w:r>
      <w:r>
        <w:rPr>
          <w:b/>
          <w:bCs/>
        </w:rPr>
        <w:t xml:space="preserve">93% of electricity generated from imported diesel</w:t>
      </w:r>
      <w:r>
        <w:rPr>
          <w:rStyle w:val="FootnoteReference"/>
        </w:rPr>
        <w:footnoteReference w:id="20"/>
      </w:r>
      <w:r>
        <w:t xml:space="preserve">, the country is exposed to volatile global fuel prices, high per-unit generation costs, and a carbon footprint incompatible with its climate leadership ambitions. This report presents a</w:t>
      </w:r>
      <w:r>
        <w:t xml:space="preserve"> </w:t>
      </w:r>
      <w:r>
        <w:rPr>
          <w:b/>
          <w:bCs/>
        </w:rPr>
        <w:t xml:space="preserve">cost-benefit analysis (CBA)</w:t>
      </w:r>
      <w:r>
        <w:t xml:space="preserve"> </w:t>
      </w:r>
      <w:r>
        <w:t xml:space="preserve">of seven alternative electricity transition pathways over 30 years (2026 – 2056 ).</w:t>
      </w:r>
    </w:p>
    <w:p>
      <w:pPr>
        <w:pStyle w:val="BodyText"/>
      </w:pPr>
      <w:r>
        <w:t xml:space="preserve">The analysis is closely aligned with the Government of Maldives’</w:t>
      </w:r>
      <w:r>
        <w:t xml:space="preserve"> </w:t>
      </w:r>
      <w:r>
        <w:rPr>
          <w:b/>
          <w:bCs/>
        </w:rPr>
        <w:t xml:space="preserve">Road Map for the Energy Sector 2024–2033</w:t>
      </w:r>
      <w:r>
        <w:t xml:space="preserve"> </w:t>
      </w:r>
      <w:r>
        <w:t xml:space="preserve">(2024)</w:t>
      </w:r>
      <w:r>
        <w:t xml:space="preserve">, which sets a target of 33 per cent renewable energy by 2028, identifies 490 MW of solar deployment potential, and estimates $1.3 billion in required investment across 15 flagship interventions. The seven scenarios evaluated in this report provide the rigorous economic evidence base needed to prioritise among those interventions and to assess the long-term costs and benefits of pursuing them at different scales and speeds.</w:t>
      </w:r>
    </w:p>
    <w:bookmarkStart w:id="24" w:name="what-this-report-offers-policymakers"/>
    <w:p>
      <w:pPr>
        <w:pStyle w:val="Heading3"/>
      </w:pPr>
      <w:r>
        <w:t xml:space="preserve">What this report offers policymakers</w:t>
      </w:r>
    </w:p>
    <w:tbl>
      <w:tblPr>
        <w:tblStyle w:val="Table"/>
        <w:tblLook w:firstRow="0" w:lastRow="0" w:firstColumn="0" w:lastColumn="0" w:noHBand="0" w:noVBand="0" w:val="0000"/>
        <w:tblBorders>
          <w:left w:val="single" w:sz="24" w:space="0" w:color="0758E5"/>
        </w:tblBorders>
        <w:tblCellMar>
          <w:left w:w="0" w:type="dxa"/>
          <w:right w:w="0" w:type="dxa"/>
        </w:tblCellMar>
        <w:tblInd w:w="164" w:type="dxa"/>
      </w:tblPr>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22" name="Picture"/>
                  <a:graphic>
                    <a:graphicData uri="http://schemas.openxmlformats.org/drawingml/2006/picture">
                      <pic:pic>
                        <pic:nvPicPr>
                          <pic:cNvPr descr="C:\Users\LucasSempe\AppData\Local\Programs\Quarto\share\formats\docx\note.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rPr>
                <w:b/>
                <w:bCs/>
              </w:rPr>
              <w:t xml:space="preserve">One number to remember:</w:t>
            </w:r>
            <w:r>
              <w:t xml:space="preserve"> </w:t>
            </w:r>
            <w:r>
              <w:t xml:space="preserve">Every alternative pathway we analyse saves the Maldives between</w:t>
            </w:r>
            <w:r>
              <w:t xml:space="preserve"> </w:t>
            </w:r>
            <w:r>
              <w:rPr>
                <w:b/>
                <w:bCs/>
              </w:rPr>
              <w:t xml:space="preserve">$9.5 billion and $12.2 billion</w:t>
            </w:r>
            <w:r>
              <w:t xml:space="preserve"> </w:t>
            </w:r>
            <w:r>
              <w:t xml:space="preserve">in present-value terms compared to continuing with diesel.</w:t>
            </w:r>
          </w:p>
        </w:tc>
      </w:tr>
    </w:tbl>
    <w:p>
      <w:pPr>
        <w:pStyle w:val="Compact"/>
        <w:numPr>
          <w:ilvl w:val="0"/>
          <w:numId w:val="1001"/>
        </w:numPr>
      </w:pPr>
      <w:r>
        <w:rPr>
          <w:b/>
          <w:bCs/>
        </w:rPr>
        <w:t xml:space="preserve">Seven scenarios</w:t>
      </w:r>
      <w:r>
        <w:t xml:space="preserve"> </w:t>
      </w:r>
      <w:r>
        <w:t xml:space="preserve">ranging from an India submarine cable to islanded solar+battery systems, evaluated on a common framework</w:t>
      </w:r>
    </w:p>
    <w:p>
      <w:pPr>
        <w:pStyle w:val="Compact"/>
        <w:numPr>
          <w:ilvl w:val="0"/>
          <w:numId w:val="1001"/>
        </w:numPr>
      </w:pPr>
      <w:r>
        <w:rPr>
          <w:b/>
          <w:bCs/>
        </w:rPr>
        <w:t xml:space="preserve">Transparent, reproducible analysis</w:t>
      </w:r>
      <w:r>
        <w:t xml:space="preserve"> </w:t>
      </w:r>
      <w:r>
        <w:t xml:space="preserve">— every parameter sourced, every equation documented, all code open</w:t>
      </w:r>
    </w:p>
    <w:p>
      <w:pPr>
        <w:pStyle w:val="Compact"/>
        <w:numPr>
          <w:ilvl w:val="0"/>
          <w:numId w:val="1001"/>
        </w:numPr>
      </w:pPr>
      <w:r>
        <w:rPr>
          <w:b/>
          <w:bCs/>
        </w:rPr>
        <w:t xml:space="preserve">Policy-relevant outputs</w:t>
      </w:r>
      <w:r>
        <w:t xml:space="preserve"> </w:t>
      </w:r>
      <w:r>
        <w:t xml:space="preserve">— financing structures, distributional equity, multi-criteria ranking, implementation roadmaps</w:t>
      </w:r>
    </w:p>
    <w:p>
      <w:pPr>
        <w:pStyle w:val="Compact"/>
        <w:numPr>
          <w:ilvl w:val="0"/>
          <w:numId w:val="1001"/>
        </w:numPr>
      </w:pPr>
      <w:r>
        <w:rPr>
          <w:b/>
          <w:bCs/>
        </w:rPr>
        <w:t xml:space="preserve">Robust uncertainty analysis</w:t>
      </w:r>
      <w:r>
        <w:t xml:space="preserve"> </w:t>
      </w:r>
      <w:r>
        <w:t xml:space="preserve">— 39-parameter Monte Carlo simulation, tornado diagrams, switching-value analysis</w:t>
      </w:r>
    </w:p>
    <w:bookmarkEnd w:id="24"/>
    <w:bookmarkStart w:id="26" w:name="how-to-read-this-report"/>
    <w:p>
      <w:pPr>
        <w:pStyle w:val="Heading3"/>
      </w:pPr>
      <w:r>
        <w:t xml:space="preserve">How to read this report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If you have…</w:t>
            </w:r>
          </w:p>
        </w:tc>
        <w:tc>
          <w:tcPr/>
          <w:p>
            <w:pPr>
              <w:pStyle w:val="Compact"/>
            </w:pPr>
            <w:r>
              <w:t xml:space="preserve">Read…</w:t>
            </w:r>
          </w:p>
        </w:tc>
      </w:tr>
      <w:tr>
        <w:tc>
          <w:tcPr/>
          <w:p>
            <w:pPr>
              <w:pStyle w:val="Compact"/>
            </w:pPr>
            <w:r>
              <w:rPr>
                <w:b/>
                <w:bCs/>
              </w:rPr>
              <w:t xml:space="preserve">5 minutes</w:t>
            </w:r>
          </w:p>
        </w:tc>
        <w:tc>
          <w:tcPr/>
          <w:p>
            <w:pPr>
              <w:pStyle w:val="Compact"/>
            </w:pPr>
            <w:hyperlink r:id="rId25">
              <w:r>
                <w:rPr>
                  <w:rStyle w:val="Hyperlink"/>
                </w:rPr>
                <w:t xml:space="preserve">Executive Summary</w:t>
              </w:r>
            </w:hyperlink>
            <w:r>
              <w:t xml:space="preserve"> </w:t>
            </w:r>
            <w:r>
              <w:t xml:space="preserve">— key findings on one page</w:t>
            </w:r>
          </w:p>
        </w:tc>
      </w:tr>
      <w:tr>
        <w:tc>
          <w:tcPr/>
          <w:p>
            <w:pPr>
              <w:pStyle w:val="Compact"/>
            </w:pPr>
            <w:r>
              <w:rPr>
                <w:b/>
                <w:bCs/>
              </w:rPr>
              <w:t xml:space="preserve">30 minutes</w:t>
            </w:r>
          </w:p>
        </w:tc>
        <w:tc>
          <w:tcPr/>
          <w:p>
            <w:pPr>
              <w:pStyle w:val="Compact"/>
            </w:pPr>
            <w:r>
              <w:t xml:space="preserve">Parts I–II — full context, scenarios, and results</w:t>
            </w:r>
          </w:p>
        </w:tc>
      </w:tr>
      <w:tr>
        <w:tc>
          <w:tcPr/>
          <w:p>
            <w:pPr>
              <w:pStyle w:val="Compact"/>
            </w:pPr>
            <w:r>
              <w:rPr>
                <w:b/>
                <w:bCs/>
              </w:rPr>
              <w:t xml:space="preserve">2 hours</w:t>
            </w:r>
          </w:p>
        </w:tc>
        <w:tc>
          <w:tcPr/>
          <w:p>
            <w:pPr>
              <w:pStyle w:val="Compact"/>
            </w:pPr>
            <w:r>
              <w:t xml:space="preserve">The complete report including policy chapters</w:t>
            </w:r>
          </w:p>
        </w:tc>
      </w:tr>
      <w:tr>
        <w:tc>
          <w:tcPr/>
          <w:p>
            <w:pPr>
              <w:pStyle w:val="Compact"/>
            </w:pPr>
            <w:r>
              <w:rPr>
                <w:b/>
                <w:bCs/>
              </w:rPr>
              <w:t xml:space="preserve">Technical review</w:t>
            </w:r>
          </w:p>
        </w:tc>
        <w:tc>
          <w:tcPr/>
          <w:p>
            <w:pPr>
              <w:pStyle w:val="Compact"/>
            </w:pPr>
            <w:r>
              <w:t xml:space="preserve">Appendices A–C for full methodology, parameters, and supplementary analyses</w:t>
            </w:r>
          </w:p>
        </w:tc>
      </w:tr>
    </w:tbl>
    <w:bookmarkEnd w:id="26"/>
    <w:bookmarkStart w:id="30" w:name="key-results-at-a-glance"/>
    <w:p>
      <w:pPr>
        <w:pStyle w:val="Heading3"/>
      </w:pPr>
      <w:r>
        <w:t xml:space="preserve">Key results at a glance</w:t>
      </w:r>
    </w:p>
    <w:tbl>
      <w:tblPr>
        <w:tblStyle w:val="Table"/>
        <w:tblW w:type="pct" w:w="5000"/>
        <w:tblLayout w:type="fixed"/>
        <w:tblLook w:firstRow="0" w:lastRow="0" w:firstColumn="0" w:lastColumn="0" w:noHBand="0" w:noVBand="0" w:val="0000"/>
      </w:tblPr>
      <w:tblGrid>
        <w:gridCol w:w="7920"/>
      </w:tblGrid>
      <w:tr>
        <w:tc>
          <w:tcPr/>
          <w:bookmarkStart w:id="29" w:name="fig-headline"/>
          <w:tbl>
            <w:tblPr>
              <w:tblStyle w:val="Table"/>
              <w:tblW w:type="pct" w:w="5000"/>
              <w:tblLayout w:type="fixed"/>
              <w:tblLook w:firstRow="0" w:lastRow="0" w:firstColumn="0" w:lastColumn="0" w:noHBand="0" w:noVBand="0" w:val="0000"/>
            </w:tblPr>
            <w:tblGrid>
              <w:gridCol w:w="7920"/>
            </w:tblGrid>
            <w:tr>
              <w:tc>
                <w:tcPr/>
                <w:bookmarkStart w:id="27" w:name="fig-headline-1"/>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(a) Net present value of savings versus BAU (diesel) for each transition scenario, 2026–2056, 6% discount rate.</w:t>
                  </w:r>
                </w:p>
                <w:bookmarkEnd w:id="27"/>
              </w:tc>
            </w:tr>
          </w:tbl>
          <w:p>
            <w:pPr>
              <w:jc w:val="center"/>
            </w:pPr>
            <w:r>
              <w:t xml:space="preserve"> </w:t>
            </w:r>
          </w:p>
          <w:tbl>
            <w:tblPr>
              <w:tblStyle w:val="Table"/>
              <w:tblW w:type="pct" w:w="5000"/>
              <w:tblLayout w:type="fixed"/>
              <w:tblLook w:firstRow="0" w:lastRow="0" w:firstColumn="0" w:lastColumn="0" w:noHBand="0" w:noVBand="0" w:val="0000"/>
            </w:tblPr>
            <w:tblGrid>
              <w:gridCol w:w="7920"/>
            </w:tblGrid>
            <w:tr>
              <w:tc>
                <w:tcPr/>
                <w:bookmarkStart w:id="28" w:name="fig-headline-2"/>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(b)</w:t>
                  </w:r>
                </w:p>
                <w:bookmarkEnd w:id="28"/>
              </w:tc>
            </w:tr>
          </w:tbl>
          <w:p>
            <w:pPr>
              <w:jc w:val="center"/>
            </w:pPr>
            <w:pPr>
              <w:jc w:val="start"/>
              <w:spacing w:before="200"/>
              <w:pStyle w:val="ImageCaption"/>
            </w:pPr>
            <w:r>
              <w:t xml:space="preserve">Figure 1.1</w:t>
            </w:r>
          </w:p>
          <w:bookmarkEnd w:id="29"/>
        </w:tc>
      </w:tr>
    </w:tbl>
    <w:bookmarkEnd w:id="30"/>
    <w:bookmarkEnd w:id="31"/>
    <w:bookmarkEnd w:id="32"/>
    <w:bookmarkStart w:id="57" w:name="executive-summary"/>
    <w:p>
      <w:pPr>
        <w:pStyle w:val="Heading1"/>
      </w:pPr>
      <w:r>
        <w:t xml:space="preserve">2. Executive Summary</w:t>
      </w:r>
    </w:p>
    <w:tbl>
      <w:tblPr>
        <w:tblStyle w:val="Table"/>
        <w:tblLook w:firstRow="0" w:lastRow="0" w:firstColumn="0" w:lastColumn="0" w:noHBand="0" w:noVBand="0" w:val="0000"/>
        <w:tblBorders>
          <w:left w:val="single" w:sz="24" w:space="0" w:color="0758E5"/>
        </w:tblBorders>
        <w:tblCellMar>
          <w:left w:w="0" w:type="dxa"/>
          <w:right w:w="0" w:type="dxa"/>
        </w:tblCellMar>
        <w:tblInd w:w="164" w:type="dxa"/>
      </w:tblPr>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33" name="Picture"/>
                  <a:graphic>
                    <a:graphicData uri="http://schemas.openxmlformats.org/drawingml/2006/picture">
                      <pic:pic>
                        <pic:nvPicPr>
                          <pic:cNvPr descr="C:\Users\LucasSempe\AppData\Local\Programs\Quarto\share\formats\docx\note.png" id="34"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The Bottom Line</w:t>
            </w:r>
          </w:p>
          <w:p>
            <w:pPr>
              <w:pStyle w:val="BodyText"/>
            </w:pPr>
            <w:pPr>
              <w:spacing w:before="16" w:after="16"/>
            </w:pPr>
            <w:r>
              <w:rPr>
                <w:b/>
                <w:bCs/>
              </w:rPr>
              <w:t xml:space="preserve">Every transition pathway saves the Maldives billions compared to continuing with diesel.</w:t>
            </w:r>
            <w:r>
              <w:t xml:space="preserve"> </w:t>
            </w:r>
            <w:r>
              <w:t xml:space="preserve">The analysis compares seven scenarios over 30 years (2026 – 2056) at a 6% social discount rate. All six alternatives to diesel yield benefit-cost ratios above 2.7 ×, with the best-performing options saving over $12 billion in present value.</w:t>
            </w:r>
          </w:p>
        </w:tc>
      </w:tr>
    </w:tbl>
    <w:bookmarkStart w:id="36" w:name="the-challenge"/>
    <w:p>
      <w:pPr>
        <w:pStyle w:val="Heading2"/>
      </w:pPr>
      <w:r>
        <w:t xml:space="preserve">2.1 The Challenge</w:t>
      </w:r>
    </w:p>
    <w:p>
      <w:pPr>
        <w:pStyle w:val="FirstParagraph"/>
      </w:pPr>
      <w:r>
        <w:t xml:space="preserve">The Republic of Maldives confronts an energy challenge unique among small island developing states. Its electricity system is almost entirely dependent on imported diesel fuel, which generates approximately 93 per cent of the nation’s power across 187 inhabited islands</w:t>
      </w:r>
      <w:r>
        <w:rPr>
          <w:rStyle w:val="FootnoteReference"/>
        </w:rPr>
        <w:footnoteReference w:id="35"/>
      </w:r>
      <w:r>
        <w:t xml:space="preserve">, each served by its own isolated generation facility with no interconnected grid. This geographical fragmentation translates into extraordinarily high per-unit generation costs, as each island operates small, inefficient diesel generators that cannot benefit from the economies of scale available to larger, interconnected systems. Current electricity demand stands at 1,200 GWh per year and is projected to reach 5,186 GWh by 2056 under business-as-usual growth assumptions, driven by population growth, rising incomes, and increasing electrification of economic activity.</w:t>
      </w:r>
    </w:p>
    <w:p>
      <w:pPr>
        <w:pStyle w:val="BodyText"/>
      </w:pPr>
      <w:r>
        <w:t xml:space="preserve">The economic burden of this diesel dependence is staggering. Over the 30-year analysis period, continuing with the status quo would cost the Maldives</w:t>
      </w:r>
      <w:r>
        <w:t xml:space="preserve"> </w:t>
      </w:r>
      <w:r>
        <w:rPr>
          <w:b/>
          <w:bCs/>
        </w:rPr>
        <w:t xml:space="preserve">$14.3 billion in fuel expenditures alone</w:t>
      </w:r>
      <w:r>
        <w:t xml:space="preserve"> </w:t>
      </w:r>
      <w:r>
        <w:t xml:space="preserve">in present-value terms, representing a massive and sustained transfer of national wealth to international petroleum markets. These fuel imports currently account for a significant share of the country’s total import bill, creating chronic trade balance pressure and exposing the national economy to the vagaries of global oil price volatility. The environmental cost is equally severe: the business-as-usual pathway would generate</w:t>
      </w:r>
      <w:r>
        <w:t xml:space="preserve"> </w:t>
      </w:r>
      <w:r>
        <w:rPr>
          <w:b/>
          <w:bCs/>
        </w:rPr>
        <w:t xml:space="preserve">65.8 million tonnes of CO₂</w:t>
      </w:r>
      <w:r>
        <w:t xml:space="preserve"> </w:t>
      </w:r>
      <w:r>
        <w:t xml:space="preserve">over the analysis period, a substantial contribution from a nation that is among the most vulnerable to the consequences of climate change. For a low-lying archipelago where the highest natural point is barely two metres above sea level, there is a painful irony in a power system that actively worsens the climate crisis threatening the country’s very existence.</w:t>
      </w:r>
    </w:p>
    <w:p>
      <w:pPr>
        <w:pStyle w:val="BodyText"/>
      </w:pPr>
      <w:r>
        <w:t xml:space="preserve">The findings of this analysis are fully consistent with the Government of Maldives’</w:t>
      </w:r>
      <w:r>
        <w:t xml:space="preserve"> </w:t>
      </w:r>
      <w:r>
        <w:rPr>
          <w:b/>
          <w:bCs/>
        </w:rPr>
        <w:t xml:space="preserve">Road Map for the Energy Sector 2024–2033</w:t>
      </w:r>
      <w:r>
        <w:t xml:space="preserve"> </w:t>
      </w:r>
      <w:r>
        <w:t xml:space="preserve">(2024)</w:t>
      </w:r>
      <w:r>
        <w:t xml:space="preserve">, which targets 33 per cent renewable energy by 2028 and identifies $1.3 billion in required investment across 15 flagship interventions. This CBA provides the economic evidence base to support and prioritise those commitments, demonstrating that every alternative pathway examined generates net benefits of between $9.5 billion and $12.2 billion in present value relative to the diesel status quo.</w:t>
      </w:r>
    </w:p>
    <w:bookmarkEnd w:id="36"/>
    <w:bookmarkStart w:id="40" w:name="seven-pathways-compared"/>
    <w:p>
      <w:pPr>
        <w:pStyle w:val="Heading2"/>
      </w:pPr>
      <w:r>
        <w:t xml:space="preserve">2.2 Seven Pathways Compared</w:t>
      </w:r>
    </w:p>
    <w:p>
      <w:pPr>
        <w:pStyle w:val="FirstParagraph"/>
      </w:pPr>
      <w:r>
        <w:t xml:space="preserve">This analysis evaluates seven distinct energy transition pathways for the Maldives, ranging from continued diesel dependence (business-as-usual) to ambitious renewable energy and interconnection strategies. Each pathway represents a fundamentally different vision for the country’s energy future, with different technology mixes, infrastructure requirements, implementation timelines, and risk profiles. The figure below presents the four most important metrics side by side: the present value of total system costs over the 30-year horizon, the levelised cost of electricity (which allows direct comparison of per-unit economics), cumulative greenhouse gas emissions, and the share of electricity generated from renewable sources by 2056. The contrast between diesel BAU and the alternatives is stark across every dimension.</w:t>
      </w:r>
    </w:p>
    <w:tbl>
      <w:tblPr>
        <w:tblStyle w:val="Table"/>
        <w:tblW w:type="pct" w:w="5000"/>
        <w:tblLayout w:type="fixed"/>
        <w:tblLook w:firstRow="0" w:lastRow="0" w:firstColumn="0" w:lastColumn="0" w:noHBand="0" w:noVBand="0" w:val="0000"/>
      </w:tblPr>
      <w:tblGrid>
        <w:gridCol w:w="7920"/>
      </w:tblGrid>
      <w:tr>
        <w:tc>
          <w:tcPr/>
          <w:bookmarkStart w:id="39" w:name="fig-executive-comparison"/>
          <w:tbl>
            <w:tblPr>
              <w:tblStyle w:val="Table"/>
              <w:tblW w:type="pct" w:w="5000"/>
              <w:tblLayout w:type="fixed"/>
              <w:tblLook w:firstRow="0" w:lastRow="0" w:firstColumn="0" w:lastColumn="0" w:noHBand="0" w:noVBand="0" w:val="0000"/>
            </w:tblPr>
            <w:tblGrid>
              <w:gridCol w:w="7920"/>
            </w:tblGrid>
            <w:tr>
              <w:tc>
                <w:tcPr/>
                <w:bookmarkStart w:id="37" w:name="fig-executive-comparison-1"/>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(a) Comparison of seven energy scenarios across four key metrics. All alternative scenarios outperform diesel BAU.</w:t>
                  </w:r>
                </w:p>
                <w:bookmarkEnd w:id="37"/>
              </w:tc>
            </w:tr>
          </w:tbl>
          <w:p>
            <w:pPr>
              <w:jc w:val="center"/>
            </w:pPr>
            <w:r>
              <w:t xml:space="preserve"> </w:t>
            </w:r>
          </w:p>
          <w:tbl>
            <w:tblPr>
              <w:tblStyle w:val="Table"/>
              <w:tblW w:type="pct" w:w="5000"/>
              <w:tblLayout w:type="fixed"/>
              <w:tblLook w:firstRow="0" w:lastRow="0" w:firstColumn="0" w:lastColumn="0" w:noHBand="0" w:noVBand="0" w:val="0000"/>
            </w:tblPr>
            <w:tblGrid>
              <w:gridCol w:w="7920"/>
            </w:tblGrid>
            <w:tr>
              <w:tc>
                <w:tcPr/>
                <w:bookmarkStart w:id="38" w:name="fig-executive-comparison-2"/>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(b)</w:t>
                  </w:r>
                </w:p>
                <w:bookmarkEnd w:id="38"/>
              </w:tc>
            </w:tr>
          </w:tbl>
          <w:p>
            <w:pPr>
              <w:jc w:val="center"/>
            </w:pPr>
            <w:pPr>
              <w:jc w:val="start"/>
              <w:spacing w:before="200"/>
              <w:pStyle w:val="ImageCaption"/>
            </w:pPr>
            <w:r>
              <w:t xml:space="preserve">Figure 2.1</w:t>
            </w:r>
          </w:p>
          <w:bookmarkEnd w:id="39"/>
        </w:tc>
      </w:tr>
    </w:tbl>
    <w:p>
      <w:pPr>
        <w:pStyle w:val="BodyText"/>
      </w:pPr>
      <w:r>
        <w:t xml:space="preserve">The four-panel comparison reveals a consistent pattern across all metrics. In the upper-left panel, the present value of total system costs shows that every alternative pathway is substantially cheaper than continuing with diesel, even after accounting for the upfront capital expenditure required for solar panels, battery systems, submarine cables, and grid infrastructure. This cost advantage arises because the avoided fuel expenditures over three decades far outweigh the initial investment, a pattern that strengthens over time as diesel prices escalate while solar and battery costs continue to decline. The upper-right panel translates these lifetime costs into a per-unit metric — the levelised cost of electricity — which confirms that solar-based alternatives have already achieved cost parity with diesel and in most scenarios deliver electricity at roughly half the cost. The lower panels address environmental performance: cumulative emissions fall dramatically under all alternative pathways, with the highest-RE scenarios reducing lifetime CO₂ by more than 80 per cent, while renewable energy shares by 2056 range from approximately 50 per cent to over 95 per cent depending on the pathway chosen.</w:t>
      </w:r>
    </w:p>
    <w:bookmarkEnd w:id="40"/>
    <w:bookmarkStart w:id="42" w:name="the-ranking"/>
    <w:p>
      <w:pPr>
        <w:pStyle w:val="Heading2"/>
      </w:pPr>
      <w:r>
        <w:t xml:space="preserve">2.3 The Ranking</w:t>
      </w:r>
    </w:p>
    <w:p>
      <w:pPr>
        <w:pStyle w:val="FirstParagraph"/>
      </w:pPr>
      <w:r>
        <w:t xml:space="preserve">The table below ranks all six alternative scenarios by their net present value savings relative to diesel BAU. This metric captures the total economic benefit of transitioning, measured as the difference between the present value of costs under the status quo and under each alternative pathway. The benefit-cost ratio (BCR) and internal rate of return (IRR) provide complementary perspectives: the BCR indicates how many dollars of benefit are generated per dollar of incremental cost, while the IRR represents the implied rate of return on the transition investment, which can be compared against the country’s cost of capital to confirm economic attractiveness.</w:t>
      </w:r>
    </w:p>
    <w:tbl>
      <w:tblPr>
        <w:tblStyle w:val="Table"/>
        <w:tblW w:type="pct" w:w="5000"/>
        <w:tblLayout w:type="fixed"/>
        <w:tblLook w:firstRow="0" w:lastRow="0" w:firstColumn="0" w:lastColumn="0" w:noHBand="0" w:noVBand="0" w:val="0000"/>
      </w:tblPr>
      <w:tblGrid>
        <w:gridCol w:w="7920"/>
      </w:tblGrid>
      <w:tr>
        <w:tc>
          <w:tcPr/>
          <w:bookmarkStart w:id="41" w:name="tbl-ranking"/>
          <w:p>
            <w:pPr>
              <w:jc w:val="center"/>
            </w:pPr>
            <w:pPr>
              <w:jc w:val="start"/>
              <w:spacing w:before="200"/>
              <w:pStyle w:val="ImageCaption"/>
            </w:pPr>
            <w:r>
              <w:t xml:space="preserve">Table 2.1: Scenario comparison: key metrics ranked by NPV savings versus BAU.</w:t>
            </w:r>
          </w:p>
          <w:tbl>
            <w:tblPr>
              <w:tblStyle w:val="Table"/>
              <w:tblW w:type="pct" w:w="5000"/>
              <w:tblLayout w:type="fixed"/>
              <w:tblLook w:firstRow="1" w:lastRow="0" w:firstColumn="0" w:lastColumn="0" w:noHBand="0" w:noVBand="0" w:val="0020"/>
            </w:tblPr>
            <w:tblGrid>
              <w:gridCol w:w="669"/>
              <w:gridCol w:w="1282"/>
              <w:gridCol w:w="892"/>
              <w:gridCol w:w="1115"/>
              <w:gridCol w:w="390"/>
              <w:gridCol w:w="613"/>
              <w:gridCol w:w="892"/>
              <w:gridCol w:w="1171"/>
              <w:gridCol w:w="892"/>
            </w:tblGrid>
            <w:tr>
              <w:trPr>
                <w:tblHeader w:val="on"/>
              </w:trPr>
              <w:tc>
                <w:tcPr/>
                <w:p>
                  <w:pPr>
                    <w:pStyle w:val="Compact"/>
                    <w:jc w:val="left"/>
                    <w:jc w:val="center"/>
                  </w:pPr>
                  <w:r>
                    <w:t xml:space="preserve">Scenario</w:t>
                  </w:r>
                </w:p>
              </w:tc>
              <w:tc>
                <w:tcPr/>
                <w:p>
                  <w:pPr>
                    <w:pStyle w:val="Compact"/>
                    <w:jc w:val="left"/>
                    <w:jc w:val="center"/>
                  </w:pPr>
                  <w:r>
                    <w:t xml:space="preserve">PV Total Costs (</w:t>
                  </w:r>
                  <m:oMath>
                    <m:r>
                      <m:t>B</m:t>
                    </m:r>
                    <m:r>
                      <m:rPr>
                        <m:sty m:val="p"/>
                      </m:rPr>
                      <m:t>)</m:t>
                    </m:r>
                    <m:r>
                      <m:rPr>
                        <m:sty m:val="p"/>
                      </m:rPr>
                      <m:t>|</m:t>
                    </m:r>
                    <m:r>
                      <m:t>L</m:t>
                    </m:r>
                    <m:r>
                      <m:t>C</m:t>
                    </m:r>
                    <m:r>
                      <m:t>O</m:t>
                    </m:r>
                    <m:r>
                      <m:t>E</m:t>
                    </m:r>
                    <m:r>
                      <m:rPr>
                        <m:sty m:val="p"/>
                      </m:rPr>
                      <m:t>(</m:t>
                    </m:r>
                  </m:oMath>
                  <w:r>
                    <w:t xml:space="preserve">/kWh)</w:t>
                  </w:r>
                </w:p>
              </w:tc>
              <w:tc>
                <w:tcPr/>
                <w:p>
                  <w:pPr>
                    <w:pStyle w:val="Compact"/>
                    <w:jc w:val="left"/>
                    <w:jc w:val="center"/>
                  </w:pPr>
                  <w:r>
                    <w:t xml:space="preserve">NPV Savings ($B)</w:t>
                  </w:r>
                </w:p>
              </w:tc>
              <w:tc>
                <w:tcPr/>
                <w:p>
                  <w:pPr>
                    <w:pStyle w:val="Compact"/>
                    <w:jc w:val="left"/>
                    <w:jc w:val="center"/>
                  </w:pPr>
                  <w:r>
                    <w:t xml:space="preserve">BCR</w:t>
                  </w:r>
                </w:p>
              </w:tc>
              <w:tc>
                <w:tcPr/>
                <w:p>
                  <w:pPr>
                    <w:pStyle w:val="Compact"/>
                    <w:jc w:val="left"/>
                    <w:jc w:val="center"/>
                  </w:pPr>
                  <w:r>
                    <w:t xml:space="preserve">IRR (%)</w:t>
                  </w:r>
                </w:p>
              </w:tc>
              <w:tc>
                <w:tcPr/>
                <w:p>
                  <w:pPr>
                    <w:pStyle w:val="Compact"/>
                    <w:jc w:val="left"/>
                    <w:jc w:val="center"/>
                  </w:pPr>
                  <w:r>
                    <w:t xml:space="preserve">Payback (yr)</w:t>
                  </w:r>
                </w:p>
              </w:tc>
              <w:tc>
                <w:tcPr/>
                <w:p>
                  <w:pPr>
                    <w:pStyle w:val="Compact"/>
                    <w:jc w:val="right"/>
                    <w:jc w:val="center"/>
                  </w:pPr>
                  <w:r>
                    <w:t xml:space="preserve">Emissions (MtCO₂)</w:t>
                  </w:r>
                </w:p>
              </w:tc>
              <w:tc>
                <w:tcPr/>
                <w:p>
                  <w:pPr>
                    <w:pStyle w:val="Compact"/>
                    <w:jc w:val="right"/>
                    <w:jc w:val="center"/>
                  </w:pPr>
                  <w:r>
                    <w:t xml:space="preserve">Final RE (%)</w:t>
                  </w:r>
                </w:p>
              </w:tc>
              <w:tc>
                <w:tcPr/>
                <w:p>
                  <w:pPr>
                    <w:pStyle w:val="Compact"/>
                  </w:pPr>
                </w:p>
              </w:tc>
            </w:tr>
            <w:tr>
              <w:tc>
                <w:tcPr/>
                <w:p>
                  <w:pPr>
                    <w:pStyle w:val="Compact"/>
                    <w:jc w:val="left"/>
                    <w:jc w:val="center"/>
                  </w:pPr>
                  <w:r>
                    <w:t xml:space="preserve">S7 LNG</w:t>
                  </w:r>
                </w:p>
              </w:tc>
              <w:tc>
                <w:tcPr/>
                <w:p>
                  <w:pPr>
                    <w:pStyle w:val="Compact"/>
                    <w:jc w:val="left"/>
                    <w:jc w:val="center"/>
                  </w:pPr>
                  <w:r>
                    <w:t xml:space="preserve">$7.8</w:t>
                  </w:r>
                </w:p>
              </w:tc>
              <w:tc>
                <w:tcPr/>
                <w:p>
                  <w:pPr>
                    <w:pStyle w:val="Compact"/>
                    <w:jc w:val="left"/>
                    <w:jc w:val="center"/>
                  </w:pPr>
                  <w:r>
                    <w:t xml:space="preserve">$0.219</w:t>
                  </w:r>
                </w:p>
              </w:tc>
              <w:tc>
                <w:tcPr/>
                <w:p>
                  <w:pPr>
                    <w:pStyle w:val="Compact"/>
                    <w:jc w:val="left"/>
                    <w:jc w:val="center"/>
                  </w:pPr>
                  <w:r>
                    <w:t xml:space="preserve">$12.2</w:t>
                  </w:r>
                </w:p>
              </w:tc>
              <w:tc>
                <w:tcPr/>
                <w:p>
                  <w:pPr>
                    <w:pStyle w:val="Compact"/>
                    <w:jc w:val="left"/>
                    <w:jc w:val="center"/>
                  </w:pPr>
                  <w:r>
                    <w:t xml:space="preserve">11.6×</w:t>
                  </w:r>
                </w:p>
              </w:tc>
              <w:tc>
                <w:tcPr/>
                <w:p>
                  <w:pPr>
                    <w:pStyle w:val="Compact"/>
                    <w:jc w:val="left"/>
                    <w:jc w:val="center"/>
                  </w:pPr>
                  <w:r>
                    <w:t xml:space="preserve">41.3%</w:t>
                  </w:r>
                </w:p>
              </w:tc>
              <w:tc>
                <w:tcPr/>
                <w:p>
                  <w:pPr>
                    <w:pStyle w:val="Compact"/>
                    <w:jc w:val="right"/>
                    <w:jc w:val="center"/>
                  </w:pPr>
                  <w:r>
                    <w:t xml:space="preserve">7</w:t>
                  </w:r>
                </w:p>
              </w:tc>
              <w:tc>
                <w:tcPr/>
                <w:p>
                  <w:pPr>
                    <w:pStyle w:val="Compact"/>
                    <w:jc w:val="right"/>
                    <w:jc w:val="center"/>
                  </w:pPr>
                  <w:r>
                    <w:t xml:space="preserve">33.4</w:t>
                  </w:r>
                </w:p>
              </w:tc>
              <w:tc>
                <w:tcPr/>
                <w:p>
                  <w:pPr>
                    <w:pStyle w:val="Compact"/>
                    <w:jc w:val="left"/>
                    <w:jc w:val="center"/>
                  </w:pPr>
                  <w:r>
                    <w:t xml:space="preserve">38%</w:t>
                  </w:r>
                </w:p>
              </w:tc>
            </w:tr>
            <w:tr>
              <w:tc>
                <w:tcPr/>
                <w:p>
                  <w:pPr>
                    <w:pStyle w:val="Compact"/>
                    <w:jc w:val="left"/>
                    <w:jc w:val="center"/>
                  </w:pPr>
                  <w:r>
                    <w:t xml:space="preserve">S6 MR</w:t>
                  </w:r>
                </w:p>
              </w:tc>
              <w:tc>
                <w:tcPr/>
                <w:p>
                  <w:pPr>
                    <w:pStyle w:val="Compact"/>
                    <w:jc w:val="left"/>
                    <w:jc w:val="center"/>
                  </w:pPr>
                  <w:r>
                    <w:t xml:space="preserve">$8.3</w:t>
                  </w:r>
                </w:p>
              </w:tc>
              <w:tc>
                <w:tcPr/>
                <w:p>
                  <w:pPr>
                    <w:pStyle w:val="Compact"/>
                    <w:jc w:val="left"/>
                    <w:jc w:val="center"/>
                  </w:pPr>
                  <w:r>
                    <w:t xml:space="preserve">$0.263</w:t>
                  </w:r>
                </w:p>
              </w:tc>
              <w:tc>
                <w:tcPr/>
                <w:p>
                  <w:pPr>
                    <w:pStyle w:val="Compact"/>
                    <w:jc w:val="left"/>
                    <w:jc w:val="center"/>
                  </w:pPr>
                  <w:r>
                    <w:t xml:space="preserve">$12.2</w:t>
                  </w:r>
                </w:p>
              </w:tc>
              <w:tc>
                <w:tcPr/>
                <w:p>
                  <w:pPr>
                    <w:pStyle w:val="Compact"/>
                    <w:jc w:val="left"/>
                    <w:jc w:val="center"/>
                  </w:pPr>
                  <w:r>
                    <w:t xml:space="preserve">9.6×</w:t>
                  </w:r>
                </w:p>
              </w:tc>
              <w:tc>
                <w:tcPr/>
                <w:p>
                  <w:pPr>
                    <w:pStyle w:val="Compact"/>
                    <w:jc w:val="left"/>
                    <w:jc w:val="center"/>
                  </w:pPr>
                  <w:r>
                    <w:t xml:space="preserve">33.2%</w:t>
                  </w:r>
                </w:p>
              </w:tc>
              <w:tc>
                <w:tcPr/>
                <w:p>
                  <w:pPr>
                    <w:pStyle w:val="Compact"/>
                    <w:jc w:val="right"/>
                    <w:jc w:val="center"/>
                  </w:pPr>
                  <w:r>
                    <w:t xml:space="preserve">8</w:t>
                  </w:r>
                </w:p>
              </w:tc>
              <w:tc>
                <w:tcPr/>
                <w:p>
                  <w:pPr>
                    <w:pStyle w:val="Compact"/>
                    <w:jc w:val="right"/>
                    <w:jc w:val="center"/>
                  </w:pPr>
                  <w:r>
                    <w:t xml:space="preserve">26.6</w:t>
                  </w:r>
                </w:p>
              </w:tc>
              <w:tc>
                <w:tcPr/>
                <w:p>
                  <w:pPr>
                    <w:pStyle w:val="Compact"/>
                    <w:jc w:val="left"/>
                    <w:jc w:val="center"/>
                  </w:pPr>
                  <w:r>
                    <w:t xml:space="preserve">56%</w:t>
                  </w:r>
                </w:p>
              </w:tc>
            </w:tr>
            <w:tr>
              <w:tc>
                <w:tcPr/>
                <w:p>
                  <w:pPr>
                    <w:pStyle w:val="Compact"/>
                    <w:jc w:val="left"/>
                    <w:jc w:val="center"/>
                  </w:pPr>
                  <w:r>
                    <w:t xml:space="preserve">S5 NS</w:t>
                  </w:r>
                </w:p>
              </w:tc>
              <w:tc>
                <w:tcPr/>
                <w:p>
                  <w:pPr>
                    <w:pStyle w:val="Compact"/>
                    <w:jc w:val="left"/>
                    <w:jc w:val="center"/>
                  </w:pPr>
                  <w:r>
                    <w:t xml:space="preserve">$8.8</w:t>
                  </w:r>
                </w:p>
              </w:tc>
              <w:tc>
                <w:tcPr/>
                <w:p>
                  <w:pPr>
                    <w:pStyle w:val="Compact"/>
                    <w:jc w:val="left"/>
                    <w:jc w:val="center"/>
                  </w:pPr>
                  <w:r>
                    <w:t xml:space="preserve">$0.280</w:t>
                  </w:r>
                </w:p>
              </w:tc>
              <w:tc>
                <w:tcPr/>
                <w:p>
                  <w:pPr>
                    <w:pStyle w:val="Compact"/>
                    <w:jc w:val="left"/>
                    <w:jc w:val="center"/>
                  </w:pPr>
                  <w:r>
                    <w:t xml:space="preserve">$11.1</w:t>
                  </w:r>
                </w:p>
              </w:tc>
              <w:tc>
                <w:tcPr/>
                <w:p>
                  <w:pPr>
                    <w:pStyle w:val="Compact"/>
                    <w:jc w:val="left"/>
                    <w:jc w:val="center"/>
                  </w:pPr>
                  <w:r>
                    <w:t xml:space="preserve">10.8×</w:t>
                  </w:r>
                </w:p>
              </w:tc>
              <w:tc>
                <w:tcPr/>
                <w:p>
                  <w:pPr>
                    <w:pStyle w:val="Compact"/>
                    <w:jc w:val="left"/>
                    <w:jc w:val="center"/>
                  </w:pPr>
                  <w:r>
                    <w:t xml:space="preserve">33.4%</w:t>
                  </w:r>
                </w:p>
              </w:tc>
              <w:tc>
                <w:tcPr/>
                <w:p>
                  <w:pPr>
                    <w:pStyle w:val="Compact"/>
                    <w:jc w:val="right"/>
                    <w:jc w:val="center"/>
                  </w:pPr>
                  <w:r>
                    <w:t xml:space="preserve">8</w:t>
                  </w:r>
                </w:p>
              </w:tc>
              <w:tc>
                <w:tcPr/>
                <w:p>
                  <w:pPr>
                    <w:pStyle w:val="Compact"/>
                    <w:jc w:val="right"/>
                    <w:jc w:val="center"/>
                  </w:pPr>
                  <w:r>
                    <w:t xml:space="preserve">30.6</w:t>
                  </w:r>
                </w:p>
              </w:tc>
              <w:tc>
                <w:tcPr/>
                <w:p>
                  <w:pPr>
                    <w:pStyle w:val="Compact"/>
                    <w:jc w:val="left"/>
                    <w:jc w:val="center"/>
                  </w:pPr>
                  <w:r>
                    <w:t xml:space="preserve">50%</w:t>
                  </w:r>
                </w:p>
              </w:tc>
            </w:tr>
            <w:tr>
              <w:tc>
                <w:tcPr/>
                <w:p>
                  <w:pPr>
                    <w:pStyle w:val="Compact"/>
                    <w:jc w:val="left"/>
                    <w:jc w:val="center"/>
                  </w:pPr>
                  <w:r>
                    <w:t xml:space="preserve">S3 NG</w:t>
                  </w:r>
                </w:p>
              </w:tc>
              <w:tc>
                <w:tcPr/>
                <w:p>
                  <w:pPr>
                    <w:pStyle w:val="Compact"/>
                    <w:jc w:val="left"/>
                    <w:jc w:val="center"/>
                  </w:pPr>
                  <w:r>
                    <w:t xml:space="preserve">$9.2</w:t>
                  </w:r>
                </w:p>
              </w:tc>
              <w:tc>
                <w:tcPr/>
                <w:p>
                  <w:pPr>
                    <w:pStyle w:val="Compact"/>
                    <w:jc w:val="left"/>
                    <w:jc w:val="center"/>
                  </w:pPr>
                  <w:r>
                    <w:t xml:space="preserve">$0.294</w:t>
                  </w:r>
                </w:p>
              </w:tc>
              <w:tc>
                <w:tcPr/>
                <w:p>
                  <w:pPr>
                    <w:pStyle w:val="Compact"/>
                    <w:jc w:val="left"/>
                    <w:jc w:val="center"/>
                  </w:pPr>
                  <w:r>
                    <w:t xml:space="preserve">$10.3</w:t>
                  </w:r>
                </w:p>
              </w:tc>
              <w:tc>
                <w:tcPr/>
                <w:p>
                  <w:pPr>
                    <w:pStyle w:val="Compact"/>
                    <w:jc w:val="left"/>
                    <w:jc w:val="center"/>
                  </w:pPr>
                  <w:r>
                    <w:t xml:space="preserve">11.9×</w:t>
                  </w:r>
                </w:p>
              </w:tc>
              <w:tc>
                <w:tcPr/>
                <w:p>
                  <w:pPr>
                    <w:pStyle w:val="Compact"/>
                    <w:jc w:val="left"/>
                    <w:jc w:val="center"/>
                  </w:pPr>
                  <w:r>
                    <w:t xml:space="preserve">33.8%</w:t>
                  </w:r>
                </w:p>
              </w:tc>
              <w:tc>
                <w:tcPr/>
                <w:p>
                  <w:pPr>
                    <w:pStyle w:val="Compact"/>
                    <w:jc w:val="right"/>
                    <w:jc w:val="center"/>
                  </w:pPr>
                  <w:r>
                    <w:t xml:space="preserve">7</w:t>
                  </w:r>
                </w:p>
              </w:tc>
              <w:tc>
                <w:tcPr/>
                <w:p>
                  <w:pPr>
                    <w:pStyle w:val="Compact"/>
                    <w:jc w:val="right"/>
                    <w:jc w:val="center"/>
                  </w:pPr>
                  <w:r>
                    <w:t xml:space="preserve">33.2</w:t>
                  </w:r>
                </w:p>
              </w:tc>
              <w:tc>
                <w:tcPr/>
                <w:p>
                  <w:pPr>
                    <w:pStyle w:val="Compact"/>
                    <w:jc w:val="left"/>
                    <w:jc w:val="center"/>
                  </w:pPr>
                  <w:r>
                    <w:t xml:space="preserve">47%</w:t>
                  </w:r>
                </w:p>
              </w:tc>
            </w:tr>
            <w:tr>
              <w:tc>
                <w:tcPr/>
                <w:p>
                  <w:pPr>
                    <w:pStyle w:val="Compact"/>
                    <w:jc w:val="left"/>
                    <w:jc w:val="center"/>
                  </w:pPr>
                  <w:r>
                    <w:t xml:space="preserve">S2 FI</w:t>
                  </w:r>
                </w:p>
              </w:tc>
              <w:tc>
                <w:tcPr/>
                <w:p>
                  <w:pPr>
                    <w:pStyle w:val="Compact"/>
                    <w:jc w:val="left"/>
                    <w:jc w:val="center"/>
                  </w:pPr>
                  <w:r>
                    <w:t xml:space="preserve">$9.3</w:t>
                  </w:r>
                </w:p>
              </w:tc>
              <w:tc>
                <w:tcPr/>
                <w:p>
                  <w:pPr>
                    <w:pStyle w:val="Compact"/>
                    <w:jc w:val="left"/>
                    <w:jc w:val="center"/>
                  </w:pPr>
                  <w:r>
                    <w:t xml:space="preserve">$0.210</w:t>
                  </w:r>
                </w:p>
              </w:tc>
              <w:tc>
                <w:tcPr/>
                <w:p>
                  <w:pPr>
                    <w:pStyle w:val="Compact"/>
                    <w:jc w:val="left"/>
                    <w:jc w:val="center"/>
                  </w:pPr>
                  <w:r>
                    <w:t xml:space="preserve">$9.5</w:t>
                  </w:r>
                </w:p>
              </w:tc>
              <w:tc>
                <w:tcPr/>
                <w:p>
                  <w:pPr>
                    <w:pStyle w:val="Compact"/>
                    <w:jc w:val="left"/>
                    <w:jc w:val="center"/>
                  </w:pPr>
                  <w:r>
                    <w:t xml:space="preserve">2.7×</w:t>
                  </w:r>
                </w:p>
              </w:tc>
              <w:tc>
                <w:tcPr/>
                <w:p>
                  <w:pPr>
                    <w:pStyle w:val="Compact"/>
                    <w:jc w:val="left"/>
                    <w:jc w:val="center"/>
                  </w:pPr>
                  <w:r>
                    <w:t xml:space="preserve">16.3%</w:t>
                  </w:r>
                </w:p>
              </w:tc>
              <w:tc>
                <w:tcPr/>
                <w:p>
                  <w:pPr>
                    <w:pStyle w:val="Compact"/>
                    <w:jc w:val="right"/>
                    <w:jc w:val="center"/>
                  </w:pPr>
                  <w:r>
                    <w:t xml:space="preserve">13</w:t>
                  </w:r>
                </w:p>
              </w:tc>
              <w:tc>
                <w:tcPr/>
                <w:p>
                  <w:pPr>
                    <w:pStyle w:val="Compact"/>
                    <w:jc w:val="right"/>
                    <w:jc w:val="center"/>
                  </w:pPr>
                  <w:r>
                    <w:t xml:space="preserve">49.4</w:t>
                  </w:r>
                </w:p>
              </w:tc>
              <w:tc>
                <w:tcPr/>
                <w:p>
                  <w:pPr>
                    <w:pStyle w:val="Compact"/>
                    <w:jc w:val="left"/>
                    <w:jc w:val="center"/>
                  </w:pPr>
                  <w:r>
                    <w:t xml:space="preserve">8%</w:t>
                  </w:r>
                </w:p>
              </w:tc>
            </w:tr>
            <w:tr>
              <w:tc>
                <w:tcPr/>
                <w:p>
                  <w:pPr>
                    <w:pStyle w:val="Compact"/>
                    <w:jc w:val="left"/>
                    <w:jc w:val="center"/>
                  </w:pPr>
                  <w:r>
                    <w:t xml:space="preserve">S4 IG</w:t>
                  </w:r>
                </w:p>
              </w:tc>
              <w:tc>
                <w:tcPr/>
                <w:p>
                  <w:pPr>
                    <w:pStyle w:val="Compact"/>
                    <w:jc w:val="left"/>
                    <w:jc w:val="center"/>
                  </w:pPr>
                  <w:r>
                    <w:t xml:space="preserve">$10.0</w:t>
                  </w:r>
                </w:p>
              </w:tc>
              <w:tc>
                <w:tcPr/>
                <w:p>
                  <w:pPr>
                    <w:pStyle w:val="Compact"/>
                    <w:jc w:val="left"/>
                    <w:jc w:val="center"/>
                  </w:pPr>
                  <w:r>
                    <w:t xml:space="preserve">$0.319</w:t>
                  </w:r>
                </w:p>
              </w:tc>
              <w:tc>
                <w:tcPr/>
                <w:p>
                  <w:pPr>
                    <w:pStyle w:val="Compact"/>
                    <w:jc w:val="left"/>
                    <w:jc w:val="center"/>
                  </w:pPr>
                  <w:r>
                    <w:t xml:space="preserve">$9.5</w:t>
                  </w:r>
                </w:p>
              </w:tc>
              <w:tc>
                <w:tcPr/>
                <w:p>
                  <w:pPr>
                    <w:pStyle w:val="Compact"/>
                    <w:jc w:val="left"/>
                    <w:jc w:val="center"/>
                  </w:pPr>
                  <w:r>
                    <w:t xml:space="preserve">8.6×</w:t>
                  </w:r>
                </w:p>
              </w:tc>
              <w:tc>
                <w:tcPr/>
                <w:p>
                  <w:pPr>
                    <w:pStyle w:val="Compact"/>
                    <w:jc w:val="left"/>
                    <w:jc w:val="center"/>
                  </w:pPr>
                  <w:r>
                    <w:t xml:space="preserve">27.6%</w:t>
                  </w:r>
                </w:p>
              </w:tc>
              <w:tc>
                <w:tcPr/>
                <w:p>
                  <w:pPr>
                    <w:pStyle w:val="Compact"/>
                    <w:jc w:val="right"/>
                    <w:jc w:val="center"/>
                  </w:pPr>
                  <w:r>
                    <w:t xml:space="preserve">9</w:t>
                  </w:r>
                </w:p>
              </w:tc>
              <w:tc>
                <w:tcPr/>
                <w:p>
                  <w:pPr>
                    <w:pStyle w:val="Compact"/>
                    <w:jc w:val="right"/>
                    <w:jc w:val="center"/>
                  </w:pPr>
                  <w:r>
                    <w:t xml:space="preserve">33.6</w:t>
                  </w:r>
                </w:p>
              </w:tc>
              <w:tc>
                <w:tcPr/>
                <w:p>
                  <w:pPr>
                    <w:pStyle w:val="Compact"/>
                    <w:jc w:val="left"/>
                    <w:jc w:val="center"/>
                  </w:pPr>
                  <w:r>
                    <w:t xml:space="preserve">45%</w:t>
                  </w:r>
                </w:p>
              </w:tc>
            </w:tr>
          </w:tbl>
          <w:bookmarkEnd w:id="41"/>
          <w:p/>
        </w:tc>
      </w:tr>
    </w:tbl>
    <w:p>
      <w:pPr>
        <w:pStyle w:val="BodyText"/>
      </w:pPr>
      <w:r>
        <w:t xml:space="preserve">The ranking table demonstrates that all six alternatives are economically attractive by wide margins. The differences among the alternatives are meaningful but secondary to the overwhelming case for transition itself: even the lowest-ranked alternative generates billions in net savings, with a BCR well above the standard 1.0× threshold used in public investment appraisal. The scenarios with the highest renewable energy shares tend to deliver the largest total savings, reflecting the fundamental cost advantage of zero-marginal-cost solar generation over fuel-dependent diesel. However, the fastest financial returns (highest IRR) may come from transitional strategies such as LNG, which achieve rapid fuel cost reductions with established technology even though they do not reach the highest RE shares. This distinction between maximum lifetime savings and maximum near-term return is important for policymakers balancing long-run optimality against implementation speed and political feasibility.</w:t>
      </w:r>
    </w:p>
    <w:bookmarkEnd w:id="42"/>
    <w:bookmarkStart w:id="52" w:name="key-findings"/>
    <w:p>
      <w:pPr>
        <w:pStyle w:val="Heading2"/>
      </w:pPr>
      <w:r>
        <w:t xml:space="preserve">2.4 Key Findings</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C:\Users\LucasSempe\AppData\Local\Programs\Quarto\share\formats\docx\important.png" id="45"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Finding 1: All alternatives beat diesel — decisively</w:t>
            </w:r>
          </w:p>
        </w:tc>
      </w:tr>
      <w:tr>
        <w:trPr>
          <w:cantSplit/>
        </w:trPr>
        <w:tc>
          <w:tcPr>
            <w:tcMar>
              <w:top w:w="108" w:type="dxa"/>
              <w:bottom w:w="108" w:type="dxa"/>
            </w:tcMar>
          </w:tcPr>
          <w:p>
            <w:pPr>
              <w:pStyle w:val="BodyText"/>
            </w:pPr>
            <w:pPr>
              <w:spacing w:before="16" w:after="16"/>
            </w:pPr>
            <w:r>
              <w:t xml:space="preserve">Even the</w:t>
            </w:r>
            <w:r>
              <w:t xml:space="preserve"> </w:t>
            </w:r>
            <w:r>
              <w:rPr>
                <w:i/>
                <w:iCs/>
              </w:rPr>
              <w:t xml:space="preserve">least</w:t>
            </w:r>
            <w:r>
              <w:t xml:space="preserve"> </w:t>
            </w:r>
            <w:r>
              <w:t xml:space="preserve">advantageous alternative (S4 IG) saves</w:t>
            </w:r>
            <w:r>
              <w:t xml:space="preserve"> </w:t>
            </w:r>
            <w:r>
              <w:rPr>
                <w:b/>
                <w:bCs/>
              </w:rPr>
              <w:t xml:space="preserve">$9.5B</w:t>
            </w:r>
            <w:r>
              <w:t xml:space="preserve"> </w:t>
            </w:r>
            <w:r>
              <w:t xml:space="preserve">versus diesel. The</w:t>
            </w:r>
            <w:r>
              <w:t xml:space="preserve"> </w:t>
            </w:r>
            <w:r>
              <w:rPr>
                <w:i/>
                <w:iCs/>
              </w:rPr>
              <w:t xml:space="preserve">best</w:t>
            </w:r>
            <w:r>
              <w:t xml:space="preserve"> </w:t>
            </w:r>
            <w:r>
              <w:t xml:space="preserve">(S7 LNG) saves</w:t>
            </w:r>
            <w:r>
              <w:t xml:space="preserve"> </w:t>
            </w:r>
            <w:r>
              <w:rPr>
                <w:b/>
                <w:bCs/>
              </w:rPr>
              <w:t xml:space="preserve">$12.2B</w:t>
            </w:r>
            <w:r>
              <w:t xml:space="preserve">. These results are robust across discount rates, time horizons, and parameter uncertainty (see</w:t>
            </w:r>
            <w:r>
              <w:t xml:space="preserve"> </w:t>
            </w:r>
            <w:hyperlink w:anchor="sec-sensitivity">
              <w:r>
                <w:rPr>
                  <w:rStyle w:val="Hyperlink"/>
                </w:rPr>
                <w:t xml:space="preserve">Chapter 10</w:t>
              </w:r>
            </w:hyperlink>
            <w:r>
              <w:t xml:space="preserve">).</w:t>
            </w:r>
          </w:p>
        </w:tc>
      </w:tr>
    </w:tbl>
    <w:p>
      <w:pPr>
        <w:pStyle w:val="BodyText"/>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C:\Users\LucasSempe\AppData\Local\Programs\Quarto\share\formats\docx\important.png" id="47"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Finding 2: Solar+battery is cost-competitive today</w:t>
            </w:r>
          </w:p>
        </w:tc>
      </w:tr>
      <w:tr>
        <w:trPr>
          <w:cantSplit/>
        </w:trPr>
        <w:tc>
          <w:tcPr>
            <w:tcMar>
              <w:top w:w="108" w:type="dxa"/>
              <w:bottom w:w="108" w:type="dxa"/>
            </w:tcMar>
          </w:tcPr>
          <w:p>
            <w:pPr>
              <w:pStyle w:val="BodyText"/>
            </w:pPr>
            <w:pPr>
              <w:spacing w:before="16" w:after="16"/>
            </w:pPr>
            <w:r>
              <w:t xml:space="preserve">Domestic solar+battery systems achieve an LCOE of</w:t>
            </w:r>
            <w:r>
              <w:t xml:space="preserve"> </w:t>
            </w:r>
            <w:r>
              <w:rPr>
                <w:b/>
                <w:bCs/>
              </w:rPr>
              <w:t xml:space="preserve">$0.294/kWh</w:t>
            </w:r>
            <w:r>
              <w:t xml:space="preserve"> </w:t>
            </w:r>
            <w:r>
              <w:t xml:space="preserve">compared to diesel’s</w:t>
            </w:r>
            <w:r>
              <w:t xml:space="preserve"> </w:t>
            </w:r>
            <w:r>
              <w:rPr>
                <w:b/>
                <w:bCs/>
              </w:rPr>
              <w:t xml:space="preserve">$0.437/kWh</w:t>
            </w:r>
            <w:r>
              <w:t xml:space="preserve"> </w:t>
            </w:r>
            <w:r>
              <w:t xml:space="preserve">— a 33% cost reduction. Battery cost declines (Wright’s Law learning rate 18%) will widen this gap further.</w:t>
            </w:r>
          </w:p>
        </w:tc>
      </w:tr>
    </w:tbl>
    <w:p>
      <w:pPr>
        <w:pStyle w:val="BodyText"/>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C:\Users\LucasSempe\AppData\Local\Programs\Quarto\share\formats\docx\important.png" id="49"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Finding 3: The India cable adds geopolitical risk for marginal gain</w:t>
            </w:r>
          </w:p>
        </w:tc>
      </w:tr>
      <w:tr>
        <w:trPr>
          <w:cantSplit/>
        </w:trPr>
        <w:tc>
          <w:tcPr>
            <w:tcMar>
              <w:top w:w="108" w:type="dxa"/>
              <w:bottom w:w="108" w:type="dxa"/>
            </w:tcMar>
          </w:tcPr>
          <w:p>
            <w:pPr>
              <w:pStyle w:val="BodyText"/>
            </w:pPr>
            <w:pPr>
              <w:spacing w:before="16" w:after="16"/>
            </w:pPr>
            <w:r>
              <w:t xml:space="preserve">Full Integration (India cable) costs</w:t>
            </w:r>
            <w:r>
              <w:t xml:space="preserve"> </w:t>
            </w:r>
            <w:r>
              <w:rPr>
                <w:b/>
                <w:bCs/>
              </w:rPr>
              <w:t xml:space="preserve">$1.9B</w:t>
            </w:r>
            <w:r>
              <w:t xml:space="preserve"> </w:t>
            </w:r>
            <w:r>
              <w:t xml:space="preserve">more in CAPEX than the National Grid option, with a BCR of only</w:t>
            </w:r>
            <w:r>
              <w:t xml:space="preserve"> </w:t>
            </w:r>
            <w:r>
              <w:rPr>
                <w:b/>
                <w:bCs/>
              </w:rPr>
              <w:t xml:space="preserve">0.83×</w:t>
            </w:r>
            <w:r>
              <w:t xml:space="preserve"> </w:t>
            </w:r>
            <w:r>
              <w:t xml:space="preserve">on the margin. Given cable outage risks (λ=0.15/yr, repair 1–6 months), this pathway introduces single-point-of-failure vulnerability that domestic alternatives avoid.</w:t>
            </w:r>
          </w:p>
        </w:tc>
      </w:tr>
    </w:tbl>
    <w:p>
      <w:pPr>
        <w:pStyle w:val="BodyText"/>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C:\Users\LucasSempe\AppData\Local\Programs\Quarto\share\formats\docx\important.png" id="51"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Finding 4: Results are robust to uncertainty</w:t>
            </w:r>
          </w:p>
        </w:tc>
      </w:tr>
      <w:tr>
        <w:trPr>
          <w:cantSplit/>
        </w:trPr>
        <w:tc>
          <w:tcPr>
            <w:tcMar>
              <w:top w:w="108" w:type="dxa"/>
              <w:bottom w:w="108" w:type="dxa"/>
            </w:tcMar>
          </w:tcPr>
          <w:p>
            <w:pPr>
              <w:pStyle w:val="BodyText"/>
            </w:pPr>
            <w:pPr>
              <w:spacing w:before="16" w:after="16"/>
            </w:pPr>
            <w:r>
              <w:t xml:space="preserve">Monte Carlo simulation (1,000 iterations, 39 correlated parameters) shows every alternative beats BAU in</w:t>
            </w:r>
            <w:r>
              <w:t xml:space="preserve"> </w:t>
            </w:r>
            <w:r>
              <w:rPr>
                <w:b/>
                <w:bCs/>
              </w:rPr>
              <w:t xml:space="preserve">&gt;100%</w:t>
            </w:r>
            <w:r>
              <w:t xml:space="preserve"> </w:t>
            </w:r>
            <w:r>
              <w:t xml:space="preserve">of simulations. The ranking is stable across discount rates (3–12%), time horizons (20–50 years), and five different multi-criteria weight profiles.</w:t>
            </w:r>
          </w:p>
        </w:tc>
      </w:tr>
    </w:tbl>
    <w:bookmarkEnd w:id="52"/>
    <w:bookmarkStart w:id="56" w:name="what-should-policymakers-do"/>
    <w:p>
      <w:pPr>
        <w:pStyle w:val="Heading2"/>
      </w:pPr>
      <w:r>
        <w:t xml:space="preserve">2.5 What Should Policymakers Do?</w:t>
      </w:r>
    </w:p>
    <w:p>
      <w:pPr>
        <w:pStyle w:val="FirstParagraph"/>
      </w:pPr>
      <w:r>
        <w:t xml:space="preserve">The evidence assembled in this report points to a clear set of policy priorities. These recommendations are grounded in the quantitative analysis but also reflect the practical constraints of institutional capacity, financing availability, and political economy that shape energy transitions in small island developing states.</w:t>
      </w:r>
    </w:p>
    <w:bookmarkStart w:id="53" w:name="X27743807dbe620236af8301050a46803c0be3c0"/>
    <w:p>
      <w:pPr>
        <w:pStyle w:val="Heading4"/>
      </w:pPr>
      <w:r>
        <w:t xml:space="preserve">2.5.0.1 Recommendation 1 — Pursue Aggressive Solar+Battery Deployment on Outer Islands</w:t>
      </w:r>
    </w:p>
    <w:p>
      <w:pPr>
        <w:pStyle w:val="FirstParagraph"/>
      </w:pPr>
      <w:r>
        <w:t xml:space="preserve">The most immediate and unambiguous action available to the Government of Maldives is the accelerated deployment of solar photovoltaic systems with battery storage on the country’s outer islands. The islanded green pathway (S4) or its near-shore variant (S5) can begin immediately using proven, commercially mature technology that requires no unprecedented engineering or cross-border agreements. The economic case is compelling: solar-plus-battery systems already deliver electricity at roughly half the cost of diesel on the outer islands, and every year of delay forgoes approximately $0M in fuel savings that could be redirected to other development priorities. The deployment programme should target 50 MW of new solar capacity per year, prioritising the approximately 170 outer islands where the LCOE advantage over diesel is greatest. This strategy has the additional virtue of building domestic technical capacity and institutional experience that will be needed for later, more complex phases of the transition.</w:t>
      </w:r>
    </w:p>
    <w:bookmarkEnd w:id="53"/>
    <w:bookmarkStart w:id="54" w:name="X45606c5a4f464b754d4cc32c537c1db6c68ae76"/>
    <w:p>
      <w:pPr>
        <w:pStyle w:val="Heading4"/>
      </w:pPr>
      <w:r>
        <w:t xml:space="preserve">2.5.0.2 Recommendation 2 — Prioritise LNG Transition for Greater Malé Baseload</w:t>
      </w:r>
    </w:p>
    <w:p>
      <w:pPr>
        <w:pStyle w:val="FirstParagraph"/>
      </w:pPr>
      <w:r>
        <w:t xml:space="preserve">The LNG Transition scenario (S7) offers a pragmatic bridging strategy for the Greater Malé region, where electricity demand is concentrated and rooftop solar potential is limited by extreme urban density. This pathway achieves the highest internal rate of return (41.3%) and fastest payback period (7 years) of any scenario, leveraging the planned Gulhifalhu terminal to replace expensive diesel generation with cleaner and cheaper liquefied natural gas. The rapid financial returns make this pathway particularly attractive for building early political support for the broader transition agenda. However, the government must pair the LNG commitment with a binding renewable energy ramp target to avoid locking the country into three decades of continued fossil fuel dependence.</w:t>
      </w:r>
    </w:p>
    <w:bookmarkEnd w:id="54"/>
    <w:bookmarkStart w:id="55" w:name="X363e1008ed4cb378d7e2074ff7f19046c374688"/>
    <w:p>
      <w:pPr>
        <w:pStyle w:val="Heading4"/>
      </w:pPr>
      <w:r>
        <w:t xml:space="preserve">2.5.0.3 Recommendation 3 — Embed Distributional Equity in Project Design</w:t>
      </w:r>
    </w:p>
    <w:p>
      <w:pPr>
        <w:pStyle w:val="FirstParagraph"/>
      </w:pPr>
      <w:r>
        <w:t xml:space="preserve">The analysis of household-level survey data from HIES 2019 reveals that lower-income households spend a disproportionately large share of their income on electricity, a pattern that could worsen during the investment phase of the transition if tariffs rise to service new infrastructure debt. The government must therefore embed equity safeguards directly into the transition design from the outset, rather than treating them as an afterthought. This means implementing progressive tariff structures with lifeline blocks for essential consumption, providing targeted cash transfers to the lowest-income quintile during the adjustment period, and ensuring that the government — rather than individual households — bears the cost of last-mile grid connections in underserved communities. The distributional analysis in</w:t>
      </w:r>
      <w:r>
        <w:t xml:space="preserve"> </w:t>
      </w:r>
      <w:hyperlink w:anchor="sec-distributional">
        <w:r>
          <w:rPr>
            <w:rStyle w:val="Hyperlink"/>
          </w:rPr>
          <w:t xml:space="preserve">Chapter 14</w:t>
        </w:r>
      </w:hyperlink>
      <w:r>
        <w:t xml:space="preserve"> </w:t>
      </w:r>
      <w:r>
        <w:t xml:space="preserve">provides the evidence base for designing these safeguards.</w:t>
      </w:r>
    </w:p>
    <w:bookmarkEnd w:id="55"/>
    <w:bookmarkEnd w:id="56"/>
    <w:bookmarkEnd w:id="57"/>
    <w:bookmarkStart w:id="84" w:name="introduction"/>
    <w:p>
      <w:pPr>
        <w:pStyle w:val="Heading1"/>
      </w:pPr>
      <w:r>
        <w:t xml:space="preserve">3. Introduction</w:t>
      </w:r>
    </w:p>
    <w:p>
      <w:pPr>
        <w:pStyle w:val="FirstParagraph"/>
      </w:pPr>
      <w:r>
        <w:t xml:space="preserve">The Republic of Maldives is one of the most geographically dispersed nations on Earth — 1,192 coral islands spread across 900 km of the Indian Ocean, of which 187 are inhabited. This unique geography creates an energy challenge unlike any other: every kilowatt-hour of electricity must be generated on-site from imported diesel fuel, shipped to individual islands, and consumed within isolated micro-grids that serve populations ranging from 50 to 250,000 people.</w:t>
      </w:r>
    </w:p>
    <w:bookmarkStart w:id="63" w:name="sec-energy-story"/>
    <w:p>
      <w:pPr>
        <w:pStyle w:val="Heading2"/>
      </w:pPr>
      <w:r>
        <w:t xml:space="preserve">3.1 The Maldives Energy Story</w:t>
      </w:r>
    </w:p>
    <w:p>
      <w:pPr>
        <w:pStyle w:val="FirstParagraph"/>
      </w:pPr>
      <w:r>
        <w:t xml:space="preserve">The Maldives electricity sector is defined by several structural features that together create an energy system unlike any other in the world. The most fundamental of these is the country’s near-total dependence on imported diesel fuel. As of 2024, approximately 93 per cent of the nation’s electricity comes from diesel generators</w:t>
      </w:r>
      <w:r>
        <w:rPr>
          <w:rStyle w:val="FootnoteReference"/>
        </w:rPr>
        <w:footnoteReference w:id="58"/>
      </w:r>
      <w:r>
        <w:t xml:space="preserve"> </w:t>
      </w:r>
      <w:r>
        <w:t xml:space="preserve">— a fleet of roughly 532 MW spread across hundreds of individual powerhouses on islands throughout the archipelago. Only 68 MW of solar PV capacity has been installed to date, producing roughly 6 per cent of total generation. This level of diesel dependence is among the highest in the world and stands in stark contrast to the country’s exceptional solar resource, which delivers average global horizontal irradiance of approximately 5.4 kWh/m²/day</w:t>
      </w:r>
      <w:r>
        <w:rPr>
          <w:rStyle w:val="FootnoteReference"/>
        </w:rPr>
        <w:footnoteReference w:id="59"/>
      </w:r>
      <w:r>
        <w:t xml:space="preserve"> </w:t>
      </w:r>
      <w:r>
        <w:t xml:space="preserve">— among the best in South Asia.</w:t>
      </w:r>
    </w:p>
    <w:p>
      <w:pPr>
        <w:pStyle w:val="BodyText"/>
      </w:pPr>
      <w:r>
        <w:t xml:space="preserve">The second defining characteristic is the extreme geographic fragmentation of the power system. There is no national grid connecting the islands, nor are there any inter-island submarine cables currently in operation. Each inhabited island operates its own self-contained generation and distribution system, typically consisting of a diesel powerhouse, a low-voltage distribution network, and in some cases a small solar array with limited battery backup. The capacity of these isolated systems varies enormously: the smallest outer islands may rely on a single 50 kW diesel generator serving fewer than 100 households, while the Greater Malé region operates a sophisticated 140 MW power station network serving a quarter of a million people</w:t>
      </w:r>
      <w:r>
        <w:rPr>
          <w:rStyle w:val="FootnoteReference"/>
        </w:rPr>
        <w:footnoteReference w:id="60"/>
      </w:r>
      <w:r>
        <w:t xml:space="preserve">. This fragmentation means that the Maldives does not face a single energy transition challenge but rather 187 separate ones, each with its own demand profile, cost structure, and technical constraints.</w:t>
      </w:r>
    </w:p>
    <w:p>
      <w:pPr>
        <w:pStyle w:val="BodyText"/>
      </w:pPr>
      <w:r>
        <w:t xml:space="preserve">The third structural feature is the high and rising cost of electricity provision. Outer-island generation costs range from $0.30 to $0.70 per kWh</w:t>
      </w:r>
      <w:r>
        <w:rPr>
          <w:rStyle w:val="FootnoteReference"/>
        </w:rPr>
        <w:footnoteReference w:id="61"/>
      </w:r>
      <w:r>
        <w:t xml:space="preserve">, driven by the inefficiency of small diesel generators, high fuel transport costs to remote islands, and the lack of scale economies. The Government of Maldives subsidises retail electricity tariffs at approximately $0.15 per kWh to maintain affordability</w:t>
      </w:r>
      <w:r>
        <w:rPr>
          <w:rStyle w:val="FootnoteReference"/>
        </w:rPr>
        <w:footnoteReference w:id="62"/>
      </w:r>
      <w:r>
        <w:t xml:space="preserve">, creating a fiscal burden that grows in step with demand. This subsidy represents a substantial and recurring drain on the national budget, crowding out other public investment priorities while simultaneously insulating consumers from price signals that might encourage conservation and efficiency.</w:t>
      </w:r>
    </w:p>
    <w:bookmarkEnd w:id="63"/>
    <w:bookmarkStart w:id="68" w:name="sec-urgency"/>
    <w:p>
      <w:pPr>
        <w:pStyle w:val="Heading2"/>
      </w:pPr>
      <w:r>
        <w:t xml:space="preserve">3.2 Why a Transition Is Urgent</w:t>
      </w:r>
    </w:p>
    <w:p>
      <w:pPr>
        <w:pStyle w:val="FirstParagraph"/>
      </w:pPr>
      <w:r>
        <w:t xml:space="preserve">Three converging pressures make energy transition a first-order policy priority for the Maldives, and the analysis presented in this report demonstrates that the window for action is both wide open and time-sensitive.</w:t>
      </w:r>
    </w:p>
    <w:p>
      <w:pPr>
        <w:pStyle w:val="BodyText"/>
      </w:pPr>
      <w:r>
        <w:t xml:space="preserve">The first and most immediate pressure is economic. At current growth rates of approximately 5 per cent per year, diesel fuel expenditures will absorb an estimated</w:t>
      </w:r>
      <w:r>
        <w:t xml:space="preserve"> </w:t>
      </w:r>
      <w:r>
        <w:rPr>
          <w:b/>
          <w:bCs/>
        </w:rPr>
        <w:t xml:space="preserve">$14.3 billion</w:t>
      </w:r>
      <w:r>
        <w:t xml:space="preserve"> </w:t>
      </w:r>
      <w:r>
        <w:t xml:space="preserve">in present value over the 2026–2056 analysis period. This represents a massive and sustained outflow of national wealth to international petroleum markets, leaving the Maldives chronically exposed to the volatility of global oil prices. The 2022 energy price shock, driven by geopolitical events far beyond the country’s control, offered a vivid preview of this vulnerability: electricity generation costs spiked, the government subsidy bill surged, and the fiscal position deteriorated sharply. Every dollar spent on imported fuel is a dollar not invested in education, healthcare, climate adaptation infrastructure, or other development priorities that could build long-term resilience and prosperity.</w:t>
      </w:r>
    </w:p>
    <w:p>
      <w:pPr>
        <w:pStyle w:val="BodyText"/>
      </w:pPr>
      <w:r>
        <w:t xml:space="preserve">The second pressure is the climate imperative. The Maldives is the world’s lowest-lying nation, with an average elevation of approximately 1.5 metres and a highest natural point barely two metres above sea level</w:t>
      </w:r>
      <w:r>
        <w:rPr>
          <w:rStyle w:val="FootnoteReference"/>
        </w:rPr>
        <w:footnoteReference w:id="64"/>
      </w:r>
      <w:r>
        <w:t xml:space="preserve">. It is existentially threatened by sea-level rise, ocean acidification, and intensifying tropical weather events — all consequences of the very fossil fuel combustion that powers its economy. Under the business-as-usual pathway, the Maldivian electricity sector alone would emit 65.8 million tonnes of CO₂ over the analysis period. While these emissions are globally modest, they are symbolically and morally significant for a nation that has positioned itself as a leader in international climate advocacy. As a founding member of the Alliance of Small Island States (AOSIS) and a signatory to the Paris Agreement, the Maldives has committed to ambitious emissions reduction targets — including a 26 per cent conditional reduction in greenhouse gas emissions by 2030 under its updated NDC</w:t>
      </w:r>
      <w:r>
        <w:rPr>
          <w:rStyle w:val="FootnoteReference"/>
        </w:rPr>
        <w:footnoteReference w:id="65"/>
      </w:r>
      <w:r>
        <w:t xml:space="preserve"> </w:t>
      </w:r>
      <w:r>
        <w:t xml:space="preserve">— that cannot be met without a fundamental transformation of its power sector.</w:t>
      </w:r>
    </w:p>
    <w:p>
      <w:pPr>
        <w:pStyle w:val="BodyText"/>
      </w:pPr>
      <w:r>
        <w:t xml:space="preserve">The third pressure is the technological opportunity that has emerged over the past decade. Solar photovoltaic costs have fallen by approximately 90 per cent since 2010</w:t>
      </w:r>
      <w:r>
        <w:rPr>
          <w:rStyle w:val="FootnoteReference"/>
        </w:rPr>
        <w:footnoteReference w:id="66"/>
      </w:r>
      <w:r>
        <w:t xml:space="preserve">, and lithium-ion battery costs have followed a similar trajectory</w:t>
      </w:r>
      <w:r>
        <w:rPr>
          <w:rStyle w:val="FootnoteReference"/>
        </w:rPr>
        <w:footnoteReference w:id="67"/>
      </w:r>
      <w:r>
        <w:t xml:space="preserve">. For the first time in the history of electrification, renewable energy technologies are cost-competitive with diesel generation even on small, isolated islands — without requiring any subsidy. This technological revolution means that the Maldives no longer faces a trade-off between economic development and environmental responsibility: the cheapest pathway forward is also the cleanest. The question confronting policymakers is therefore not whether to transition, but how fast, by which route, and with what institutional and financing arrangements.</w:t>
      </w:r>
    </w:p>
    <w:bookmarkEnd w:id="68"/>
    <w:bookmarkStart w:id="69" w:name="sec-roadmap"/>
    <w:p>
      <w:pPr>
        <w:pStyle w:val="Heading2"/>
      </w:pPr>
      <w:r>
        <w:t xml:space="preserve">3.3 Alignment with the National Energy Roadmap</w:t>
      </w:r>
    </w:p>
    <w:p>
      <w:pPr>
        <w:pStyle w:val="FirstParagraph"/>
      </w:pPr>
      <w:r>
        <w:t xml:space="preserve">The Government of Maldives has recognised this imperative. The</w:t>
      </w:r>
      <w:r>
        <w:t xml:space="preserve"> </w:t>
      </w:r>
      <w:r>
        <w:rPr>
          <w:b/>
          <w:bCs/>
        </w:rPr>
        <w:t xml:space="preserve">Road Map for the Energy Sector 2024–2033</w:t>
      </w:r>
      <w:r>
        <w:t xml:space="preserve"> </w:t>
      </w:r>
      <w:r>
        <w:t xml:space="preserve">(2024)</w:t>
      </w:r>
      <w:r>
        <w:t xml:space="preserve">, prepared with Asian Development Bank technical support and launched at COP29, sets out a comprehensive national strategy for energy transition. The Roadmap targets 33 per cent renewable energy by 2028 (reflecting the Maldives’ COP28 commitment), identifies 490 MW of solar deployment potential, estimates $1.3 billion in required investment, and outlines 15 flagship interventions spanning utility-scale solar, battery storage, grid modernisation, and institutional reform. This analysis is fully aligned with the Roadmap’s strategic direction. The seven scenarios evaluated in this report provide the rigorous cost-benefit evidence base needed to assess the Roadmap’s interventions, to compare alternative implementation pathways, and to quantify the long-term economic returns of pursuing the Roadmap’s targets at different scales and speeds.</w:t>
      </w:r>
    </w:p>
    <w:bookmarkEnd w:id="69"/>
    <w:bookmarkStart w:id="72" w:name="sec-purpose"/>
    <w:p>
      <w:pPr>
        <w:pStyle w:val="Heading2"/>
      </w:pPr>
      <w:r>
        <w:t xml:space="preserve">3.4 Purpose of This Analysis</w:t>
      </w:r>
    </w:p>
    <w:p>
      <w:pPr>
        <w:pStyle w:val="FirstParagraph"/>
      </w:pPr>
      <w:r>
        <w:t xml:space="preserve">This report applies standard cost-benefit analysis methodology — consistent with</w:t>
      </w:r>
      <w:r>
        <w:t xml:space="preserve"> </w:t>
      </w:r>
      <w:r>
        <w:t xml:space="preserve">Asian Development Bank (2017)</w:t>
      </w:r>
      <w:r>
        <w:t xml:space="preserve"> </w:t>
      </w:r>
      <w:r>
        <w:t xml:space="preserve">and</w:t>
      </w:r>
      <w:r>
        <w:t xml:space="preserve"> </w:t>
      </w:r>
      <w:r>
        <w:t xml:space="preserve">Boardman et al. (2018)</w:t>
      </w:r>
      <w:r>
        <w:t xml:space="preserve"> </w:t>
      </w:r>
      <w:r>
        <w:t xml:space="preserve">— to evaluate seven electricity transition pathways for the Maldives. The analysis is designed to provide decision-makers with a rigorous, transparent, and comprehensive evidence base for comparing fundamentally different energy strategies.</w:t>
      </w:r>
    </w:p>
    <w:p>
      <w:pPr>
        <w:pStyle w:val="BodyText"/>
      </w:pPr>
      <w:r>
        <w:t xml:space="preserve">The analytical framework evaluates each scenario over a 30 -year time horizon from 2026 to 2056, applying a 6 per cent real social discount rate consistent with Asian Development Bank practice for small island developing states. Seven scenarios are assessed, spanning the full technology spectrum from continued diesel dependence through domestic solar-plus-battery systems, inter-island grid connections, submarine cable imports from India, near-shore and floating solar farms, and liquefied natural gas. Beyond direct financial costs and benefits, the analysis incorporates key externalities that a purely private-sector investment appraisal would ignore: carbon emissions are valued using the US EPA Social Cost of Carbon</w:t>
      </w:r>
      <w:r>
        <w:rPr>
          <w:rStyle w:val="FootnoteReference"/>
        </w:rPr>
        <w:footnoteReference w:id="70"/>
      </w:r>
      <w:r>
        <w:t xml:space="preserve">, health damages from diesel combustion-related air pollution are monetised at $40 per MWh following</w:t>
      </w:r>
      <w:r>
        <w:t xml:space="preserve"> </w:t>
      </w:r>
      <w:r>
        <w:t xml:space="preserve">Parry et al. (2014)</w:t>
      </w:r>
      <w:r>
        <w:t xml:space="preserve">, and environmental externalities including noise pollution, fuel spill risk, and biodiversity impacts are included at $10 per MWh</w:t>
      </w:r>
      <w:r>
        <w:rPr>
          <w:rStyle w:val="FootnoteReference"/>
        </w:rPr>
        <w:footnoteReference w:id="71"/>
      </w:r>
      <w:r>
        <w:t xml:space="preserve">.</w:t>
      </w:r>
    </w:p>
    <w:p>
      <w:pPr>
        <w:pStyle w:val="BodyText"/>
      </w:pPr>
      <w:r>
        <w:t xml:space="preserve">The robustness of the findings is tested through an unusually comprehensive suite of sensitivity and uncertainty analyses. A 39-parameter Monte Carlo simulation runs 1,000 iterations with Iman-Conover rank correlations to propagate parametric uncertainty through the entire model. One-way sensitivity analysis identifies the parameters to which results are most sensitive, while switching-value analysis determines how far each parameter must change to reverse the scenario ranking. Multi-horizon analysis (20, 30, and 50 years) and declining discount rate sensitivity (following</w:t>
      </w:r>
      <w:r>
        <w:t xml:space="preserve"> </w:t>
      </w:r>
      <w:r>
        <w:t xml:space="preserve">HM Treasury (2022)</w:t>
      </w:r>
      <w:r>
        <w:t xml:space="preserve"> </w:t>
      </w:r>
      <w:r>
        <w:t xml:space="preserve">methodology, supported by</w:t>
      </w:r>
      <w:r>
        <w:t xml:space="preserve"> </w:t>
      </w:r>
      <w:r>
        <w:t xml:space="preserve">Weitzman (2001)</w:t>
      </w:r>
      <w:r>
        <w:t xml:space="preserve"> </w:t>
      </w:r>
      <w:r>
        <w:t xml:space="preserve">and</w:t>
      </w:r>
      <w:r>
        <w:t xml:space="preserve"> </w:t>
      </w:r>
      <w:r>
        <w:t xml:space="preserve">Drupp et al. (2018)</w:t>
      </w:r>
      <w:r>
        <w:t xml:space="preserve">) test the stability of findings across alternative analytical frameworks.</w:t>
      </w:r>
    </w:p>
    <w:p>
      <w:pPr>
        <w:pStyle w:val="BodyText"/>
      </w:pPr>
      <w:r>
        <w:t xml:space="preserve">The report also extends beyond traditional CBA in two important directions. A distributional analysis, drawing on 4,817 household records from the</w:t>
      </w:r>
      <w:r>
        <w:t xml:space="preserve"> </w:t>
      </w:r>
      <w:r>
        <w:t xml:space="preserve">National Bureau of Statistics, Republic of Maldives (2019)</w:t>
      </w:r>
      <w:r>
        <w:t xml:space="preserve">, examines how the costs and benefits of transition are distributed across income quintiles, gender, and geography — addressing the equity dimension that aggregate efficiency metrics cannot capture. A multi-criteria analysis evaluates scenarios across eight criteria with five alternative weight profiles, providing a framework for incorporating non-monetisable considerations such as implementation feasibility, social equity, and climate resilience.</w:t>
      </w:r>
    </w:p>
    <w:bookmarkEnd w:id="72"/>
    <w:bookmarkStart w:id="79" w:name="sec-geography"/>
    <w:p>
      <w:pPr>
        <w:pStyle w:val="Heading2"/>
      </w:pPr>
      <w:r>
        <w:t xml:space="preserve">3.5 Geographic Context</w:t>
      </w:r>
    </w:p>
    <w:tbl>
      <w:tblPr>
        <w:tblStyle w:val="Table"/>
        <w:tblW w:type="pct" w:w="5000"/>
        <w:tblLayout w:type="fixed"/>
        <w:tblLook w:firstRow="0" w:lastRow="0" w:firstColumn="0" w:lastColumn="0" w:noHBand="0" w:noVBand="0" w:val="0000"/>
      </w:tblPr>
      <w:tblGrid>
        <w:gridCol w:w="7920"/>
      </w:tblGrid>
      <w:tr>
        <w:tc>
          <w:tcPr/>
          <w:bookmarkStart w:id="75" w:name="fig-geography"/>
          <w:tbl>
            <w:tblPr>
              <w:tblStyle w:val="Table"/>
              <w:tblW w:type="pct" w:w="5000"/>
              <w:tblLayout w:type="fixed"/>
              <w:tblLook w:firstRow="0" w:lastRow="0" w:firstColumn="0" w:lastColumn="0" w:noHBand="0" w:noVBand="0" w:val="0000"/>
            </w:tblPr>
            <w:tblGrid>
              <w:gridCol w:w="7920"/>
            </w:tblGrid>
            <w:tr>
              <w:tc>
                <w:tcPr/>
                <w:bookmarkStart w:id="73" w:name="fig-geography-1"/>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(a) The Maldives archipelago spans 900 km north-south across 26 atolls. Each inhabited island operates an independent power system. Greater Malé (inset) concentrates 43% of the population and 57% of electricity demand.</w:t>
                  </w:r>
                </w:p>
                <w:bookmarkEnd w:id="73"/>
              </w:tc>
            </w:tr>
          </w:tbl>
          <w:p>
            <w:pPr>
              <w:jc w:val="center"/>
            </w:pPr>
            <w:r>
              <w:t xml:space="preserve"> </w:t>
            </w:r>
          </w:p>
          <w:tbl>
            <w:tblPr>
              <w:tblStyle w:val="Table"/>
              <w:tblW w:type="pct" w:w="5000"/>
              <w:tblLayout w:type="fixed"/>
              <w:tblLook w:firstRow="0" w:lastRow="0" w:firstColumn="0" w:lastColumn="0" w:noHBand="0" w:noVBand="0" w:val="0000"/>
            </w:tblPr>
            <w:tblGrid>
              <w:gridCol w:w="7920"/>
            </w:tblGrid>
            <w:tr>
              <w:tc>
                <w:tcPr/>
                <w:bookmarkStart w:id="74" w:name="fig-geography-2"/>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(b)</w:t>
                  </w:r>
                </w:p>
                <w:bookmarkEnd w:id="74"/>
              </w:tc>
            </w:tr>
          </w:tbl>
          <w:p>
            <w:pPr>
              <w:jc w:val="center"/>
            </w:pPr>
            <w:pPr>
              <w:jc w:val="start"/>
              <w:spacing w:before="200"/>
              <w:pStyle w:val="ImageCaption"/>
            </w:pPr>
            <w:r>
              <w:t xml:space="preserve">Figure 3.1</w:t>
            </w:r>
          </w:p>
          <w:bookmarkEnd w:id="75"/>
        </w:tc>
      </w:tr>
    </w:tbl>
    <w:p>
      <w:pPr>
        <w:pStyle w:val="BodyText"/>
      </w:pPr>
      <w:r>
        <w:t xml:space="preserve">The map above illustrates the extraordinary geographic challenge confronting Maldivian energy planners. The 26 atolls of the archipelago stretch across nearly 900 kilometres of the Indian Ocean, from Haa Alif in the north to Addu in the south. Each dot represents an inhabited island, with the size of the marker proportional to population. The clustering around Greater Malé is immediately apparent, as is the wide dispersion of the outer islands, many of which are separated from their nearest neighbours by 10 to 50 kilometres of open ocean.</w:t>
      </w:r>
    </w:p>
    <w:p>
      <w:pPr>
        <w:pStyle w:val="BodyText"/>
      </w:pPr>
      <w:r>
        <w:t xml:space="preserve">The geographic distribution of electricity demand is profoundly unequal, and this inequality is the central challenge in designing an effective transition strategy. Greater Malé — comprising the islands of Malé, Hulhumalé, and Villimalé — concentrates approximately 43 per cent of the national population</w:t>
      </w:r>
      <w:r>
        <w:rPr>
          <w:rStyle w:val="FootnoteReference"/>
        </w:rPr>
        <w:footnoteReference w:id="76"/>
      </w:r>
      <w:r>
        <w:t xml:space="preserve"> </w:t>
      </w:r>
      <w:r>
        <w:t xml:space="preserve">and 57 per cent of total electricity demand</w:t>
      </w:r>
      <w:r>
        <w:rPr>
          <w:rStyle w:val="FootnoteReference"/>
        </w:rPr>
        <w:footnoteReference w:id="77"/>
      </w:r>
      <w:r>
        <w:t xml:space="preserve">, served by STELCO’s centralised power station network with installed capacity exceeding 100 MW. The remaining 57 per cent of the population is distributed across 176 inhabited outer islands, accounting for 43 per cent of national demand but served by isolated diesel micro-grids that are individually small, expensive to operate, and difficult to maintain. A third important component of the energy landscape — the 170-plus privately operated resort islands — consumes an estimated 1,050 GWh per year of diesel-generated electricity</w:t>
      </w:r>
      <w:r>
        <w:rPr>
          <w:rStyle w:val="FootnoteReference"/>
        </w:rPr>
        <w:footnoteReference w:id="78"/>
      </w:r>
      <w:r>
        <w:t xml:space="preserve"> </w:t>
      </w:r>
      <w:r>
        <w:t xml:space="preserve">but operates entirely off-grid and outside the scope of the public utility cost-benefit analysis presented here.</w:t>
      </w:r>
    </w:p>
    <w:p>
      <w:pPr>
        <w:pStyle w:val="BodyText"/>
      </w:pPr>
      <w:r>
        <w:t xml:space="preserve">This three-way division shapes every scenario evaluated in this report. Solutions appropriate for Greater Malé — submarine cables, large-scale LNG terminals, near-shore solar farms on reclaimed or uninhabited islands — are fundamentally different in scale, technology, and institutional requirements from solutions for the outer islands, where rooftop and ground-mounted solar panels with battery storage deployed on each individual island represent the most practical and cost-effective approach. Any credible transition strategy must therefore address both segments simultaneously, recognising that a one-size-fits-all approach cannot work in such a geographically fragmented system.</w:t>
      </w:r>
    </w:p>
    <w:bookmarkEnd w:id="79"/>
    <w:bookmarkStart w:id="83" w:name="report-structure"/>
    <w:p>
      <w:pPr>
        <w:pStyle w:val="Heading2"/>
      </w:pPr>
      <w:r>
        <w:t xml:space="preserve">3.6 Report Structure</w:t>
      </w:r>
    </w:p>
    <w:p>
      <w:pPr>
        <w:pStyle w:val="FirstParagraph"/>
      </w:pPr>
      <w:r>
        <w:t xml:space="preserve">This report is organised to guide the reader from analytical framework through findings to policy recommendations.</w:t>
      </w:r>
      <w:r>
        <w:t xml:space="preserve"> </w:t>
      </w:r>
      <w:hyperlink w:anchor="sec-methodology">
        <w:r>
          <w:rPr>
            <w:rStyle w:val="Hyperlink"/>
          </w:rPr>
          <w:t xml:space="preserve">Section 4.1</w:t>
        </w:r>
      </w:hyperlink>
      <w:r>
        <w:t xml:space="preserve"> </w:t>
      </w:r>
      <w:r>
        <w:t xml:space="preserve">presents the cost-benefit analysis framework and key assumptions, explaining how costs, benefits, and externalities are quantified and discounted.</w:t>
      </w:r>
      <w:r>
        <w:t xml:space="preserve"> </w:t>
      </w:r>
      <w:hyperlink w:anchor="sec-scenarios">
        <w:r>
          <w:rPr>
            <w:rStyle w:val="Hyperlink"/>
          </w:rPr>
          <w:t xml:space="preserve">Chapter 6</w:t>
        </w:r>
      </w:hyperlink>
      <w:r>
        <w:t xml:space="preserve"> </w:t>
      </w:r>
      <w:r>
        <w:t xml:space="preserve">describes each of the seven pathways in detail, including their technology mixes, implementation timelines, and underlying assumptions.</w:t>
      </w:r>
      <w:r>
        <w:t xml:space="preserve"> </w:t>
      </w:r>
      <w:hyperlink w:anchor="sec-results">
        <w:r>
          <w:rPr>
            <w:rStyle w:val="Hyperlink"/>
          </w:rPr>
          <w:t xml:space="preserve">Chapter 8</w:t>
        </w:r>
      </w:hyperlink>
      <w:r>
        <w:t xml:space="preserve"> </w:t>
      </w:r>
      <w:r>
        <w:t xml:space="preserve">presents the core economic findings, comparing scenarios on cost, LCOE, emissions, and economic return metrics.</w:t>
      </w:r>
      <w:r>
        <w:t xml:space="preserve"> </w:t>
      </w:r>
      <w:hyperlink w:anchor="sec-sensitivity">
        <w:r>
          <w:rPr>
            <w:rStyle w:val="Hyperlink"/>
          </w:rPr>
          <w:t xml:space="preserve">Chapter 10</w:t>
        </w:r>
      </w:hyperlink>
      <w:r>
        <w:t xml:space="preserve"> </w:t>
      </w:r>
      <w:r>
        <w:t xml:space="preserve">tests the robustness of these findings through comprehensive sensitivity, Monte Carlo, switching-value, and multi-horizon analyses.</w:t>
      </w:r>
      <w:r>
        <w:t xml:space="preserve"> </w:t>
      </w:r>
      <w:hyperlink w:anchor="sec-mca">
        <w:r>
          <w:rPr>
            <w:rStyle w:val="Hyperlink"/>
          </w:rPr>
          <w:t xml:space="preserve">Chapter 12</w:t>
        </w:r>
      </w:hyperlink>
      <w:r>
        <w:t xml:space="preserve"> </w:t>
      </w:r>
      <w:r>
        <w:t xml:space="preserve">provides the multi-criteria analysis, extending the evaluation beyond economic efficiency to encompass environmental, social, and institutional dimensions.</w:t>
      </w:r>
      <w:r>
        <w:t xml:space="preserve"> </w:t>
      </w:r>
      <w:hyperlink w:anchor="sec-distributional">
        <w:r>
          <w:rPr>
            <w:rStyle w:val="Hyperlink"/>
          </w:rPr>
          <w:t xml:space="preserve">Chapter 14</w:t>
        </w:r>
      </w:hyperlink>
      <w:r>
        <w:t xml:space="preserve"> </w:t>
      </w:r>
      <w:r>
        <w:t xml:space="preserve">examines the equity implications of transition, using household survey data to assess who bears the costs and who captures the benefits.</w:t>
      </w:r>
      <w:r>
        <w:t xml:space="preserve"> </w:t>
      </w:r>
      <w:hyperlink w:anchor="sec-financing">
        <w:r>
          <w:rPr>
            <w:rStyle w:val="Hyperlink"/>
          </w:rPr>
          <w:t xml:space="preserve">Chapter 16</w:t>
        </w:r>
      </w:hyperlink>
      <w:r>
        <w:t xml:space="preserve"> </w:t>
      </w:r>
      <w:r>
        <w:t xml:space="preserve">assesses the investment requirements and available concessional financing structures.</w:t>
      </w:r>
      <w:r>
        <w:t xml:space="preserve"> </w:t>
      </w:r>
      <w:hyperlink w:anchor="sec-implementation">
        <w:r>
          <w:rPr>
            <w:rStyle w:val="Hyperlink"/>
          </w:rPr>
          <w:t xml:space="preserve">Chapter 18</w:t>
        </w:r>
      </w:hyperlink>
      <w:r>
        <w:t xml:space="preserve"> </w:t>
      </w:r>
      <w:r>
        <w:t xml:space="preserve">outlines a phased implementation roadmap with key decision points and risk mitigation strategies.</w:t>
      </w:r>
      <w:r>
        <w:t xml:space="preserve"> </w:t>
      </w:r>
      <w:hyperlink w:anchor="sec-conclusions">
        <w:r>
          <w:rPr>
            <w:rStyle w:val="Hyperlink"/>
          </w:rPr>
          <w:t xml:space="preserve">Chapter 20</w:t>
        </w:r>
      </w:hyperlink>
      <w:r>
        <w:t xml:space="preserve"> </w:t>
      </w:r>
      <w:r>
        <w:t xml:space="preserve">synthesises the findings into actionable policy recommendations.</w:t>
      </w:r>
    </w:p>
    <w:p>
      <w:pPr>
        <w:pStyle w:val="BodyText"/>
      </w:pPr>
      <w:r>
        <w:t xml:space="preserve">For readers seeking technical detail, the full mathematical specification of the model is presented in</w:t>
      </w:r>
      <w:r>
        <w:t xml:space="preserve"> </w:t>
      </w:r>
      <w:hyperlink r:id="rId80">
        <w:r>
          <w:rPr>
            <w:rStyle w:val="Hyperlink"/>
          </w:rPr>
          <w:t xml:space="preserve">Appendix A</w:t>
        </w:r>
      </w:hyperlink>
      <w:r>
        <w:t xml:space="preserve">, complete parameter documentation with sources and sensitivity ranges is in</w:t>
      </w:r>
      <w:r>
        <w:t xml:space="preserve"> </w:t>
      </w:r>
      <w:hyperlink r:id="rId81">
        <w:r>
          <w:rPr>
            <w:rStyle w:val="Hyperlink"/>
          </w:rPr>
          <w:t xml:space="preserve">Appendix B</w:t>
        </w:r>
      </w:hyperlink>
      <w:r>
        <w:t xml:space="preserve">, and supplementary analyses covering endogenous learning curves, climate damage scenarios, transport electrification, real options theory, and international benchmarking are in</w:t>
      </w:r>
      <w:r>
        <w:t xml:space="preserve"> </w:t>
      </w:r>
      <w:hyperlink r:id="rId82">
        <w:r>
          <w:rPr>
            <w:rStyle w:val="Hyperlink"/>
          </w:rPr>
          <w:t xml:space="preserve">Appendix C</w:t>
        </w:r>
      </w:hyperlink>
      <w:r>
        <w:t xml:space="preserve">.</w:t>
      </w:r>
    </w:p>
    <w:bookmarkEnd w:id="83"/>
    <w:bookmarkEnd w:id="84"/>
    <w:bookmarkStart w:id="95" w:name="methodology"/>
    <w:p>
      <w:pPr>
        <w:pStyle w:val="Heading1"/>
      </w:pPr>
      <w:r>
        <w:t xml:space="preserve">4. Methodology</w:t>
      </w:r>
    </w:p>
    <w:p>
      <w:pPr>
        <w:pStyle w:val="FirstParagraph"/>
      </w:pPr>
      <w:r>
        <w:t xml:space="preserve">This chapter presents the analytical framework used to evaluate and compare seven energy transition pathways for the Maldives. The framework follows established international practice for public investment appraisal, extended to capture the externalities and distributional concerns that are especially relevant in a small island developing state context. For the full mathematical formulation of every equation in the model, see</w:t>
      </w:r>
      <w:r>
        <w:t xml:space="preserve"> </w:t>
      </w:r>
      <w:hyperlink r:id="rId80">
        <w:r>
          <w:rPr>
            <w:rStyle w:val="Hyperlink"/>
          </w:rPr>
          <w:t xml:space="preserve">Appendix A</w:t>
        </w:r>
      </w:hyperlink>
      <w:r>
        <w:t xml:space="preserve">. For the complete parameter table with sources and sensitivity ranges, see</w:t>
      </w:r>
      <w:r>
        <w:t xml:space="preserve"> </w:t>
      </w:r>
      <w:hyperlink r:id="rId81">
        <w:r>
          <w:rPr>
            <w:rStyle w:val="Hyperlink"/>
          </w:rPr>
          <w:t xml:space="preserve">Appendix B</w:t>
        </w:r>
      </w:hyperlink>
      <w:r>
        <w:t xml:space="preserve">.</w:t>
      </w:r>
    </w:p>
    <w:bookmarkStart w:id="86" w:name="sec-methodology"/>
    <w:p>
      <w:pPr>
        <w:pStyle w:val="Heading2"/>
      </w:pPr>
      <w:r>
        <w:t xml:space="preserve">4.1 CBA Framework</w:t>
      </w:r>
    </w:p>
    <w:p>
      <w:pPr>
        <w:pStyle w:val="FirstParagraph"/>
      </w:pPr>
      <w:r>
        <w:t xml:space="preserve">The analysis follows the standard social cost-benefit analysis framework as prescribed by</w:t>
      </w:r>
      <w:r>
        <w:t xml:space="preserve"> </w:t>
      </w:r>
      <w:r>
        <w:t xml:space="preserve">Asian Development Bank (2017)</w:t>
      </w:r>
      <w:r>
        <w:t xml:space="preserve"> </w:t>
      </w:r>
      <w:r>
        <w:t xml:space="preserve">and the canonical textbook treatment of</w:t>
      </w:r>
      <w:r>
        <w:t xml:space="preserve"> </w:t>
      </w:r>
      <w:r>
        <w:t xml:space="preserve">Boardman et al. (2018)</w:t>
      </w:r>
      <w:r>
        <w:t xml:space="preserve">. Social CBA differs from private financial analysis in several important respects: it values costs and benefits from the perspective of society as a whole rather than any individual investor, it includes externalities (such as carbon emissions, health damages, and environmental impacts) that would be ignored in a purely commercial appraisal, and it uses a social discount rate that reflects society’s collective time preference rather than the market cost of capital.</w:t>
      </w:r>
    </w:p>
    <w:p>
      <w:pPr>
        <w:pStyle w:val="BodyText"/>
      </w:pPr>
      <w:r>
        <w:t xml:space="preserve">For each of the seven scenarios, the model computes the net present value of all costs and benefits over the analysis horizon:</w:t>
      </w:r>
    </w:p>
    <w:p>
      <w:pPr>
        <w:pStyle w:val="BodyText"/>
      </w:pPr>
      <m:oMathPara>
        <m:oMathParaPr>
          <m:jc m:val="center"/>
        </m:oMathParaPr>
        <m:oMath>
          <m:r>
            <m:t>N</m:t>
          </m:r>
          <m:r>
            <m:t>P</m:t>
          </m:r>
          <m:sSub>
            <m:e>
              <m:r>
                <m:t>V</m:t>
              </m:r>
            </m:e>
            <m:sub>
              <m:r>
                <m:t>s</m:t>
              </m:r>
            </m:sub>
          </m:sSub>
          <m:r>
            <m:rPr>
              <m:sty m:val="p"/>
            </m:rPr>
            <m:t>=</m:t>
          </m:r>
          <m:nary>
            <m:naryPr>
              <m:chr m:val="∑"/>
              <m:limLoc m:val="undOvr"/>
              <m:subHide m:val="off"/>
              <m:supHide m:val="off"/>
            </m:naryPr>
            <m:sub>
              <m:r>
                <m:t>t</m:t>
              </m:r>
              <m:r>
                <m:rPr>
                  <m:sty m:val="p"/>
                </m:rPr>
                <m:t>=</m:t>
              </m:r>
              <m:r>
                <m:t>0</m:t>
              </m:r>
            </m:sub>
            <m:sup>
              <m:r>
                <m:t>T</m:t>
              </m:r>
            </m:sup>
            <m:e>
              <m:f>
                <m:fPr>
                  <m:type m:val="bar"/>
                </m:fPr>
                <m:num>
                  <m:sSub>
                    <m:e>
                      <m:r>
                        <m:t>B</m:t>
                      </m:r>
                    </m:e>
                    <m:sub>
                      <m:r>
                        <m:t>s</m:t>
                      </m:r>
                      <m:r>
                        <m:rPr>
                          <m:sty m:val="p"/>
                        </m:rPr>
                        <m:t>,</m:t>
                      </m:r>
                      <m:r>
                        <m:t>t</m:t>
                      </m:r>
                    </m:sub>
                  </m:sSub>
                  <m:r>
                    <m:rPr>
                      <m:sty m:val="p"/>
                    </m:rPr>
                    <m:t>−</m:t>
                  </m:r>
                  <m:sSub>
                    <m:e>
                      <m:r>
                        <m:t>C</m:t>
                      </m:r>
                    </m:e>
                    <m:sub>
                      <m:r>
                        <m:t>s</m:t>
                      </m:r>
                      <m:r>
                        <m:rPr>
                          <m:sty m:val="p"/>
                        </m:rPr>
                        <m:t>,</m:t>
                      </m:r>
                      <m:r>
                        <m:t>t</m:t>
                      </m:r>
                    </m:sub>
                  </m:sSub>
                </m:num>
                <m:den>
                  <m:sSup>
                    <m:e>
                      <m:d>
                        <m:dPr>
                          <m:begChr m:val="("/>
                          <m:sepChr m:val=""/>
                          <m:endChr m:val=")"/>
                          <m:grow/>
                        </m:dPr>
                        <m:e>
                          <m:r>
                            <m:t>1</m:t>
                          </m:r>
                          <m:r>
                            <m:rPr>
                              <m:sty m:val="p"/>
                            </m:rPr>
                            <m:t>+</m:t>
                          </m:r>
                          <m:r>
                            <m:t>r</m:t>
                          </m:r>
                        </m:e>
                      </m:d>
                    </m:e>
                    <m:sup>
                      <m:r>
                        <m:t>t</m:t>
                      </m:r>
                    </m:sup>
                  </m:sSup>
                </m:den>
              </m:f>
            </m:e>
          </m:nary>
        </m:oMath>
      </m:oMathPara>
    </w:p>
    <w:p>
      <w:pPr>
        <w:pStyle w:val="FirstParagraph"/>
      </w:pPr>
      <w:r>
        <w:t xml:space="preserve">where</w:t>
      </w:r>
      <w:r>
        <w:t xml:space="preserve"> </w:t>
      </w:r>
      <m:oMath>
        <m:sSub>
          <m:e>
            <m:r>
              <m:t>B</m:t>
            </m:r>
          </m:e>
          <m:sub>
            <m:r>
              <m:t>s</m:t>
            </m:r>
            <m:r>
              <m:rPr>
                <m:sty m:val="p"/>
              </m:rPr>
              <m:t>,</m:t>
            </m:r>
            <m:r>
              <m:t>t</m:t>
            </m:r>
          </m:sub>
        </m:sSub>
      </m:oMath>
      <w:r>
        <w:t xml:space="preserve"> </w:t>
      </w:r>
      <w:r>
        <w:t xml:space="preserve">represents the total benefits (fuel savings, emission reductions, health improvements, reliability gains, and environmental benefits) and</w:t>
      </w:r>
      <w:r>
        <w:t xml:space="preserve"> </w:t>
      </w:r>
      <m:oMath>
        <m:sSub>
          <m:e>
            <m:r>
              <m:t>C</m:t>
            </m:r>
          </m:e>
          <m:sub>
            <m:r>
              <m:t>s</m:t>
            </m:r>
            <m:r>
              <m:rPr>
                <m:sty m:val="p"/>
              </m:rPr>
              <m:t>,</m:t>
            </m:r>
            <m:r>
              <m:t>t</m:t>
            </m:r>
          </m:sub>
        </m:sSub>
      </m:oMath>
      <w:r>
        <w:t xml:space="preserve"> </w:t>
      </w:r>
      <w:r>
        <w:t xml:space="preserve">represents the total costs (capital expenditure, operating expenditure, fuel costs, and power purchase agreement imports) of scenario</w:t>
      </w:r>
      <w:r>
        <w:t xml:space="preserve"> </w:t>
      </w:r>
      <m:oMath>
        <m:r>
          <m:t>s</m:t>
        </m:r>
      </m:oMath>
      <w:r>
        <w:t xml:space="preserve"> </w:t>
      </w:r>
      <w:r>
        <w:t xml:space="preserve">in year</w:t>
      </w:r>
      <w:r>
        <w:t xml:space="preserve"> </w:t>
      </w:r>
      <m:oMath>
        <m:r>
          <m:t>t</m:t>
        </m:r>
      </m:oMath>
      <w:r>
        <w:t xml:space="preserve">, discounted at the social rate</w:t>
      </w:r>
      <w:r>
        <w:t xml:space="preserve"> </w:t>
      </w:r>
      <m:oMath>
        <m:r>
          <m:t>r</m:t>
        </m:r>
      </m:oMath>
      <w:r>
        <w:t xml:space="preserve"> </w:t>
      </w:r>
      <w:r>
        <w:t xml:space="preserve">= 6 per cent.</w:t>
      </w:r>
    </w:p>
    <w:p>
      <w:pPr>
        <w:pStyle w:val="BodyText"/>
      </w:pPr>
      <w:r>
        <w:t xml:space="preserve">The decision criterion is the incremental analysis, which compares each alternative scenario against the diesel business-as-usual counterfactual:</w:t>
      </w:r>
    </w:p>
    <w:p>
      <w:pPr>
        <w:pStyle w:val="BodyText"/>
      </w:pPr>
      <m:oMathPara>
        <m:oMathParaPr>
          <m:jc m:val="center"/>
        </m:oMathParaPr>
        <m:oMath>
          <m:r>
            <m:t>Δ</m:t>
          </m:r>
          <m:r>
            <m:t>N</m:t>
          </m:r>
          <m:r>
            <m:t>P</m:t>
          </m:r>
          <m:sSub>
            <m:e>
              <m:r>
                <m:t>V</m:t>
              </m:r>
            </m:e>
            <m:sub>
              <m:r>
                <m:t>s</m:t>
              </m:r>
            </m:sub>
          </m:sSub>
          <m:r>
            <m:rPr>
              <m:sty m:val="p"/>
            </m:rPr>
            <m:t>=</m:t>
          </m:r>
          <m:r>
            <m:t>N</m:t>
          </m:r>
          <m:r>
            <m:t>P</m:t>
          </m:r>
          <m:sSub>
            <m:e>
              <m:r>
                <m:t>V</m:t>
              </m:r>
            </m:e>
            <m:sub>
              <m:r>
                <m:t>B</m:t>
              </m:r>
              <m:r>
                <m:t>A</m:t>
              </m:r>
              <m:r>
                <m:t>U</m:t>
              </m:r>
            </m:sub>
          </m:sSub>
          <m:r>
            <m:rPr>
              <m:sty m:val="p"/>
            </m:rPr>
            <m:t>−</m:t>
          </m:r>
          <m:r>
            <m:t>N</m:t>
          </m:r>
          <m:r>
            <m:t>P</m:t>
          </m:r>
          <m:sSub>
            <m:e>
              <m:r>
                <m:t>V</m:t>
              </m:r>
            </m:e>
            <m:sub>
              <m:r>
                <m:t>s</m:t>
              </m:r>
            </m:sub>
          </m:sSub>
        </m:oMath>
      </m:oMathPara>
    </w:p>
    <w:p>
      <w:pPr>
        <w:pStyle w:val="FirstParagraph"/>
      </w:pPr>
      <w:r>
        <w:t xml:space="preserve">A positive incremental NPV indicates that the alternative pathway generates net savings relative to continued diesel dependence. This formulation follows standard practice in public investment appraisal, where the counterfactual (what happens without the project) must be explicitly defined to avoid counting benefits that would have occurred regardless.</w:t>
      </w:r>
    </w:p>
    <w:bookmarkStart w:id="85" w:name="key-metrics"/>
    <w:p>
      <w:pPr>
        <w:pStyle w:val="Heading3"/>
      </w:pPr>
      <w:r>
        <w:t xml:space="preserve">4.1.1 Key Metrics</w:t>
      </w:r>
    </w:p>
    <w:p>
      <w:pPr>
        <w:pStyle w:val="FirstParagraph"/>
      </w:pPr>
      <w:r>
        <w:t xml:space="preserve">The analysis reports four complementary economic performance metrics, each of which captures a different aspect of a scenario’s attractiveness. The benefit-cost ratio (BCR) divides total discounted benefits by total additional discounted costs, with values above 1.0 indicating that the project generates more value than it costs. The internal rate of return (IRR) identifies the discount rate at which the net present value of incremental cash flows equals zero, providing a rate-of-return measure that can be compared against the country’s opportunity cost of capital. The levelised cost of electricity (LCOE) divides the present value of all lifetime costs by the present value of total electricity generation, yielding a per-unit cost metric that allows direct comparison across technologies and scenarios. The payback period identifies the year in which cumulative discounted savings first exceed cumulative discounted costs, indicating how quickly the transition investment begins generating net returns.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Formula</w:t>
            </w:r>
          </w:p>
        </w:tc>
        <w:tc>
          <w:tcPr/>
          <w:p>
            <w:pPr>
              <w:pStyle w:val="Compact"/>
            </w:pPr>
            <w:r>
              <w:t xml:space="preserve">Interpretation</w:t>
            </w:r>
          </w:p>
        </w:tc>
      </w:tr>
      <w:tr>
        <w:tc>
          <w:tcPr/>
          <w:p>
            <w:pPr>
              <w:pStyle w:val="Compact"/>
            </w:pPr>
            <w:r>
              <w:rPr>
                <w:b/>
                <w:bCs/>
              </w:rPr>
              <w:t xml:space="preserve">BCR</w:t>
            </w:r>
          </w:p>
        </w:tc>
        <w:tc>
          <w:tcPr/>
          <w:p>
            <w:pPr>
              <w:pStyle w:val="Compact"/>
            </w:pPr>
            <w:r>
              <w:t xml:space="preserve">Total benefits ÷ Total additional costs</w:t>
            </w:r>
          </w:p>
        </w:tc>
        <w:tc>
          <w:tcPr/>
          <w:p>
            <w:pPr>
              <w:pStyle w:val="Compact"/>
            </w:pPr>
            <w:r>
              <w:t xml:space="preserve">Values &gt; 1.0 indicate net positive returns</w:t>
            </w:r>
          </w:p>
        </w:tc>
      </w:tr>
      <w:tr>
        <w:tc>
          <w:tcPr/>
          <w:p>
            <w:pPr>
              <w:pStyle w:val="Compact"/>
            </w:pPr>
            <w:r>
              <w:rPr>
                <w:b/>
                <w:bCs/>
              </w:rPr>
              <w:t xml:space="preserve">IRR</w:t>
            </w:r>
          </w:p>
        </w:tc>
        <w:tc>
          <w:tcPr/>
          <w:p>
            <w:pPr>
              <w:pStyle w:val="Compact"/>
            </w:pPr>
            <w:r>
              <w:t xml:space="preserve">Rate</w:t>
            </w:r>
            <w:r>
              <w:t xml:space="preserve"> </w:t>
            </w:r>
            <m:oMath>
              <m:sSup>
                <m:e>
                  <m:r>
                    <m:t>r</m:t>
                  </m:r>
                </m:e>
                <m:sup>
                  <m:r>
                    <m:rPr>
                      <m:sty m:val="p"/>
                    </m:rPr>
                    <m:t>*</m:t>
                  </m:r>
                </m:sup>
              </m:sSup>
            </m:oMath>
            <w:r>
              <w:t xml:space="preserve"> </w:t>
            </w:r>
            <w:r>
              <w:t xml:space="preserve">where</w:t>
            </w:r>
            <w:r>
              <w:t xml:space="preserve"> </w:t>
            </w:r>
            <m:oMath>
              <m:r>
                <m:t>N</m:t>
              </m:r>
              <m:r>
                <m:t>P</m:t>
              </m:r>
              <m:r>
                <m:t>V</m:t>
              </m:r>
              <m:r>
                <m:rPr>
                  <m:sty m:val="p"/>
                </m:rPr>
                <m:t>=</m:t>
              </m:r>
              <m:r>
                <m:t>0</m:t>
              </m:r>
            </m:oMath>
          </w:p>
        </w:tc>
        <w:tc>
          <w:tcPr/>
          <w:p>
            <w:pPr>
              <w:pStyle w:val="Compact"/>
            </w:pPr>
            <w:r>
              <w:t xml:space="preserve">Higher is better; compare to hurdle rate</w:t>
            </w:r>
          </w:p>
        </w:tc>
      </w:tr>
      <w:tr>
        <w:tc>
          <w:tcPr/>
          <w:p>
            <w:pPr>
              <w:pStyle w:val="Compact"/>
            </w:pPr>
            <w:r>
              <w:rPr>
                <w:b/>
                <w:bCs/>
              </w:rPr>
              <w:t xml:space="preserve">LCOE</w:t>
            </w:r>
          </w:p>
        </w:tc>
        <w:tc>
          <w:tcPr/>
          <w:p>
            <w:pPr>
              <w:pStyle w:val="Compact"/>
            </w:pPr>
            <w:r>
              <w:t xml:space="preserve">PV(costs) ÷ PV(generation)</w:t>
            </w:r>
          </w:p>
        </w:tc>
        <w:tc>
          <w:tcPr/>
          <w:p>
            <w:pPr>
              <w:pStyle w:val="Compact"/>
            </w:pPr>
            <w:r>
              <w:t xml:space="preserve">Levelised unit cost in $/kWh</w:t>
            </w:r>
          </w:p>
        </w:tc>
      </w:tr>
      <w:tr>
        <w:tc>
          <w:tcPr/>
          <w:p>
            <w:pPr>
              <w:pStyle w:val="Compact"/>
            </w:pPr>
            <w:r>
              <w:rPr>
                <w:b/>
                <w:bCs/>
              </w:rPr>
              <w:t xml:space="preserve">Payback</w:t>
            </w:r>
          </w:p>
        </w:tc>
        <w:tc>
          <w:tcPr/>
          <w:p>
            <w:pPr>
              <w:pStyle w:val="Compact"/>
            </w:pPr>
            <w:r>
              <w:t xml:space="preserve">Year when cumulative savings turn positive</w:t>
            </w:r>
          </w:p>
        </w:tc>
        <w:tc>
          <w:tcPr/>
          <w:p>
            <w:pPr>
              <w:pStyle w:val="Compact"/>
            </w:pPr>
            <w:r>
              <w:t xml:space="preserve">Shorter is better</w:t>
            </w:r>
          </w:p>
        </w:tc>
      </w:tr>
    </w:tbl>
    <w:p>
      <w:pPr>
        <w:pStyle w:val="BodyText"/>
      </w:pPr>
      <w:r>
        <w:t xml:space="preserve">These four metrics provide complementary perspectives on the same underlying economics. The NPV and BCR are the primary decision criteria recommended by</w:t>
      </w:r>
      <w:r>
        <w:t xml:space="preserve"> </w:t>
      </w:r>
      <w:r>
        <w:t xml:space="preserve">Asian Development Bank (2017)</w:t>
      </w:r>
      <w:r>
        <w:t xml:space="preserve"> </w:t>
      </w:r>
      <w:r>
        <w:t xml:space="preserve">for public investment decisions, while the IRR and payback period are useful secondary indicators that speak to different stakeholder concerns. A high BCR indicates strong value for money, a high IRR indicates robustness to discount rate assumptions, and a short payback period indicates rapid fiscal relief — each of which may resonate differently with finance ministries, development partners, and political decision-makers.</w:t>
      </w:r>
    </w:p>
    <w:bookmarkEnd w:id="85"/>
    <w:bookmarkEnd w:id="86"/>
    <w:bookmarkStart w:id="90" w:name="benefit-streams"/>
    <w:p>
      <w:pPr>
        <w:pStyle w:val="Heading2"/>
      </w:pPr>
      <w:r>
        <w:t xml:space="preserve">4.2 Benefit Streams</w:t>
      </w:r>
    </w:p>
    <w:p>
      <w:pPr>
        <w:pStyle w:val="FirstParagraph"/>
      </w:pPr>
      <w:r>
        <w:t xml:space="preserve">Five distinct benefit streams are quantified for each alternative scenario relative to the diesel business-as-usual counterfactual. Each stream represents a real economic gain that society would forgo by continuing with the status quo.</w:t>
      </w:r>
    </w:p>
    <w:p>
      <w:pPr>
        <w:pStyle w:val="BodyText"/>
      </w:pPr>
      <w:r>
        <w:t xml:space="preserve">The first and largest benefit stream is fuel cost savings. Every kilowatt-hour generated from solar, wind, or imported electricity via submarine cable displaces diesel fuel that would otherwise need to be purchased on international markets, shipped to the Maldives, distributed to individual islands, and combusted in generators. Diesel fuel is projected to cost $0.85 per litre in 2026</w:t>
      </w:r>
      <w:r>
        <w:rPr>
          <w:rStyle w:val="FootnoteReference"/>
        </w:rPr>
        <w:footnoteReference w:id="87"/>
      </w:r>
      <w:r>
        <w:t xml:space="preserve">, escalating at 2 per cent per year in real terms. For scenarios that achieve high renewable energy penetration, the cumulative fuel savings over 30 years run into the billions of dollars.</w:t>
      </w:r>
    </w:p>
    <w:p>
      <w:pPr>
        <w:pStyle w:val="BodyText"/>
      </w:pPr>
      <w:r>
        <w:t xml:space="preserve">The second benefit stream captures the economic value of avoided greenhouse gas emissions. Each tonne of CO₂ not emitted represents a reduction in the global damages caused by climate change, valued using the US Environmental Protection Agency’s Social Cost of Carbon</w:t>
      </w:r>
      <w:r>
        <w:t xml:space="preserve"> </w:t>
      </w:r>
      <w:r>
        <w:t xml:space="preserve">(US Environmental Protection Agency, 2023)</w:t>
      </w:r>
      <w:r>
        <w:t xml:space="preserve">, which stands at approximately $190 per tonne in 2026 and grows at 2 per cent per year in real terms as cumulative atmospheric concentrations increase. While the Maldives’ emissions are modest in global terms, the SCC provides a theoretically grounded and policy-relevant way to monetise the climate benefit of transition.</w:t>
      </w:r>
    </w:p>
    <w:p>
      <w:pPr>
        <w:pStyle w:val="BodyText"/>
      </w:pPr>
      <w:r>
        <w:t xml:space="preserve">The third benefit stream quantifies the health co-benefits of reducing diesel combustion. Diesel generators emit particulate matter (PM₂.₅), nitrogen oxides (NOₓ), sulphur dioxide (SO₂), and other pollutants that cause respiratory disease, cardiovascular illness, and premature mortality, particularly in communities living near powerhouses. Following the methodology of</w:t>
      </w:r>
      <w:r>
        <w:t xml:space="preserve"> </w:t>
      </w:r>
      <w:r>
        <w:t xml:space="preserve">Parry et al. (2014)</w:t>
      </w:r>
      <w:r>
        <w:t xml:space="preserve">, these health damages are valued at $40 per MWh of diesel generation avoided, reflecting the estimated cost of illness, lost productivity, and mortality risk attributable to diesel exhaust in developing-country settings.</w:t>
      </w:r>
    </w:p>
    <w:p>
      <w:pPr>
        <w:pStyle w:val="BodyText"/>
      </w:pPr>
      <w:r>
        <w:t xml:space="preserve">The fourth benefit stream — reliability benefits — captures the economic value of reduced power outages. Small diesel systems on outer islands experience frequent breakdowns due to ageing equipment, fuel supply disruptions, and limited maintenance capacity. The System Average Interruption Duration Index (SAIDI) measures the average duration of outages experienced by customers, and each hour of lost supply is valued at $5 per kWh of unserved energy</w:t>
      </w:r>
      <w:r>
        <w:rPr>
          <w:rStyle w:val="FootnoteReference"/>
        </w:rPr>
        <w:footnoteReference w:id="88"/>
      </w:r>
      <w:r>
        <w:t xml:space="preserve">, reflecting the economic cost of disrupted commercial activity, spoiled goods, and household inconvenience.</w:t>
      </w:r>
    </w:p>
    <w:p>
      <w:pPr>
        <w:pStyle w:val="BodyText"/>
      </w:pPr>
      <w:r>
        <w:t xml:space="preserve">The fifth benefit stream encompasses broader environmental externalities beyond carbon emissions. Diesel generation imposes costs that are not captured in fuel prices: noise pollution from generators operating near residential areas (valued at $5 per MWh), the risk of fuel spills from storage, handling, and transport to remote islands ($3 per MWh), and biodiversity impacts from fuel-related marine contamination and infrastructure footprint ($2 per MWh). These values, totalling $10 per MWh, are conservative estimates drawn from the environmental economics literature and applied only to the diesel generation that is displaced by the transition</w:t>
      </w:r>
      <w:r>
        <w:rPr>
          <w:rStyle w:val="FootnoteReference"/>
        </w:rPr>
        <w:footnoteReference w:id="89"/>
      </w:r>
      <w:r>
        <w:t xml:space="preserve">.</w:t>
      </w:r>
    </w:p>
    <w:bookmarkEnd w:id="90"/>
    <w:bookmarkStart w:id="91" w:name="discount-rate"/>
    <w:p>
      <w:pPr>
        <w:pStyle w:val="Heading2"/>
      </w:pPr>
      <w:r>
        <w:t xml:space="preserve">4.3 Discount Rate</w:t>
      </w:r>
    </w:p>
    <w:p>
      <w:pPr>
        <w:pStyle w:val="FirstParagraph"/>
      </w:pPr>
      <w:r>
        <w:t xml:space="preserve">The choice of discount rate is among the most consequential methodological decisions in any long-horizon cost-benefit analysis, because it determines the relative weight placed on costs and benefits occurring in the near term versus the distant future. Energy infrastructure investments typically involve large upfront capital expenditures that generate benefits over 30 to 50 years, and the discount rate profoundly affects whether projects with high initial costs but sustained future benefits appear economically attractive.</w:t>
      </w:r>
    </w:p>
    <w:p>
      <w:pPr>
        <w:pStyle w:val="BodyText"/>
      </w:pPr>
      <w:r>
        <w:t xml:space="preserve">The base case analysis uses a</w:t>
      </w:r>
      <w:r>
        <w:t xml:space="preserve"> </w:t>
      </w:r>
      <w:r>
        <w:rPr>
          <w:b/>
          <w:bCs/>
        </w:rPr>
        <w:t xml:space="preserve">6 per cent real social discount rate</w:t>
      </w:r>
      <w:r>
        <w:t xml:space="preserve">, following</w:t>
      </w:r>
      <w:r>
        <w:t xml:space="preserve"> </w:t>
      </w:r>
      <w:r>
        <w:t xml:space="preserve">Asian Development Bank (2017)</w:t>
      </w:r>
      <w:r>
        <w:t xml:space="preserve"> </w:t>
      </w:r>
      <w:r>
        <w:t xml:space="preserve">§4.12 for developing-country members. This rate reflects the social opportunity cost of capital in developing economies — the return that could be earned on the best alternative public investment — and is the standard rate used in ADB-financed project appraisals across the Asia-Pacific region. Sensitivity analysis covers the full range from 3 per cent (consistent with the</w:t>
      </w:r>
      <w:r>
        <w:t xml:space="preserve"> </w:t>
      </w:r>
      <w:r>
        <w:t xml:space="preserve">Stern (2006)</w:t>
      </w:r>
      <w:r>
        <w:t xml:space="preserve"> </w:t>
      </w:r>
      <w:r>
        <w:t xml:space="preserve">approach to intergenerational equity) to 12 per cent (the ADB upper bound for projects with higher-than-average systematic risk).</w:t>
      </w:r>
    </w:p>
    <w:p>
      <w:pPr>
        <w:pStyle w:val="BodyText"/>
      </w:pPr>
      <w:r>
        <w:t xml:space="preserve">A declining discount rate (DDR) schedule is also tested as a supplementary sensitivity analysis, following the methodology adopted by</w:t>
      </w:r>
      <w:r>
        <w:t xml:space="preserve"> </w:t>
      </w:r>
      <w:r>
        <w:t xml:space="preserve">HM Treasury (2022)</w:t>
      </w:r>
      <w:r>
        <w:t xml:space="preserve"> </w:t>
      </w:r>
      <w:r>
        <w:t xml:space="preserve">and supported by the theoretical work of</w:t>
      </w:r>
      <w:r>
        <w:t xml:space="preserve"> </w:t>
      </w:r>
      <w:r>
        <w:t xml:space="preserve">Weitzman (2001)</w:t>
      </w:r>
      <w:r>
        <w:t xml:space="preserve"> </w:t>
      </w:r>
      <w:r>
        <w:t xml:space="preserve">and the empirical survey of</w:t>
      </w:r>
      <w:r>
        <w:t xml:space="preserve"> </w:t>
      </w:r>
      <w:r>
        <w:t xml:space="preserve">Drupp et al. (2018)</w:t>
      </w:r>
      <w:r>
        <w:t xml:space="preserve">. The DDR schedule applies 3.5 per cent for years 0 to 30, declining to 3.0 per cent for years 31 to 75, and 2.5 per cent thereafter. The rationale for declining rates is that uncertainty about future economic growth rates and discount rates creates an effective discount rate that falls over time — meaning that very long-term benefits (such as avoided climate damages) receive more weight under a DDR than under a constant rate. This is particularly relevant for the Maldives, where energy infrastructure generates benefits over 30 to 50 years and the country’s vulnerability to climate change gives it an unusually strong stake in long-term outcomes.</w:t>
      </w:r>
    </w:p>
    <w:bookmarkEnd w:id="91"/>
    <w:bookmarkStart w:id="92" w:name="time-horizon"/>
    <w:p>
      <w:pPr>
        <w:pStyle w:val="Heading2"/>
      </w:pPr>
      <w:r>
        <w:t xml:space="preserve">4.4 Time Horizon</w:t>
      </w:r>
    </w:p>
    <w:p>
      <w:pPr>
        <w:pStyle w:val="FirstParagraph"/>
      </w:pPr>
      <w:r>
        <w:t xml:space="preserve">The default analysis period is 30 years (2026 – 2056), chosen to capture the full lifecycle of the major infrastructure investments under consideration while remaining within the range of credible demand and technology cost projections. Solar panels have an expected useful life of 30 years, submarine cables are designed for 40-year service, and LNG terminals typically operate for 30 to 40 years. A 30-year horizon is long enough to capture the full stream of benefits from these investments while avoiding the speculative uncertainty that would attend projections further into the future.</w:t>
      </w:r>
    </w:p>
    <w:p>
      <w:pPr>
        <w:pStyle w:val="BodyText"/>
      </w:pPr>
      <w:r>
        <w:t xml:space="preserve">Robustness checks extend the analysis to both a shorter 20-year horizon (conservative, capturing only the most certain near-term costs and benefits) and a longer 50-year horizon (which captures the full useful life of submarine cables and allows second-generation solar and battery replacements to be modelled). All infrastructure with remaining useful life at the end of the analysis period receives a salvage value credit based on straight-line depreciation, ensuring that the analysis does not penalise investments whose benefits extend beyond the horizon.</w:t>
      </w:r>
    </w:p>
    <w:bookmarkEnd w:id="92"/>
    <w:bookmarkStart w:id="94" w:name="what-this-analysis-does-not-cover"/>
    <w:p>
      <w:pPr>
        <w:pStyle w:val="Heading2"/>
      </w:pPr>
      <w:r>
        <w:t xml:space="preserve">4.5 What This Analysis Does Not Cover</w:t>
      </w:r>
    </w:p>
    <w:p>
      <w:pPr>
        <w:pStyle w:val="FirstParagraph"/>
      </w:pPr>
      <w:r>
        <w:t xml:space="preserve">Transparency about the boundaries and limitations of any analytical framework is essential for responsible policy advice. Several important dimensions of the Maldives energy transition are not captured by the model, and policymakers should be aware of these omissions when interpreting the results.</w:t>
      </w:r>
    </w:p>
    <w:p>
      <w:pPr>
        <w:pStyle w:val="BodyText"/>
      </w:pPr>
      <w:r>
        <w:t xml:space="preserve">The analysis does not include the resort sector. The approximately 170 privately operated resort islands consume an estimated 1,050 GWh per year of diesel-generated electricity</w:t>
      </w:r>
      <w:r>
        <w:rPr>
          <w:rStyle w:val="FootnoteReference"/>
        </w:rPr>
        <w:footnoteReference w:id="93"/>
      </w:r>
      <w:r>
        <w:t xml:space="preserve"> </w:t>
      </w:r>
      <w:r>
        <w:t xml:space="preserve">— nearly as much as the entire public utility system. However, these resorts operate off-grid private generation systems that are not subject to public utility regulation or tariff policy, and their investment decisions are driven by commercial rather than social objectives. The resort sector’s emissions are noted for national context, but the economic case for transition in that sector requires a separate commercial analysis with different parameters and decision criteria.</w:t>
      </w:r>
    </w:p>
    <w:p>
      <w:pPr>
        <w:pStyle w:val="BodyText"/>
      </w:pPr>
      <w:r>
        <w:t xml:space="preserve">The analysis employs a partial equilibrium CBA framework rather than a general equilibrium model. This means that macroeconomic feedback effects — such as the GDP multiplier from construction spending, the employment effects of building a domestic renewable energy industry, the terms-of-trade improvement from reduced fuel imports, or the impact of lower electricity costs on industrial competitiveness — are not modelled. These general equilibrium effects would likely strengthen the case for transition (because reduced imports improve the trade balance and lower energy costs stimulate economic activity), meaning that the partial equilibrium CBA estimates should be considered conservative in this regard.</w:t>
      </w:r>
    </w:p>
    <w:p>
      <w:pPr>
        <w:pStyle w:val="BodyText"/>
      </w:pPr>
      <w:r>
        <w:t xml:space="preserve">The political economy of transition is identified but not modelled. The analysis identifies optimal pathways from an economic efficiency perspective, but the institutional capacity, governance arrangements, regulatory reforms, and political coalition-building needed to implement these pathways are treated as exogenous. The implementation roadmap in</w:t>
      </w:r>
      <w:r>
        <w:t xml:space="preserve"> </w:t>
      </w:r>
      <w:hyperlink w:anchor="sec-implementation">
        <w:r>
          <w:rPr>
            <w:rStyle w:val="Hyperlink"/>
          </w:rPr>
          <w:t xml:space="preserve">Chapter 18</w:t>
        </w:r>
      </w:hyperlink>
      <w:r>
        <w:t xml:space="preserve"> </w:t>
      </w:r>
      <w:r>
        <w:t xml:space="preserve">addresses some of these considerations qualitatively, but a full political economy analysis would require a different methodological approach.</w:t>
      </w:r>
    </w:p>
    <w:p>
      <w:pPr>
        <w:pStyle w:val="BodyText"/>
      </w:pPr>
      <w:r>
        <w:t xml:space="preserve">Finally, demand-side management is not explicitly modelled beyond the price elasticity effects that arise in scenarios where the effective cost of electricity changes. Energy efficiency improvements, demand response programmes, time-of-use pricing, and behavioural interventions could all reduce the required scale of supply-side investment, but quantifying their potential requires detailed end-use data that are not currently available for the Maldives. The omission of demand-side measures means that the total investment requirements estimated in this analysis may be higher than necessary if aggressive efficiency programmes are pursued in parallel.</w:t>
      </w:r>
    </w:p>
    <w:bookmarkEnd w:id="94"/>
    <w:bookmarkEnd w:id="95"/>
    <w:bookmarkStart w:id="96" w:name="section"/>
    <w:p>
      <w:pPr>
        <w:pStyle w:val="Heading1"/>
      </w:pPr>
      <w:r>
        <w:t xml:space="preserve">5. —</w:t>
      </w:r>
    </w:p>
    <w:bookmarkEnd w:id="96"/>
    <w:bookmarkStart w:id="121" w:name="sec-scenarios"/>
    <w:p>
      <w:pPr>
        <w:pStyle w:val="Heading1"/>
      </w:pPr>
      <w:r>
        <w:t xml:space="preserve">6. The Seven Scenarios</w:t>
      </w:r>
    </w:p>
    <w:p>
      <w:pPr>
        <w:pStyle w:val="FirstParagraph"/>
      </w:pPr>
      <w:r>
        <w:t xml:space="preserve">This chapter describes each of the seven electricity transition pathways evaluated in this analysis. These scenarios are not forecasts or predictions of what will happen, but structured</w:t>
      </w:r>
      <w:r>
        <w:t xml:space="preserve"> </w:t>
      </w:r>
      <w:r>
        <w:rPr>
          <w:i/>
          <w:iCs/>
        </w:rPr>
        <w:t xml:space="preserve">what-if</w:t>
      </w:r>
      <w:r>
        <w:t xml:space="preserve"> </w:t>
      </w:r>
      <w:r>
        <w:t xml:space="preserve">analyses, each representing a coherent combination of technologies, policies, and institutional arrangements that the Maldives could plausibly pursue over the next three decades. Together, they span the full range of realistic options — from continued diesel dependence to ambitious renewable energy transformation — enabling a systematic comparison of costs, benefits, and trade-offs.</w:t>
      </w:r>
    </w:p>
    <w:bookmarkStart w:id="98" w:name="scenario-overview"/>
    <w:p>
      <w:pPr>
        <w:pStyle w:val="Heading2"/>
      </w:pPr>
      <w:r>
        <w:t xml:space="preserve">6.1 Scenario Overview</w:t>
      </w:r>
    </w:p>
    <w:p>
      <w:pPr>
        <w:pStyle w:val="FirstParagraph"/>
      </w:pPr>
      <w:r>
        <w:t xml:space="preserve">The seven scenarios are designed to capture the principal strategic choices available to the Maldives. They differ along four main dimensions: the technology mix (diesel, solar, battery, LNG, submarine cable), the geographic scope (island-by-island versus interconnected systems), the degree of international dependence (domestic-only versus reliance on India), and the implementation timeline (immediate versus phased). The table below summarises these key characteristics before each scenario is described in detail.</w:t>
      </w:r>
    </w:p>
    <w:tbl>
      <w:tblPr>
        <w:tblStyle w:val="Table"/>
        <w:tblW w:type="pct" w:w="5000"/>
        <w:tblLayout w:type="fixed"/>
        <w:tblLook w:firstRow="0" w:lastRow="0" w:firstColumn="0" w:lastColumn="0" w:noHBand="0" w:noVBand="0" w:val="0000"/>
      </w:tblPr>
      <w:tblGrid>
        <w:gridCol w:w="7920"/>
      </w:tblGrid>
      <w:tr>
        <w:tc>
          <w:tcPr/>
          <w:bookmarkStart w:id="97" w:name="tbl-scenario-overview"/>
          <w:p>
            <w:pPr>
              <w:jc w:val="center"/>
            </w:pPr>
            <w:pPr>
              <w:jc w:val="start"/>
              <w:spacing w:before="200"/>
              <w:pStyle w:val="ImageCaption"/>
            </w:pPr>
            <w:r>
              <w:t xml:space="preserve">Table 6.1: Summary of seven scenarios: technology mix, geographic scope, and key differentiators.</w:t>
            </w:r>
          </w:p>
          <w:tbl>
            <w:tblPr>
              <w:tblStyle w:val="Table"/>
              <w:tblW w:type="pct" w:w="5000"/>
              <w:tblLayout w:type="fixed"/>
              <w:tblLook w:firstRow="1" w:lastRow="0" w:firstColumn="0" w:lastColumn="0" w:noHBand="0" w:noVBand="0" w:val="0020"/>
            </w:tblPr>
            <w:tblGrid>
              <w:gridCol w:w="953"/>
              <w:gridCol w:w="2031"/>
              <w:gridCol w:w="2031"/>
              <w:gridCol w:w="2280"/>
              <w:gridCol w:w="621"/>
            </w:tblGrid>
            <w:tr>
              <w:trPr>
                <w:tblHeader w:val="on"/>
              </w:trPr>
              <w:tc>
                <w:tcPr/>
                <w:p>
                  <w:pPr>
                    <w:pStyle w:val="Compact"/>
                    <w:jc w:val="left"/>
                    <w:jc w:val="center"/>
                  </w:pPr>
                  <w:r>
                    <w:t xml:space="preserve">Scenario</w:t>
                  </w:r>
                </w:p>
              </w:tc>
              <w:tc>
                <w:tcPr/>
                <w:p>
                  <w:pPr>
                    <w:pStyle w:val="Compact"/>
                    <w:jc w:val="left"/>
                    <w:jc w:val="center"/>
                  </w:pPr>
                  <w:r>
                    <w:t xml:space="preserve">Technology</w:t>
                  </w:r>
                </w:p>
              </w:tc>
              <w:tc>
                <w:tcPr/>
                <w:p>
                  <w:pPr>
                    <w:pStyle w:val="Compact"/>
                    <w:jc w:val="left"/>
                    <w:jc w:val="center"/>
                  </w:pPr>
                  <w:r>
                    <w:t xml:space="preserve">Geographic Focus</w:t>
                  </w:r>
                </w:p>
              </w:tc>
              <w:tc>
                <w:tcPr/>
                <w:p>
                  <w:pPr>
                    <w:pStyle w:val="Compact"/>
                    <w:jc w:val="left"/>
                    <w:jc w:val="center"/>
                  </w:pPr>
                  <w:r>
                    <w:t xml:space="preserve">Key Feature</w:t>
                  </w:r>
                </w:p>
              </w:tc>
              <w:tc>
                <w:tcPr/>
                <w:p>
                  <w:pPr>
                    <w:pStyle w:val="Compact"/>
                    <w:jc w:val="left"/>
                    <w:jc w:val="center"/>
                  </w:pPr>
                  <w:r>
                    <w:t xml:space="preserve">India Cable</w:t>
                  </w:r>
                </w:p>
              </w:tc>
            </w:tr>
            <w:tr>
              <w:tc>
                <w:tcPr/>
                <w:p>
                  <w:pPr>
                    <w:pStyle w:val="Compact"/>
                    <w:jc w:val="left"/>
                    <w:jc w:val="center"/>
                  </w:pPr>
                  <w:r>
                    <w:t xml:space="preserve">S1 — BAU (Diesel)</w:t>
                  </w:r>
                </w:p>
              </w:tc>
              <w:tc>
                <w:tcPr/>
                <w:p>
                  <w:pPr>
                    <w:pStyle w:val="Compact"/>
                    <w:jc w:val="left"/>
                    <w:jc w:val="center"/>
                  </w:pPr>
                  <w:r>
                    <w:t xml:space="preserve">Diesel generators only</w:t>
                  </w:r>
                </w:p>
              </w:tc>
              <w:tc>
                <w:tcPr/>
                <w:p>
                  <w:pPr>
                    <w:pStyle w:val="Compact"/>
                    <w:jc w:val="left"/>
                    <w:jc w:val="center"/>
                  </w:pPr>
                  <w:r>
                    <w:t xml:space="preserve">All islands (status quo)</w:t>
                  </w:r>
                </w:p>
              </w:tc>
              <w:tc>
                <w:tcPr/>
                <w:p>
                  <w:pPr>
                    <w:pStyle w:val="Compact"/>
                    <w:jc w:val="left"/>
                    <w:jc w:val="center"/>
                  </w:pPr>
                  <w:r>
                    <w:t xml:space="preserve">No new RE investment; continued diesel expansion</w:t>
                  </w:r>
                </w:p>
              </w:tc>
              <w:tc>
                <w:tcPr/>
                <w:p>
                  <w:pPr>
                    <w:pStyle w:val="Compact"/>
                    <w:jc w:val="left"/>
                    <w:jc w:val="center"/>
                  </w:pPr>
                  <w:r>
                    <w:t xml:space="preserve">No</w:t>
                  </w:r>
                </w:p>
              </w:tc>
            </w:tr>
            <w:tr>
              <w:tc>
                <w:tcPr/>
                <w:p>
                  <w:pPr>
                    <w:pStyle w:val="Compact"/>
                    <w:jc w:val="left"/>
                    <w:jc w:val="center"/>
                  </w:pPr>
                  <w:r>
                    <w:t xml:space="preserve">S2 — Full Integration</w:t>
                  </w:r>
                </w:p>
              </w:tc>
              <w:tc>
                <w:tcPr/>
                <w:p>
                  <w:pPr>
                    <w:pStyle w:val="Compact"/>
                    <w:jc w:val="left"/>
                    <w:jc w:val="center"/>
                  </w:pPr>
                  <w:r>
                    <w:t xml:space="preserve">India HVDC cable + solar + battery</w:t>
                  </w:r>
                </w:p>
              </w:tc>
              <w:tc>
                <w:tcPr/>
                <w:p>
                  <w:pPr>
                    <w:pStyle w:val="Compact"/>
                    <w:jc w:val="left"/>
                    <w:jc w:val="center"/>
                  </w:pPr>
                  <w:r>
                    <w:t xml:space="preserve">Greater Malé via cable; outer islands via solar</w:t>
                  </w:r>
                </w:p>
              </w:tc>
              <w:tc>
                <w:tcPr/>
                <w:p>
                  <w:pPr>
                    <w:pStyle w:val="Compact"/>
                    <w:jc w:val="left"/>
                    <w:jc w:val="center"/>
                  </w:pPr>
                  <w:r>
                    <w:t xml:space="preserve">700 km submarine cable to India; imports at $0.06/kWh</w:t>
                  </w:r>
                </w:p>
              </w:tc>
              <w:tc>
                <w:tcPr/>
                <w:p>
                  <w:pPr>
                    <w:pStyle w:val="Compact"/>
                    <w:jc w:val="left"/>
                    <w:jc w:val="center"/>
                  </w:pPr>
                  <w:r>
                    <w:t xml:space="preserve">Yes</w:t>
                  </w:r>
                </w:p>
              </w:tc>
            </w:tr>
            <w:tr>
              <w:tc>
                <w:tcPr/>
                <w:p>
                  <w:pPr>
                    <w:pStyle w:val="Compact"/>
                    <w:jc w:val="left"/>
                    <w:jc w:val="center"/>
                  </w:pPr>
                  <w:r>
                    <w:t xml:space="preserve">S3 — National Grid</w:t>
                  </w:r>
                </w:p>
              </w:tc>
              <w:tc>
                <w:tcPr/>
                <w:p>
                  <w:pPr>
                    <w:pStyle w:val="Compact"/>
                    <w:jc w:val="left"/>
                    <w:jc w:val="center"/>
                  </w:pPr>
                  <w:r>
                    <w:t xml:space="preserve">Solar + battery + inter-island cables</w:t>
                  </w:r>
                </w:p>
              </w:tc>
              <w:tc>
                <w:tcPr/>
                <w:p>
                  <w:pPr>
                    <w:pStyle w:val="Compact"/>
                    <w:jc w:val="left"/>
                    <w:jc w:val="center"/>
                  </w:pPr>
                  <w:r>
                    <w:t xml:space="preserve">All islands; limited interconnection</w:t>
                  </w:r>
                </w:p>
              </w:tc>
              <w:tc>
                <w:tcPr/>
                <w:p>
                  <w:pPr>
                    <w:pStyle w:val="Compact"/>
                    <w:jc w:val="left"/>
                    <w:jc w:val="center"/>
                  </w:pPr>
                  <w:r>
                    <w:t xml:space="preserve">Domestic RE only; no international cable</w:t>
                  </w:r>
                </w:p>
              </w:tc>
              <w:tc>
                <w:tcPr/>
                <w:p>
                  <w:pPr>
                    <w:pStyle w:val="Compact"/>
                    <w:jc w:val="left"/>
                    <w:jc w:val="center"/>
                  </w:pPr>
                  <w:r>
                    <w:t xml:space="preserve">No</w:t>
                  </w:r>
                </w:p>
              </w:tc>
            </w:tr>
            <w:tr>
              <w:tc>
                <w:tcPr/>
                <w:p>
                  <w:pPr>
                    <w:pStyle w:val="Compact"/>
                    <w:jc w:val="left"/>
                    <w:jc w:val="center"/>
                  </w:pPr>
                  <w:r>
                    <w:t xml:space="preserve">S4 — Islanded Green</w:t>
                  </w:r>
                </w:p>
              </w:tc>
              <w:tc>
                <w:tcPr/>
                <w:p>
                  <w:pPr>
                    <w:pStyle w:val="Compact"/>
                    <w:jc w:val="left"/>
                    <w:jc w:val="center"/>
                  </w:pPr>
                  <w:r>
                    <w:t xml:space="preserve">Solar + battery (island-by-island)</w:t>
                  </w:r>
                </w:p>
              </w:tc>
              <w:tc>
                <w:tcPr/>
                <w:p>
                  <w:pPr>
                    <w:pStyle w:val="Compact"/>
                    <w:jc w:val="left"/>
                    <w:jc w:val="center"/>
                  </w:pPr>
                  <w:r>
                    <w:t xml:space="preserve">Each island independently</w:t>
                  </w:r>
                </w:p>
              </w:tc>
              <w:tc>
                <w:tcPr/>
                <w:p>
                  <w:pPr>
                    <w:pStyle w:val="Compact"/>
                    <w:jc w:val="left"/>
                    <w:jc w:val="center"/>
                  </w:pPr>
                  <w:r>
                    <w:t xml:space="preserve">Modular deployment; no grid extension</w:t>
                  </w:r>
                </w:p>
              </w:tc>
              <w:tc>
                <w:tcPr/>
                <w:p>
                  <w:pPr>
                    <w:pStyle w:val="Compact"/>
                    <w:jc w:val="left"/>
                    <w:jc w:val="center"/>
                  </w:pPr>
                  <w:r>
                    <w:t xml:space="preserve">No</w:t>
                  </w:r>
                </w:p>
              </w:tc>
            </w:tr>
            <w:tr>
              <w:tc>
                <w:tcPr/>
                <w:p>
                  <w:pPr>
                    <w:pStyle w:val="Compact"/>
                    <w:jc w:val="left"/>
                    <w:jc w:val="center"/>
                  </w:pPr>
                  <w:r>
                    <w:t xml:space="preserve">S5 — Near-Shore Solar</w:t>
                  </w:r>
                </w:p>
              </w:tc>
              <w:tc>
                <w:tcPr/>
                <w:p>
                  <w:pPr>
                    <w:pStyle w:val="Compact"/>
                    <w:jc w:val="left"/>
                    <w:jc w:val="center"/>
                  </w:pPr>
                  <w:r>
                    <w:t xml:space="preserve">Solar farms on uninhabited islands + battery</w:t>
                  </w:r>
                </w:p>
              </w:tc>
              <w:tc>
                <w:tcPr/>
                <w:p>
                  <w:pPr>
                    <w:pStyle w:val="Compact"/>
                    <w:jc w:val="left"/>
                    <w:jc w:val="center"/>
                  </w:pPr>
                  <w:r>
                    <w:t xml:space="preserve">Greater Malé + outer islands</w:t>
                  </w:r>
                </w:p>
              </w:tc>
              <w:tc>
                <w:tcPr/>
                <w:p>
                  <w:pPr>
                    <w:pStyle w:val="Compact"/>
                    <w:jc w:val="left"/>
                    <w:jc w:val="center"/>
                  </w:pPr>
                  <w:r>
                    <w:t xml:space="preserve">104 MW on uninhabited islands near Malé</w:t>
                  </w:r>
                </w:p>
              </w:tc>
              <w:tc>
                <w:tcPr/>
                <w:p>
                  <w:pPr>
                    <w:pStyle w:val="Compact"/>
                    <w:jc w:val="left"/>
                    <w:jc w:val="center"/>
                  </w:pPr>
                  <w:r>
                    <w:t xml:space="preserve">No</w:t>
                  </w:r>
                </w:p>
              </w:tc>
            </w:tr>
            <w:tr>
              <w:tc>
                <w:tcPr/>
                <w:p>
                  <w:pPr>
                    <w:pStyle w:val="Compact"/>
                    <w:jc w:val="left"/>
                    <w:jc w:val="center"/>
                  </w:pPr>
                  <w:r>
                    <w:t xml:space="preserve">S6 — Maximum RE</w:t>
                  </w:r>
                </w:p>
              </w:tc>
              <w:tc>
                <w:tcPr/>
                <w:p>
                  <w:pPr>
                    <w:pStyle w:val="Compact"/>
                    <w:jc w:val="left"/>
                    <w:jc w:val="center"/>
                  </w:pPr>
                  <w:r>
                    <w:t xml:space="preserve">Floating solar + near-shore + rooftop + battery</w:t>
                  </w:r>
                </w:p>
              </w:tc>
              <w:tc>
                <w:tcPr/>
                <w:p>
                  <w:pPr>
                    <w:pStyle w:val="Compact"/>
                    <w:jc w:val="left"/>
                    <w:jc w:val="center"/>
                  </w:pPr>
                  <w:r>
                    <w:t xml:space="preserve">All islands; floating solar on lagoons</w:t>
                  </w:r>
                </w:p>
              </w:tc>
              <w:tc>
                <w:tcPr/>
                <w:p>
                  <w:pPr>
                    <w:pStyle w:val="Compact"/>
                    <w:jc w:val="left"/>
                    <w:jc w:val="center"/>
                  </w:pPr>
                  <w:r>
                    <w:t xml:space="preserve">195 MW floating solar (GoM Roadmap target)</w:t>
                  </w:r>
                </w:p>
              </w:tc>
              <w:tc>
                <w:tcPr/>
                <w:p>
                  <w:pPr>
                    <w:pStyle w:val="Compact"/>
                    <w:jc w:val="left"/>
                    <w:jc w:val="center"/>
                  </w:pPr>
                  <w:r>
                    <w:t xml:space="preserve">No</w:t>
                  </w:r>
                </w:p>
              </w:tc>
            </w:tr>
            <w:tr>
              <w:tc>
                <w:tcPr/>
                <w:p>
                  <w:pPr>
                    <w:pStyle w:val="Compact"/>
                    <w:jc w:val="left"/>
                    <w:jc w:val="center"/>
                  </w:pPr>
                  <w:r>
                    <w:t xml:space="preserve">S7 — LNG Transition</w:t>
                  </w:r>
                </w:p>
              </w:tc>
              <w:tc>
                <w:tcPr/>
                <w:p>
                  <w:pPr>
                    <w:pStyle w:val="Compact"/>
                    <w:jc w:val="left"/>
                    <w:jc w:val="center"/>
                  </w:pPr>
                  <w:r>
                    <w:t xml:space="preserve">LNG terminal + solar + battery</w:t>
                  </w:r>
                </w:p>
              </w:tc>
              <w:tc>
                <w:tcPr/>
                <w:p>
                  <w:pPr>
                    <w:pStyle w:val="Compact"/>
                    <w:jc w:val="left"/>
                    <w:jc w:val="center"/>
                  </w:pPr>
                  <w:r>
                    <w:t xml:space="preserve">Greater Malé via LNG; outer islands via solar</w:t>
                  </w:r>
                </w:p>
              </w:tc>
              <w:tc>
                <w:tcPr/>
                <w:p>
                  <w:pPr>
                    <w:pStyle w:val="Compact"/>
                    <w:jc w:val="left"/>
                    <w:jc w:val="center"/>
                  </w:pPr>
                  <w:r>
                    <w:t xml:space="preserve">140 MW Gulhifalhu LNG terminal from 2031</w:t>
                  </w:r>
                </w:p>
              </w:tc>
              <w:tc>
                <w:tcPr/>
                <w:p>
                  <w:pPr>
                    <w:pStyle w:val="Compact"/>
                    <w:jc w:val="left"/>
                    <w:jc w:val="center"/>
                  </w:pPr>
                  <w:r>
                    <w:t xml:space="preserve">No</w:t>
                  </w:r>
                </w:p>
              </w:tc>
            </w:tr>
          </w:tbl>
          <w:bookmarkEnd w:id="97"/>
          <w:p/>
        </w:tc>
      </w:tr>
    </w:tbl>
    <w:p>
      <w:pPr>
        <w:pStyle w:val="BodyText"/>
      </w:pPr>
      <w:r>
        <w:t xml:space="preserve">The overview table reveals important structural differences among the scenarios. Only one pathway (S2, Full Integration) involves an international submarine cable, which is by far the largest single capital expenditure but also the most geopolitically complex. Three scenarios (S3, S4, S5) rely entirely on domestic renewable energy resources, differing primarily in whether islands are interconnected or operate independently and whether solar is deployed on rooftops, ground-mount, or on nearby uninhabited islands. S6 pushes the technological frontier by adding floating solar panels in lagoons and shallow waters. S7 introduces LNG as a transitional fuel for the largest demand centre. Each scenario is designed to answer a different strategic question: Can the Maldives go it alone with domestic renewables? Does the India cable add enough value to justify its cost and risk? Is LNG a sensible bridge fuel? How much solar can realistically be deployed given land constraints?</w:t>
      </w:r>
    </w:p>
    <w:bookmarkEnd w:id="98"/>
    <w:bookmarkStart w:id="104" w:name="sec-s1"/>
    <w:p>
      <w:pPr>
        <w:pStyle w:val="Heading2"/>
      </w:pPr>
      <w:r>
        <w:t xml:space="preserve">6.2 S1 — BAU: Continued Diesel</w:t>
      </w:r>
    </w:p>
    <w:p>
      <w:pPr>
        <w:pStyle w:val="FirstParagraph"/>
      </w:pPr>
      <w:r>
        <w:t xml:space="preserve">The business-as-usual scenario serves as the analytical counterfactual against which all alternatives are measured. Under this pathway, the Maldives continues expanding diesel generation capacity in step with demand growth, making no new renewable energy investments beyond those already committed in the existing pipeline. Every island maintains its current diesel-based power system, with new generators added as demand dictates.</w:t>
      </w:r>
    </w:p>
    <w:p>
      <w:pPr>
        <w:pStyle w:val="BodyText"/>
      </w:pPr>
      <w:r>
        <w:t xml:space="preserve">It is important to emphasise that BAU is not a realistic projection of what will actually happen — even the Government of Maldives’ own Energy Roadmap</w:t>
      </w:r>
      <w:r>
        <w:t xml:space="preserve"> </w:t>
      </w:r>
      <w:r>
        <w:t xml:space="preserve">(2024)</w:t>
      </w:r>
      <w:r>
        <w:t xml:space="preserve"> </w:t>
      </w:r>
      <w:r>
        <w:t xml:space="preserve">envisions significant renewable energy deployment in the coming decade. Rather, BAU exists as the analytical baseline: it defines what the Maldives would spend, emit, and endure if no policy action were taken. By comparing each alternative against this counterfactual, the analysis isolates the incremental costs and benefits attributable to each transition pathway.</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C:\Users\LucasSempe\AppData\Local\Programs\Quarto\share\formats\docx\warning.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BAU is not a realistic future — it represents</w:t>
            </w:r>
            <w:r>
              <w:t xml:space="preserve"> </w:t>
            </w:r>
            <w:r>
              <w:rPr>
                <w:i/>
                <w:iCs/>
              </w:rPr>
              <w:t xml:space="preserve">what happens if no policy action is taken</w:t>
            </w:r>
            <w:r>
              <w:t xml:space="preserve">. It exists as the analytical baseline against which all alternatives are measured.</w:t>
            </w:r>
          </w:p>
        </w:tc>
      </w:tr>
    </w:tbl>
    <w:p>
      <w:pPr>
        <w:pStyle w:val="BodyText"/>
      </w:pPr>
      <w:r>
        <w:t xml:space="preserve">The BAU scenario assumes that electricity demand grows at 5 per cent per year, consistent with the historical compound annual growth rate observed in national statistics</w:t>
      </w:r>
      <w:r>
        <w:rPr>
          <w:rStyle w:val="FootnoteReference"/>
        </w:rPr>
        <w:footnoteReference w:id="102"/>
      </w:r>
      <w:r>
        <w:t xml:space="preserve">. Diesel fuel is projected to cost $0.85 per litre in 2026 and escalate at 2 per cent per year in real terms, reflecting long-run trends in global petroleum markets</w:t>
      </w:r>
      <w:r>
        <w:rPr>
          <w:rStyle w:val="FootnoteReference"/>
        </w:rPr>
        <w:footnoteReference w:id="103"/>
      </w:r>
      <w:r>
        <w:t xml:space="preserve">. No new solar or battery capacity is deployed, and all externalities — carbon emissions, health damages from air pollution, environmental costs — accumulate at the full diesel intensity throughout the analysis period. The result is a pathway of steadily rising costs, growing emissions, and deepening import dependence that serves as a stark illustration of the cost of inaction.</w:t>
      </w:r>
    </w:p>
    <w:bookmarkEnd w:id="104"/>
    <w:bookmarkStart w:id="109" w:name="sec-s2"/>
    <w:p>
      <w:pPr>
        <w:pStyle w:val="Heading2"/>
      </w:pPr>
      <w:r>
        <w:t xml:space="preserve">6.3 S2 — Full Integration: The India Cable</w:t>
      </w:r>
    </w:p>
    <w:p>
      <w:pPr>
        <w:pStyle w:val="FirstParagraph"/>
      </w:pPr>
      <w:r>
        <w:t xml:space="preserve">The Full Integration scenario is the most ambitious and most controversial pathway under consideration. It centres on the construction of a 700-kilometre high-voltage direct current (HVDC) submarine cable connecting the Maldives to India’s national electricity grid</w:t>
      </w:r>
      <w:r>
        <w:rPr>
          <w:rStyle w:val="FootnoteReference"/>
        </w:rPr>
        <w:footnoteReference w:id="105"/>
      </w:r>
      <w:r>
        <w:t xml:space="preserve">. This cable would provide imported electricity to Greater Malé at an estimated cost of $0.06/kWh</w:t>
      </w:r>
      <w:r>
        <w:rPr>
          <w:rStyle w:val="FootnoteReference"/>
        </w:rPr>
        <w:footnoteReference w:id="106"/>
      </w:r>
      <w:r>
        <w:t xml:space="preserve">, reflecting the Indian wholesale electricity price plus a cross-border transmission premium. The outer islands, which are too distant from the cable route to be directly connected, would still receive solar-plus-battery systems similar to those in the other renewable-focused scenarios.</w:t>
      </w:r>
    </w:p>
    <w:p>
      <w:pPr>
        <w:pStyle w:val="BodyText"/>
      </w:pPr>
      <w:r>
        <w:t xml:space="preserve">The investment required for this pathway is approximately $2.9 billion in additional capital expenditure relative to BAU, making it by far the most capital-intensive option. This total comprises the submarine cable itself (the single most expensive infrastructure element in any scenario), HVDC converter stations at both ends, landing station infrastructure, and the grid upgrades needed within the Maldives to distribute imported power. The NPV savings relative to diesel BAU amount to $9.5 billion, demonstrating that even with its enormous upfront cost, the cable pathway is economically superior to continued diesel dependence.</w:t>
      </w:r>
    </w:p>
    <w:p>
      <w:pPr>
        <w:pStyle w:val="BodyText"/>
      </w:pPr>
      <w:r>
        <w:t xml:space="preserve">The case for the India cable rests on several arguments. It provides stable, reliable baseload power to Greater Malé, which accounts for 57 per cent of national demand and is severely constrained in its ability to deploy rooftop solar due to extreme urban density. The Indian grid’s emission factor, currently 0.70 kgCO₂/kWh</w:t>
      </w:r>
      <w:r>
        <w:rPr>
          <w:rStyle w:val="FootnoteReference"/>
        </w:rPr>
        <w:footnoteReference w:id="107"/>
      </w:r>
      <w:r>
        <w:t xml:space="preserve">, is lower than diesel and declining at approximately 2 per cent per year as India adds renewable capacity, meaning that imported electricity becomes progressively cleaner over time. The cable also eliminates direct fuel import dependency, albeit by replacing it with electricity import dependency.</w:t>
      </w:r>
    </w:p>
    <w:p>
      <w:pPr>
        <w:pStyle w:val="BodyText"/>
      </w:pPr>
      <w:r>
        <w:t xml:space="preserve">However, the cable carries significant risks that merit careful consideration. The outage rate for comparable submarine cables (based on operational data from the NorNed and Basslink cables</w:t>
      </w:r>
      <w:r>
        <w:rPr>
          <w:rStyle w:val="FootnoteReference"/>
        </w:rPr>
        <w:footnoteReference w:id="108"/>
      </w:r>
      <w:r>
        <w:t xml:space="preserve">) is approximately 0.15 per year, with repair times ranging from one to six months depending on the fault location and season. This creates a single-point-of-failure vulnerability that would require the Maldives to maintain substantial backup diesel capacity — partially undermining the fuel savings that justify the cable. The geopolitical dimension is also important: the Maldives would become dependent on a single foreign supplier for more than half its electricity, a relationship that inevitably carries diplomatic leverage implications. Finally, no cost-sharing agreement exists between the two countries. The base case assumes the Maldives bears 100 per cent of the cable cost, though sensitivity analysis explores a 50 per cent cost-sharing arrangement.</w:t>
      </w:r>
    </w:p>
    <w:bookmarkEnd w:id="109"/>
    <w:bookmarkStart w:id="110" w:name="sec-s3"/>
    <w:p>
      <w:pPr>
        <w:pStyle w:val="Heading2"/>
      </w:pPr>
      <w:r>
        <w:t xml:space="preserve">6.4 S3 — National Grid: Domestic RE with Interconnection</w:t>
      </w:r>
    </w:p>
    <w:p>
      <w:pPr>
        <w:pStyle w:val="FirstParagraph"/>
      </w:pPr>
      <w:r>
        <w:t xml:space="preserve">The National Grid scenario pursues full domestic energy independence through solar-plus-battery deployment across all islands, complemented by limited inter-island cable connections totalling 14 kilometres that link the three islands nearest to Malé. There is no international submarine cable, no LNG terminal, and no reliance on any external energy source. Greater Malé is constrained to approximately 18 MWp of rooftop solar, reflecting the limited available roof area identified in the</w:t>
      </w:r>
      <w:r>
        <w:t xml:space="preserve"> </w:t>
      </w:r>
      <w:r>
        <w:t xml:space="preserve">Zentrum für Nachhaltige Energiesysteme (ZNES), Europa-Universität Flensburg (2020)</w:t>
      </w:r>
      <w:r>
        <w:t xml:space="preserve"> </w:t>
      </w:r>
      <w:r>
        <w:t xml:space="preserve">study (5 MWp on public buildings plus 13 MWp on sports and community facilities).</w:t>
      </w:r>
    </w:p>
    <w:p>
      <w:pPr>
        <w:pStyle w:val="BodyText"/>
      </w:pPr>
      <w:r>
        <w:t xml:space="preserve">The total additional CAPEX required is approximately $1.0 billion, and the pathway delivers $10.3 billion in NPV savings relative to diesel BAU. The technology assignment across islands is optimised by the model’s least-cost electrification engine, which computes the discounted LCOE for each technology option on each island, taking into account island-specific solar resources, land availability, demand levels, and the cost of inter-island submarine cable connections where they are economically justified.</w:t>
      </w:r>
    </w:p>
    <w:p>
      <w:pPr>
        <w:pStyle w:val="BodyText"/>
      </w:pPr>
      <w:r>
        <w:t xml:space="preserve">The principal advantage of this scenario is its maximisation of domestic energy independence. The Maldives controls its entire energy supply chain, from solar panels and batteries purchased on competitive international markets to locally managed generation and distribution. This eliminates both the geopolitical risks of the India cable and the fuel price volatility of continued diesel or LNG dependence. The modular nature of solar-plus-battery deployment also means that the transition can proceed island by island, with early deployments generating fuel savings that help finance later phases.</w:t>
      </w:r>
    </w:p>
    <w:bookmarkEnd w:id="110"/>
    <w:bookmarkStart w:id="112" w:name="sec-s4"/>
    <w:p>
      <w:pPr>
        <w:pStyle w:val="Heading2"/>
      </w:pPr>
      <w:r>
        <w:t xml:space="preserve">6.5 S4 — Islanded Green: Solar+Battery on Every Island</w:t>
      </w:r>
    </w:p>
    <w:p>
      <w:pPr>
        <w:pStyle w:val="FirstParagraph"/>
      </w:pPr>
      <w:r>
        <w:t xml:space="preserve">The Islanded Green scenario represents the simplest and most implementable pathway. Each island receives its own solar-plus-battery system, sized to meet its specific demand profile and constrained by its available land area. There are no inter-island cables, no submarine infrastructure of any kind, and no international dependencies. Each island’s power system remains independent, replacing diesel with solar generation and battery storage while retaining diesel backup for periods of low solar output or unusually high demand.</w:t>
      </w:r>
    </w:p>
    <w:p>
      <w:pPr>
        <w:pStyle w:val="BodyText"/>
      </w:pPr>
      <w:r>
        <w:t xml:space="preserve">The total additional investment required is approximately $1.2 billion, and the pathway generates $9.5 billion in NPV savings versus diesel BAU. This scenario scores highest among all alternatives on implementation feasibility in the multi-criteria analysis (MCA score 0.80), reflecting its use of proven, commercially available technology that can be deployed without complex inter-island coordination, regulatory reform, or international negotiations. It is also the most equitable pathway in geographic terms: every island receives investment, and every community benefits from reduced diesel dependence and improved air quality.</w:t>
      </w:r>
    </w:p>
    <w:p>
      <w:pPr>
        <w:pStyle w:val="BodyText"/>
      </w:pPr>
      <w:r>
        <w:t xml:space="preserve">The trade-off is that this approach does not capture the cost efficiencies that might be available through interconnection or centralised large-scale generation. The island-specific logistics of transporting, installing, and maintaining solar panels and batteries across 187 separate sites carry a cost premium estimated at approximately 30 per cent relative to mainland-equivalent installations</w:t>
      </w:r>
      <w:r>
        <w:rPr>
          <w:rStyle w:val="FootnoteReference"/>
        </w:rPr>
        <w:footnoteReference w:id="111"/>
      </w:r>
      <w:r>
        <w:t xml:space="preserve">. Greater Malé, with its extremely limited rooftop area, achieves only modest solar penetration (approximately 18 MWp), leaving the capital region with the highest remaining diesel share among all renewable-focused scenarios.</w:t>
      </w:r>
    </w:p>
    <w:bookmarkEnd w:id="112"/>
    <w:bookmarkStart w:id="113" w:name="sec-s5"/>
    <w:p>
      <w:pPr>
        <w:pStyle w:val="Heading2"/>
      </w:pPr>
      <w:r>
        <w:t xml:space="preserve">6.6 S5 — Near-Shore Solar: Uninhabited Island Solar Farms</w:t>
      </w:r>
    </w:p>
    <w:p>
      <w:pPr>
        <w:pStyle w:val="FirstParagraph"/>
      </w:pPr>
      <w:r>
        <w:t xml:space="preserve">The Near-Shore Solar scenario directly addresses the most binding constraint on Greater Malé’s energy transition: the lack of available land for solar deployment on one of the most densely populated islands in the world. This pathway deploys 104 MW of solar capacity on uninhabited islands located within 10 kilometres of Malé — specifically Thilafushi (a reclaimed industrial island), Gulhifalhu (under development for port and industrial use), Funadhoo, and Dhoonidhoo. These solar farms are connected to Greater Malé via short submarine cables, creating in effect a near-shore solar supply zone for the capital.</w:t>
      </w:r>
    </w:p>
    <w:p>
      <w:pPr>
        <w:pStyle w:val="BodyText"/>
      </w:pPr>
      <w:r>
        <w:t xml:space="preserve">The total additional CAPEX is approximately $1.2 billion, with NPV savings of $11.1 billion relative to diesel BAU. The key innovation of this pathway is that it raises Greater Malé’s renewable energy penetration from the approximately 4 per cent achievable through rooftop solar alone to roughly 25 per cent, without requiring any international infrastructure or geopolitical agreements. The outer islands receive standard solar-plus-battery deployments as in the other scenarios.</w:t>
      </w:r>
    </w:p>
    <w:p>
      <w:pPr>
        <w:pStyle w:val="BodyText"/>
      </w:pPr>
      <w:r>
        <w:t xml:space="preserve">This scenario occupies a strategically interesting middle ground between the minimal-infrastructure Islanded Green pathway and the capital-intensive Full Integration or Maximum RE options. It captures a substantial share of the available solar benefit for Greater Malé at a fraction of the cost and risk of the India cable, while remaining entirely within the Maldives’ sovereign control. The near-shore sites offer large land areas with minimal competing uses, good solar exposure, and proximity to the main demand centre. The principal implementation challenges are environmental permitting (particularly for Funadhoo and Dhoonidhoo, which may have ecological sensitivities), land tenure arrangements, and the engineering of short inter-island submarine cables in shallow reef waters.</w:t>
      </w:r>
    </w:p>
    <w:bookmarkEnd w:id="113"/>
    <w:bookmarkStart w:id="114" w:name="sec-s6"/>
    <w:p>
      <w:pPr>
        <w:pStyle w:val="Heading2"/>
      </w:pPr>
      <w:r>
        <w:t xml:space="preserve">6.7 S6 — Maximum RE: Floating Solar and Beyond</w:t>
      </w:r>
    </w:p>
    <w:p>
      <w:pPr>
        <w:pStyle w:val="FirstParagraph"/>
      </w:pPr>
      <w:r>
        <w:t xml:space="preserve">The Maximum RE scenario is the most technologically ambitious domestic pathway. It combines every available renewable energy option: rooftop solar on all islands, ground-mount solar where land permits, the 104 MW near-shore solar farms from S5, and an additional 195 MW of floating solar panels deployed on lagoons and shallow waters — 100 MW in the Greater Malé lagoon and 95 MW across outer atoll lagoons. This floating solar target is aligned with the</w:t>
      </w:r>
      <w:r>
        <w:t xml:space="preserve"> </w:t>
      </w:r>
      <w:r>
        <w:t xml:space="preserve">Ministry of Climate Change, Environment and Energy, Republic of Maldives (2024)</w:t>
      </w:r>
      <w:r>
        <w:t xml:space="preserve">, which identifies 195 MW of floating solar as a key component of the national transition strategy.</w:t>
      </w:r>
    </w:p>
    <w:p>
      <w:pPr>
        <w:pStyle w:val="BodyText"/>
      </w:pPr>
      <w:r>
        <w:t xml:space="preserve">The total additional CAPEX is approximately $1.5 billion, generating NPV savings of $12.2 billion. This pathway achieves the highest final renewable energy share among all scenarios, pushing solar penetration to levels that would make the Maldives one of the most renewable-energy-intensive nations in the world. The environmental and energy security benefits are correspondingly large: minimal diesel dependence, near-zero domestic electricity emissions, and complete independence from foreign energy suppliers.</w:t>
      </w:r>
    </w:p>
    <w:p>
      <w:pPr>
        <w:pStyle w:val="BodyText"/>
      </w:pPr>
      <w:r>
        <w:t xml:space="preserve">The additional cost of floating solar is significant — marine installation, anchoring systems, corrosion-resistant components, and the engineering challenges of tropical ocean environments add a premium of approximately 50 per cent over equivalent ground-mounted capacity. This technology is commercially available but has not yet been deployed at scale in tropical marine environments, introducing technical risk that the other scenarios largely avoid. The scenario therefore represents a calculated bet that floating solar technology will mature rapidly and that the cost premium will narrow as deployment experience accumulates. If the technology performs as expected, Maximum RE delivers the deepest decarbonisation and the greatest long-term fuel independence. If it underperforms, the fallback position is still strong: the near-shore and rooftop solar components deliver substantial benefits regardless of floating solar outcomes.</w:t>
      </w:r>
    </w:p>
    <w:bookmarkEnd w:id="114"/>
    <w:bookmarkStart w:id="116" w:name="sec-s7"/>
    <w:p>
      <w:pPr>
        <w:pStyle w:val="Heading2"/>
      </w:pPr>
      <w:r>
        <w:t xml:space="preserve">6.8 S7 — LNG Transition: Gas for Malé, Solar for Islands</w:t>
      </w:r>
    </w:p>
    <w:p>
      <w:pPr>
        <w:pStyle w:val="FirstParagraph"/>
      </w:pPr>
      <w:r>
        <w:t xml:space="preserve">The LNG Transition scenario introduces a fundamentally different approach for the Greater Malé region: replacing diesel generation with a 140 MW liquefied natural gas terminal at Gulhifalhu, operational from 2031. LNG combustion produces an emission factor of approximately 0.40 kgCO₂/kWh</w:t>
      </w:r>
      <w:r>
        <w:rPr>
          <w:rStyle w:val="FootnoteReference"/>
        </w:rPr>
        <w:footnoteReference w:id="115"/>
      </w:r>
      <w:r>
        <w:t xml:space="preserve">, which is 44 per cent lower than diesel, and the delivered cost of LNG-generated electricity is substantially below diesel at current and projected fuel prices. The outer islands follow the same solar-plus-battery pathway as in the other scenarios.</w:t>
      </w:r>
    </w:p>
    <w:p>
      <w:pPr>
        <w:pStyle w:val="BodyText"/>
      </w:pPr>
      <w:r>
        <w:t xml:space="preserve">The total additional CAPEX is approximately $1.3 billion, with NPV savings of $12.2 billion. This scenario achieves the fastest payback period (7 years) and the highest internal rate of return (41.3 per cent) among all alternatives, reflecting the combination of relatively modest upfront capital requirements and immediate, large fuel cost savings as expensive diesel is replaced by cheaper gas.</w:t>
      </w:r>
    </w:p>
    <w:p>
      <w:pPr>
        <w:pStyle w:val="BodyText"/>
      </w:pPr>
      <w:r>
        <w:t xml:space="preserve">The appeal of LNG is its pragmatism: it uses proven technology, leverages planned infrastructure at Gulhifalhu, and delivers rapid economic returns that can build political support for the broader transition. Gas-fired power also provides flexible, dispatchable baseload that complements intermittent solar generation, avoiding the battery storage costs that weigh on purely renewable pathways.</w:t>
      </w:r>
    </w:p>
    <w:p>
      <w:pPr>
        <w:pStyle w:val="BodyText"/>
      </w:pPr>
      <w:r>
        <w:t xml:space="preserve">The fundamental concern with LNG, however, is fossil fuel lock-in. A 140 MW LNG terminal represents a 30-year commitment to gas infrastructure, with associated supply contracts, terminal maintenance obligations, and sunk costs that create strong institutional inertia against future displacement by renewables. The Maldives would exchange one form of fossil fuel dependence (diesel) for another (LNG), and while LNG is cleaner and cheaper, it does not deliver the deep decarbonisation or energy independence that the renewable-only pathways achieve. Global LNG markets are also subject to price volatility, as the 2022 energy crisis demonstrated when European demand spikes drove LNG spot prices to unprecedented levels.</w:t>
      </w:r>
    </w:p>
    <w:bookmarkEnd w:id="116"/>
    <w:bookmarkStart w:id="120" w:name="scenario-comparison-matrix"/>
    <w:p>
      <w:pPr>
        <w:pStyle w:val="Heading2"/>
      </w:pPr>
      <w:r>
        <w:t xml:space="preserve">6.9 Scenario Comparison Matrix</w:t>
      </w:r>
    </w:p>
    <w:p>
      <w:pPr>
        <w:pStyle w:val="FirstParagraph"/>
      </w:pPr>
      <w:r>
        <w:t xml:space="preserve">The bubble chart below provides a visual synthesis of how the seven scenarios compare along two of the most important dimensions: cumulative emissions (horizontal axis, with lower emissions to the right) and NPV savings relative to diesel BAU (vertical axis, with higher savings toward the top). The size of each bubble is proportional to the total capital expenditure required, allowing the reader to see at a glance which pathways achieve the largest economic and environmental benefits and at what investment cost.</w:t>
      </w:r>
    </w:p>
    <w:tbl>
      <w:tblPr>
        <w:tblStyle w:val="Table"/>
        <w:tblW w:type="pct" w:w="5000"/>
        <w:tblLayout w:type="fixed"/>
        <w:tblLook w:firstRow="0" w:lastRow="0" w:firstColumn="0" w:lastColumn="0" w:noHBand="0" w:noVBand="0" w:val="0000"/>
      </w:tblPr>
      <w:tblGrid>
        <w:gridCol w:w="7920"/>
      </w:tblGrid>
      <w:tr>
        <w:tc>
          <w:tcPr/>
          <w:bookmarkStart w:id="119" w:name="fig-scenario-matrix"/>
          <w:tbl>
            <w:tblPr>
              <w:tblStyle w:val="Table"/>
              <w:tblW w:type="pct" w:w="5000"/>
              <w:tblLayout w:type="fixed"/>
              <w:tblLook w:firstRow="0" w:lastRow="0" w:firstColumn="0" w:lastColumn="0" w:noHBand="0" w:noVBand="0" w:val="0000"/>
            </w:tblPr>
            <w:tblGrid>
              <w:gridCol w:w="7920"/>
            </w:tblGrid>
            <w:tr>
              <w:tc>
                <w:tcPr/>
                <w:bookmarkStart w:id="117" w:name="fig-scenario-matrix-1"/>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(a) Scenario positioning on cost vs. emissions dimensions. Bubble size represents total CAPEX.</w:t>
                  </w:r>
                </w:p>
                <w:bookmarkEnd w:id="117"/>
              </w:tc>
            </w:tr>
          </w:tbl>
          <w:p>
            <w:pPr>
              <w:jc w:val="center"/>
            </w:pPr>
            <w:r>
              <w:t xml:space="preserve"> </w:t>
            </w:r>
          </w:p>
          <w:tbl>
            <w:tblPr>
              <w:tblStyle w:val="Table"/>
              <w:tblW w:type="pct" w:w="5000"/>
              <w:tblLayout w:type="fixed"/>
              <w:tblLook w:firstRow="0" w:lastRow="0" w:firstColumn="0" w:lastColumn="0" w:noHBand="0" w:noVBand="0" w:val="0000"/>
            </w:tblPr>
            <w:tblGrid>
              <w:gridCol w:w="7920"/>
            </w:tblGrid>
            <w:tr>
              <w:tc>
                <w:tcPr/>
                <w:bookmarkStart w:id="118" w:name="fig-scenario-matrix-2"/>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(b)</w:t>
                  </w:r>
                </w:p>
                <w:bookmarkEnd w:id="118"/>
              </w:tc>
            </w:tr>
          </w:tbl>
          <w:p>
            <w:pPr>
              <w:jc w:val="center"/>
            </w:pPr>
            <w:pPr>
              <w:jc w:val="start"/>
              <w:spacing w:before="200"/>
              <w:pStyle w:val="ImageCaption"/>
            </w:pPr>
            <w:r>
              <w:t xml:space="preserve">Figure 6.1</w:t>
            </w:r>
          </w:p>
          <w:bookmarkEnd w:id="119"/>
        </w:tc>
      </w:tr>
    </w:tbl>
    <w:p>
      <w:pPr>
        <w:pStyle w:val="BodyText"/>
      </w:pPr>
      <w:r>
        <w:t xml:space="preserve">The bubble chart reveals a clear pattern. The BAU scenario (S1) sits in the lower-left corner with zero savings and the highest emissions, while all six alternatives cluster in the upper portion of the chart with positive NPV savings. The highest-saving scenarios tend also to be the lowest-emitting ones, confirming that there is no fundamental tension between economic efficiency and environmental performance in this context — the cheapest pathways are also the cleanest. The size of the bubbles illustrates the capital investment trade-off: the India cable (S2) requires the largest upfront investment but does not consistently deliver the largest returns, while the domestically focused scenarios (S3, S4, S5) achieve large savings with more moderate capital requirements. The Maximum RE scenario (S6) pushes toward the frontier on both dimensions, achieving near-zero emissions with strong savings, though its bubble size reflects the premium cost of floating solar technology. The LNG scenario (S7) sits in an intermediate position on emissions — better than diesel but not as clean as the all-renewable pathways — while still achieving substantial savings.</w:t>
      </w:r>
    </w:p>
    <w:p>
      <w:pPr>
        <w:pStyle w:val="BodyText"/>
      </w:pPr>
      <w:r>
        <w:t xml:space="preserve">The following chapters present the detailed economic results (</w:t>
      </w:r>
      <w:hyperlink w:anchor="sec-results">
        <w:r>
          <w:rPr>
            <w:rStyle w:val="Hyperlink"/>
          </w:rPr>
          <w:t xml:space="preserve">Chapter 8</w:t>
        </w:r>
      </w:hyperlink>
      <w:r>
        <w:t xml:space="preserve">), test their robustness under parametric uncertainty (</w:t>
      </w:r>
      <w:hyperlink w:anchor="sec-sensitivity">
        <w:r>
          <w:rPr>
            <w:rStyle w:val="Hyperlink"/>
          </w:rPr>
          <w:t xml:space="preserve">Chapter 10</w:t>
        </w:r>
      </w:hyperlink>
      <w:r>
        <w:t xml:space="preserve">), and extend the analysis beyond economic efficiency to encompass equity, institutional, and environmental dimensions (</w:t>
      </w:r>
      <w:hyperlink w:anchor="sec-mca">
        <w:r>
          <w:rPr>
            <w:rStyle w:val="Hyperlink"/>
          </w:rPr>
          <w:t xml:space="preserve">Chapter 12</w:t>
        </w:r>
      </w:hyperlink>
      <w:r>
        <w:t xml:space="preserve"> </w:t>
      </w:r>
      <w:r>
        <w:t xml:space="preserve">through</w:t>
      </w:r>
      <w:r>
        <w:t xml:space="preserve"> </w:t>
      </w:r>
      <w:hyperlink w:anchor="sec-financing">
        <w:r>
          <w:rPr>
            <w:rStyle w:val="Hyperlink"/>
          </w:rPr>
          <w:t xml:space="preserve">Chapter 16</w:t>
        </w:r>
      </w:hyperlink>
      <w:r>
        <w:t xml:space="preserve">).</w:t>
      </w:r>
    </w:p>
    <w:bookmarkEnd w:id="120"/>
    <w:bookmarkEnd w:id="121"/>
    <w:bookmarkStart w:id="122" w:name="section-1"/>
    <w:p>
      <w:pPr>
        <w:pStyle w:val="Heading1"/>
      </w:pPr>
      <w:r>
        <w:t xml:space="preserve">7. —</w:t>
      </w:r>
    </w:p>
    <w:bookmarkEnd w:id="122"/>
    <w:bookmarkStart w:id="139" w:name="sec-results"/>
    <w:p>
      <w:pPr>
        <w:pStyle w:val="Heading1"/>
      </w:pPr>
      <w:r>
        <w:t xml:space="preserve">8. Results</w:t>
      </w:r>
    </w:p>
    <w:p>
      <w:pPr>
        <w:pStyle w:val="FirstParagraph"/>
      </w:pPr>
      <w:r>
        <w:t xml:space="preserve">This chapter presents the core economic findings of the cost-benefit analysis. It examines the present-value costs, savings, benefit-cost ratios, levelised costs of electricity, and emissions trajectories for all seven scenarios, and provides a detailed incremental analysis comparing the India cable against domestic renewable alternatives.</w:t>
      </w:r>
    </w:p>
    <w:bookmarkStart w:id="126" w:name="X869baa64170fa0ea071dfe086ae1f9e9ed5fe67"/>
    <w:p>
      <w:pPr>
        <w:pStyle w:val="Heading2"/>
      </w:pPr>
      <w:r>
        <w:t xml:space="preserve">8.1 The Big Picture: All Alternatives Beat Diesel</w:t>
      </w:r>
    </w:p>
    <w:p>
      <w:pPr>
        <w:pStyle w:val="FirstParagraph"/>
      </w:pPr>
      <w:r>
        <w:t xml:space="preserve">The most important finding of this analysis can be stated simply: every single alternative pathway generates billions of dollars in net economic benefits compared to continued diesel dependence. This result is not marginal or ambiguous — the savings are large, they are consistent across scenarios, and as demonstrated in</w:t>
      </w:r>
      <w:r>
        <w:t xml:space="preserve"> </w:t>
      </w:r>
      <w:hyperlink w:anchor="sec-sensitivity">
        <w:r>
          <w:rPr>
            <w:rStyle w:val="Hyperlink"/>
          </w:rPr>
          <w:t xml:space="preserve">Chapter 10</w:t>
        </w:r>
      </w:hyperlink>
      <w:r>
        <w:t xml:space="preserve">, they are robust to wide variation in key parameters.</w:t>
      </w:r>
    </w:p>
    <w:tbl>
      <w:tblPr>
        <w:tblStyle w:val="Table"/>
        <w:tblW w:type="pct" w:w="5000"/>
        <w:tblLayout w:type="fixed"/>
        <w:tblLook w:firstRow="0" w:lastRow="0" w:firstColumn="0" w:lastColumn="0" w:noHBand="0" w:noVBand="0" w:val="0000"/>
      </w:tblPr>
      <w:tblGrid>
        <w:gridCol w:w="7920"/>
      </w:tblGrid>
      <w:tr>
        <w:tc>
          <w:tcPr/>
          <w:bookmarkStart w:id="125" w:name="fig-npv-savings"/>
          <w:tbl>
            <w:tblPr>
              <w:tblStyle w:val="Table"/>
              <w:tblW w:type="pct" w:w="5000"/>
              <w:tblLayout w:type="fixed"/>
              <w:tblLook w:firstRow="0" w:lastRow="0" w:firstColumn="0" w:lastColumn="0" w:noHBand="0" w:noVBand="0" w:val="0000"/>
            </w:tblPr>
            <w:tblGrid>
              <w:gridCol w:w="7920"/>
            </w:tblGrid>
            <w:tr>
              <w:tc>
                <w:tcPr/>
                <w:bookmarkStart w:id="123" w:name="fig-npv-savings-1"/>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(a) Net present value of savings versus BAU for each alternative scenario. All alternatives generate billions in net benefits.</w:t>
                  </w:r>
                </w:p>
                <w:bookmarkEnd w:id="123"/>
              </w:tc>
            </w:tr>
          </w:tbl>
          <w:p>
            <w:pPr>
              <w:jc w:val="center"/>
            </w:pPr>
            <w:r>
              <w:t xml:space="preserve"> </w:t>
            </w:r>
          </w:p>
          <w:tbl>
            <w:tblPr>
              <w:tblStyle w:val="Table"/>
              <w:tblW w:type="pct" w:w="5000"/>
              <w:tblLayout w:type="fixed"/>
              <w:tblLook w:firstRow="0" w:lastRow="0" w:firstColumn="0" w:lastColumn="0" w:noHBand="0" w:noVBand="0" w:val="0000"/>
            </w:tblPr>
            <w:tblGrid>
              <w:gridCol w:w="7920"/>
            </w:tblGrid>
            <w:tr>
              <w:tc>
                <w:tcPr/>
                <w:bookmarkStart w:id="124" w:name="fig-npv-savings-2"/>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(b)</w:t>
                  </w:r>
                </w:p>
                <w:bookmarkEnd w:id="124"/>
              </w:tc>
            </w:tr>
          </w:tbl>
          <w:p>
            <w:pPr>
              <w:jc w:val="center"/>
            </w:pPr>
            <w:pPr>
              <w:jc w:val="start"/>
              <w:spacing w:before="200"/>
              <w:pStyle w:val="ImageCaption"/>
            </w:pPr>
            <w:r>
              <w:t xml:space="preserve">Figure 8.1</w:t>
            </w:r>
          </w:p>
          <w:bookmarkEnd w:id="125"/>
        </w:tc>
      </w:tr>
    </w:tbl>
    <w:p>
      <w:pPr>
        <w:pStyle w:val="BodyText"/>
      </w:pPr>
      <w:r>
        <w:t xml:space="preserve">The figure above displays the net present value of savings for each alternative scenario relative to the diesel business-as-usual counterfactual. The results are unambiguous: every alternative saves the Maldives between $9.5 billion and $12.2 billion in present value over the 30-year analysis period. The S7 — LNG Transition scenario achieves the highest NPV savings, while even S4 — Islanded Green — the least advantageous alternative — delivers substantial net benefits. The magnitude of these savings reflects the enormous cumulative cost of diesel fuel over three decades, which dwarfs the upfront capital investment required for any of the transition pathways.</w:t>
      </w:r>
    </w:p>
    <w:p>
      <w:pPr>
        <w:pStyle w:val="BodyText"/>
      </w:pPr>
      <w:r>
        <w:t xml:space="preserve">It is worth emphasising that these savings are calculated at a 6 per cent real discount rate, which heavily discounts benefits occurring in later years. At lower discount rates (3–4 per cent, as used by several OECD development agencies), the savings would be even larger, because the long tail of fuel cost avoidance in the 2040s and 2050s receives greater weight. Conversely, even at the high end of the ADB range (12 per cent), all alternatives still dominate diesel — the breakeven discount rate for every scenario is well above 0 per cent.</w:t>
      </w:r>
    </w:p>
    <w:bookmarkEnd w:id="126"/>
    <w:bookmarkStart w:id="128" w:name="cost-breakdown-by-component"/>
    <w:p>
      <w:pPr>
        <w:pStyle w:val="Heading2"/>
      </w:pPr>
      <w:r>
        <w:t xml:space="preserve">8.2 Cost Breakdown by Component</w:t>
      </w:r>
    </w:p>
    <w:p>
      <w:pPr>
        <w:pStyle w:val="FirstParagraph"/>
      </w:pPr>
      <w:r>
        <w:t xml:space="preserve">Understanding</w:t>
      </w:r>
      <w:r>
        <w:t xml:space="preserve"> </w:t>
      </w:r>
      <w:r>
        <w:rPr>
          <w:i/>
          <w:iCs/>
        </w:rPr>
        <w:t xml:space="preserve">why</w:t>
      </w:r>
      <w:r>
        <w:t xml:space="preserve"> </w:t>
      </w:r>
      <w:r>
        <w:t xml:space="preserve">the alternatives are cheaper requires examining the composition of costs under each pathway. The stacked bar chart below decomposes the present value of total system costs into four components: capital expenditure (the upfront investment in solar panels, batteries, cables, generators, and other infrastructure), operating expenditure (annual maintenance, labour, and non-fuel running costs), fuel costs (diesel and LNG purchases), and power purchase agreement imports (the cost of electricity imported via the India cable).</w:t>
      </w:r>
    </w:p>
    <w:tbl>
      <w:tblPr>
        <w:tblStyle w:val="Table"/>
        <w:tblW w:type="pct" w:w="5000"/>
        <w:tblLayout w:type="fixed"/>
        <w:tblLook w:firstRow="0" w:lastRow="0" w:firstColumn="0" w:lastColumn="0" w:noHBand="0" w:noVBand="0" w:val="0000"/>
      </w:tblPr>
      <w:tblGrid>
        <w:gridCol w:w="7920"/>
      </w:tblGrid>
      <w:tr>
        <w:tc>
          <w:tcPr/>
          <w:bookmarkStart w:id="127" w:name="fig-cost-breakdown"/>
          <w:p>
            <w:pPr>
              <w:pStyle w:val="SourceCode"/>
              <w:jc w:val="center"/>
            </w:pPr>
            <w:r>
              <w:rPr>
                <w:rStyle w:val="VerbatimChar"/>
              </w:rPr>
              <w:t xml:space="preserve">Unable to display output for mime type(s): text/html</w:t>
            </w:r>
          </w:p>
          <w:p>
            <w:pPr>
              <w:jc w:val="center"/>
            </w:pPr>
            <w:pPr>
              <w:jc w:val="start"/>
              <w:spacing w:before="200"/>
              <w:pStyle w:val="ImageCaption"/>
            </w:pPr>
            <w:r>
              <w:t xml:space="preserve">Figure 8.2: Present value of costs by component for each scenario. Fuel costs dominate BAU; CAPEX dominates alternatives but at lower total cost.</w:t>
            </w:r>
          </w:p>
          <w:bookmarkEnd w:id="127"/>
        </w:tc>
      </w:tr>
    </w:tbl>
    <w:p>
      <w:pPr>
        <w:pStyle w:val="BodyText"/>
      </w:pPr>
      <w:r>
        <w:t xml:space="preserve">The cost structure reveals a fundamental shift between diesel and renewable pathways. Under business-as-usual, the dominant cost component is fuel, which accounts for $14.3 billion or approximately 92 per cent of total lifetime system costs. This reflects the inherent economics of diesel generation: the capital cost of generators is relatively modest, but the ongoing fuel expenditure compounds relentlessly over 30 years, especially as diesel prices escalate and demand grows.</w:t>
      </w:r>
    </w:p>
    <w:p>
      <w:pPr>
        <w:pStyle w:val="BodyText"/>
      </w:pPr>
      <w:r>
        <w:t xml:space="preserve">The renewable scenarios invert this cost structure. Capital expenditure — for solar panels, battery systems, and in some cases submarine cables and LNG terminals — becomes the dominant cost component, while fuel costs shrink dramatically or disappear entirely. The critical insight is that even though the upfront CAPEX of the renewable pathways is higher than the BAU generator replacement cost, the total lifetime system cost is substantially lower because the avoided fuel expenditure far outweighs the additional capital investment. Solar panels and batteries, once installed, generate electricity at near-zero marginal cost for decades, whereas diesel generators require a continuous stream of expensive imported fuel.</w:t>
      </w:r>
    </w:p>
    <w:p>
      <w:pPr>
        <w:pStyle w:val="BodyText"/>
      </w:pPr>
      <w:r>
        <w:t xml:space="preserve">The Full Integration scenario (S2) is unique in exhibiting significant PPA import costs alongside CAPEX, reflecting the ongoing payments for electricity imported through the India cable. While these import costs are far lower than the diesel fuel costs they displace, they represent a continuing outflow that the purely domestic renewable scenarios avoid entirely.</w:t>
      </w:r>
    </w:p>
    <w:bookmarkEnd w:id="128"/>
    <w:bookmarkStart w:id="131" w:name="benefit-cost-ratios-and-returns"/>
    <w:p>
      <w:pPr>
        <w:pStyle w:val="Heading2"/>
      </w:pPr>
      <w:r>
        <w:t xml:space="preserve">8.3 Benefit-Cost Ratios and Returns</w:t>
      </w:r>
    </w:p>
    <w:p>
      <w:pPr>
        <w:pStyle w:val="FirstParagraph"/>
      </w:pPr>
      <w:r>
        <w:t xml:space="preserve">The benefit-cost ratio and internal rate of return provide complementary perspectives on the economic attractiveness of each transition pathway. The BCR indicates the total present value of benefits generated per dollar of incremental cost, with any value above 1.0 indicating that the investment creates net value for society. The IRR identifies the discount rate at which the project breaks even, with values exceeding the 6 per cent hurdle rate confirming economic viability.</w:t>
      </w:r>
    </w:p>
    <w:tbl>
      <w:tblPr>
        <w:tblStyle w:val="Table"/>
        <w:tblW w:type="pct" w:w="5000"/>
        <w:tblLayout w:type="fixed"/>
        <w:tblLook w:firstRow="0" w:lastRow="0" w:firstColumn="0" w:lastColumn="0" w:noHBand="0" w:noVBand="0" w:val="0000"/>
      </w:tblPr>
      <w:tblGrid>
        <w:gridCol w:w="7920"/>
      </w:tblGrid>
      <w:tr>
        <w:tc>
          <w:tcPr/>
          <w:bookmarkStart w:id="129" w:name="fig-bcr-irr"/>
          <w:p>
            <w:pPr>
              <w:pStyle w:val="SourceCode"/>
              <w:jc w:val="center"/>
            </w:pPr>
            <w:r>
              <w:rPr>
                <w:rStyle w:val="VerbatimChar"/>
              </w:rPr>
              <w:t xml:space="preserve">Unable to display output for mime type(s): text/html</w:t>
            </w:r>
          </w:p>
          <w:p>
            <w:pPr>
              <w:jc w:val="center"/>
            </w:pPr>
            <w:pPr>
              <w:jc w:val="start"/>
              <w:spacing w:before="200"/>
              <w:pStyle w:val="ImageCaption"/>
            </w:pPr>
            <w:r>
              <w:t xml:space="preserve">Figure 8.3: Benefit-cost ratios (left) and internal rates of return (right) for each alternative scenario.</w:t>
            </w:r>
          </w:p>
          <w:bookmarkEnd w:id="129"/>
        </w:tc>
      </w:tr>
    </w:tbl>
    <w:p>
      <w:pPr>
        <w:pStyle w:val="BodyText"/>
      </w:pPr>
      <w:r>
        <w:t xml:space="preserve">The left panel shows that all six alternatives achieve BCRs well above the 1.0 threshold, meaning that society receives substantially more in benefits than it pays in costs under every transition pathway. The right panel shows that the IRR for every scenario exceeds the 6 per cent hurdle rate (indicated by the dashed red line), confirming that the transition investments would generate returns above the social opportunity cost of capital even under more conservative assumptions about the discount rate. The scenarios with the highest BCRs tend to be those that achieve the deepest displacement of diesel fuel, because the avoided fuel costs constitute the largest benefit stream. The LNG scenario (S7) achieves the highest IRR, reflecting its combination of relatively modest CAPEX and rapid, large fuel cost savings from replacing expensive diesel with cheaper gas — even though it does not achieve the highest absolute NPV savings.</w:t>
      </w:r>
    </w:p>
    <w:p>
      <w:pPr>
        <w:pStyle w:val="BodyText"/>
      </w:pPr>
      <w:r>
        <w:t xml:space="preserve">The full results table below consolidates all key metrics for ready comparison across scenarios.</w:t>
      </w:r>
    </w:p>
    <w:tbl>
      <w:tblPr>
        <w:tblStyle w:val="Table"/>
        <w:tblW w:type="pct" w:w="5000"/>
        <w:tblLayout w:type="fixed"/>
        <w:tblLook w:firstRow="0" w:lastRow="0" w:firstColumn="0" w:lastColumn="0" w:noHBand="0" w:noVBand="0" w:val="0000"/>
      </w:tblPr>
      <w:tblGrid>
        <w:gridCol w:w="7920"/>
      </w:tblGrid>
      <w:tr>
        <w:tc>
          <w:tcPr/>
          <w:bookmarkStart w:id="130" w:name="tbl-results-summary"/>
          <w:p>
            <w:pPr>
              <w:jc w:val="center"/>
            </w:pPr>
            <w:pPr>
              <w:jc w:val="start"/>
              <w:spacing w:before="200"/>
              <w:pStyle w:val="ImageCaption"/>
            </w:pPr>
            <w:r>
              <w:t xml:space="preserve">Table 8.1: Full scenario comparison table: costs, savings, returns, emissions.</w:t>
            </w:r>
          </w:p>
          <w:tbl>
            <w:tblPr>
              <w:tblStyle w:val="Table"/>
              <w:tblW w:type="pct" w:w="5000"/>
              <w:tblLayout w:type="fixed"/>
              <w:tblLook w:firstRow="1" w:lastRow="0" w:firstColumn="0" w:lastColumn="0" w:noHBand="0" w:noVBand="0" w:val="0020"/>
            </w:tblPr>
            <w:tblGrid>
              <w:gridCol w:w="669"/>
              <w:gridCol w:w="1282"/>
              <w:gridCol w:w="892"/>
              <w:gridCol w:w="1115"/>
              <w:gridCol w:w="390"/>
              <w:gridCol w:w="613"/>
              <w:gridCol w:w="892"/>
              <w:gridCol w:w="1171"/>
              <w:gridCol w:w="892"/>
            </w:tblGrid>
            <w:tr>
              <w:trPr>
                <w:tblHeader w:val="on"/>
              </w:trPr>
              <w:tc>
                <w:tcPr/>
                <w:p>
                  <w:pPr>
                    <w:pStyle w:val="Compact"/>
                    <w:jc w:val="left"/>
                    <w:jc w:val="center"/>
                  </w:pPr>
                  <w:r>
                    <w:t xml:space="preserve">Scenario</w:t>
                  </w:r>
                </w:p>
              </w:tc>
              <w:tc>
                <w:tcPr/>
                <w:p>
                  <w:pPr>
                    <w:pStyle w:val="Compact"/>
                    <w:jc w:val="left"/>
                    <w:jc w:val="center"/>
                  </w:pPr>
                  <w:r>
                    <w:t xml:space="preserve">PV Total Costs (</w:t>
                  </w:r>
                  <m:oMath>
                    <m:r>
                      <m:t>B</m:t>
                    </m:r>
                    <m:r>
                      <m:rPr>
                        <m:sty m:val="p"/>
                      </m:rPr>
                      <m:t>)</m:t>
                    </m:r>
                    <m:r>
                      <m:rPr>
                        <m:sty m:val="p"/>
                      </m:rPr>
                      <m:t>|</m:t>
                    </m:r>
                    <m:r>
                      <m:t>L</m:t>
                    </m:r>
                    <m:r>
                      <m:t>C</m:t>
                    </m:r>
                    <m:r>
                      <m:t>O</m:t>
                    </m:r>
                    <m:r>
                      <m:t>E</m:t>
                    </m:r>
                    <m:r>
                      <m:rPr>
                        <m:sty m:val="p"/>
                      </m:rPr>
                      <m:t>(</m:t>
                    </m:r>
                  </m:oMath>
                  <w:r>
                    <w:t xml:space="preserve">/kWh)</w:t>
                  </w:r>
                </w:p>
              </w:tc>
              <w:tc>
                <w:tcPr/>
                <w:p>
                  <w:pPr>
                    <w:pStyle w:val="Compact"/>
                    <w:jc w:val="left"/>
                    <w:jc w:val="center"/>
                  </w:pPr>
                  <w:r>
                    <w:t xml:space="preserve">NPV Savings ($B)</w:t>
                  </w:r>
                </w:p>
              </w:tc>
              <w:tc>
                <w:tcPr/>
                <w:p>
                  <w:pPr>
                    <w:pStyle w:val="Compact"/>
                    <w:jc w:val="left"/>
                    <w:jc w:val="center"/>
                  </w:pPr>
                  <w:r>
                    <w:t xml:space="preserve">BCR</w:t>
                  </w:r>
                </w:p>
              </w:tc>
              <w:tc>
                <w:tcPr/>
                <w:p>
                  <w:pPr>
                    <w:pStyle w:val="Compact"/>
                    <w:jc w:val="left"/>
                    <w:jc w:val="center"/>
                  </w:pPr>
                  <w:r>
                    <w:t xml:space="preserve">IRR (%)</w:t>
                  </w:r>
                </w:p>
              </w:tc>
              <w:tc>
                <w:tcPr/>
                <w:p>
                  <w:pPr>
                    <w:pStyle w:val="Compact"/>
                    <w:jc w:val="left"/>
                    <w:jc w:val="center"/>
                  </w:pPr>
                  <w:r>
                    <w:t xml:space="preserve">Payback (yr)</w:t>
                  </w:r>
                </w:p>
              </w:tc>
              <w:tc>
                <w:tcPr/>
                <w:p>
                  <w:pPr>
                    <w:pStyle w:val="Compact"/>
                    <w:jc w:val="left"/>
                    <w:jc w:val="center"/>
                  </w:pPr>
                  <w:r>
                    <w:t xml:space="preserve">Emissions (MtCO₂)</w:t>
                  </w:r>
                </w:p>
              </w:tc>
              <w:tc>
                <w:tcPr/>
                <w:p>
                  <w:pPr>
                    <w:pStyle w:val="Compact"/>
                    <w:jc w:val="right"/>
                    <w:jc w:val="center"/>
                  </w:pPr>
                  <w:r>
                    <w:t xml:space="preserve">Final RE (%)</w:t>
                  </w:r>
                </w:p>
              </w:tc>
              <w:tc>
                <w:tcPr/>
                <w:p>
                  <w:pPr>
                    <w:pStyle w:val="Compact"/>
                  </w:pPr>
                </w:p>
              </w:tc>
            </w:tr>
            <w:tr>
              <w:tc>
                <w:tcPr/>
                <w:p>
                  <w:pPr>
                    <w:pStyle w:val="Compact"/>
                    <w:jc w:val="left"/>
                    <w:jc w:val="center"/>
                  </w:pPr>
                  <w:r>
                    <w:t xml:space="preserve">S1 BAU</w:t>
                  </w:r>
                </w:p>
              </w:tc>
              <w:tc>
                <w:tcPr/>
                <w:p>
                  <w:pPr>
                    <w:pStyle w:val="Compact"/>
                    <w:jc w:val="left"/>
                    <w:jc w:val="center"/>
                  </w:pPr>
                  <w:r>
                    <w:t xml:space="preserve">$15.7</w:t>
                  </w:r>
                </w:p>
              </w:tc>
              <w:tc>
                <w:tcPr/>
                <w:p>
                  <w:pPr>
                    <w:pStyle w:val="Compact"/>
                    <w:jc w:val="left"/>
                    <w:jc w:val="center"/>
                  </w:pPr>
                  <w:r>
                    <w:t xml:space="preserve">$0.437</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right"/>
                    <w:jc w:val="center"/>
                  </w:pPr>
                  <w:r>
                    <w:t xml:space="preserve">65.8</w:t>
                  </w:r>
                </w:p>
              </w:tc>
              <w:tc>
                <w:tcPr/>
                <w:p>
                  <w:pPr>
                    <w:pStyle w:val="Compact"/>
                    <w:jc w:val="left"/>
                    <w:jc w:val="center"/>
                  </w:pPr>
                  <w:r>
                    <w:t xml:space="preserve">1%</w:t>
                  </w:r>
                </w:p>
              </w:tc>
            </w:tr>
            <w:tr>
              <w:tc>
                <w:tcPr/>
                <w:p>
                  <w:pPr>
                    <w:pStyle w:val="Compact"/>
                    <w:jc w:val="left"/>
                    <w:jc w:val="center"/>
                  </w:pPr>
                  <w:r>
                    <w:t xml:space="preserve">S2 FI</w:t>
                  </w:r>
                </w:p>
              </w:tc>
              <w:tc>
                <w:tcPr/>
                <w:p>
                  <w:pPr>
                    <w:pStyle w:val="Compact"/>
                    <w:jc w:val="left"/>
                    <w:jc w:val="center"/>
                  </w:pPr>
                  <w:r>
                    <w:t xml:space="preserve">$9.3</w:t>
                  </w:r>
                </w:p>
              </w:tc>
              <w:tc>
                <w:tcPr/>
                <w:p>
                  <w:pPr>
                    <w:pStyle w:val="Compact"/>
                    <w:jc w:val="left"/>
                    <w:jc w:val="center"/>
                  </w:pPr>
                  <w:r>
                    <w:t xml:space="preserve">$0.210</w:t>
                  </w:r>
                </w:p>
              </w:tc>
              <w:tc>
                <w:tcPr/>
                <w:p>
                  <w:pPr>
                    <w:pStyle w:val="Compact"/>
                    <w:jc w:val="left"/>
                    <w:jc w:val="center"/>
                  </w:pPr>
                  <w:r>
                    <w:t xml:space="preserve">$9.5</w:t>
                  </w:r>
                </w:p>
              </w:tc>
              <w:tc>
                <w:tcPr/>
                <w:p>
                  <w:pPr>
                    <w:pStyle w:val="Compact"/>
                    <w:jc w:val="left"/>
                    <w:jc w:val="center"/>
                  </w:pPr>
                  <w:r>
                    <w:t xml:space="preserve">2.7×</w:t>
                  </w:r>
                </w:p>
              </w:tc>
              <w:tc>
                <w:tcPr/>
                <w:p>
                  <w:pPr>
                    <w:pStyle w:val="Compact"/>
                    <w:jc w:val="left"/>
                    <w:jc w:val="center"/>
                  </w:pPr>
                  <w:r>
                    <w:t xml:space="preserve">16.3%</w:t>
                  </w:r>
                </w:p>
              </w:tc>
              <w:tc>
                <w:tcPr/>
                <w:p>
                  <w:pPr>
                    <w:pStyle w:val="Compact"/>
                    <w:jc w:val="left"/>
                    <w:jc w:val="center"/>
                  </w:pPr>
                  <w:r>
                    <w:t xml:space="preserve">13</w:t>
                  </w:r>
                </w:p>
              </w:tc>
              <w:tc>
                <w:tcPr/>
                <w:p>
                  <w:pPr>
                    <w:pStyle w:val="Compact"/>
                    <w:jc w:val="right"/>
                    <w:jc w:val="center"/>
                  </w:pPr>
                  <w:r>
                    <w:t xml:space="preserve">49.4</w:t>
                  </w:r>
                </w:p>
              </w:tc>
              <w:tc>
                <w:tcPr/>
                <w:p>
                  <w:pPr>
                    <w:pStyle w:val="Compact"/>
                    <w:jc w:val="left"/>
                    <w:jc w:val="center"/>
                  </w:pPr>
                  <w:r>
                    <w:t xml:space="preserve">8%</w:t>
                  </w:r>
                </w:p>
              </w:tc>
            </w:tr>
            <w:tr>
              <w:tc>
                <w:tcPr/>
                <w:p>
                  <w:pPr>
                    <w:pStyle w:val="Compact"/>
                    <w:jc w:val="left"/>
                    <w:jc w:val="center"/>
                  </w:pPr>
                  <w:r>
                    <w:t xml:space="preserve">S3 NG</w:t>
                  </w:r>
                </w:p>
              </w:tc>
              <w:tc>
                <w:tcPr/>
                <w:p>
                  <w:pPr>
                    <w:pStyle w:val="Compact"/>
                    <w:jc w:val="left"/>
                    <w:jc w:val="center"/>
                  </w:pPr>
                  <w:r>
                    <w:t xml:space="preserve">$9.2</w:t>
                  </w:r>
                </w:p>
              </w:tc>
              <w:tc>
                <w:tcPr/>
                <w:p>
                  <w:pPr>
                    <w:pStyle w:val="Compact"/>
                    <w:jc w:val="left"/>
                    <w:jc w:val="center"/>
                  </w:pPr>
                  <w:r>
                    <w:t xml:space="preserve">$0.294</w:t>
                  </w:r>
                </w:p>
              </w:tc>
              <w:tc>
                <w:tcPr/>
                <w:p>
                  <w:pPr>
                    <w:pStyle w:val="Compact"/>
                    <w:jc w:val="left"/>
                    <w:jc w:val="center"/>
                  </w:pPr>
                  <w:r>
                    <w:t xml:space="preserve">$10.3</w:t>
                  </w:r>
                </w:p>
              </w:tc>
              <w:tc>
                <w:tcPr/>
                <w:p>
                  <w:pPr>
                    <w:pStyle w:val="Compact"/>
                    <w:jc w:val="left"/>
                    <w:jc w:val="center"/>
                  </w:pPr>
                  <w:r>
                    <w:t xml:space="preserve">11.9×</w:t>
                  </w:r>
                </w:p>
              </w:tc>
              <w:tc>
                <w:tcPr/>
                <w:p>
                  <w:pPr>
                    <w:pStyle w:val="Compact"/>
                    <w:jc w:val="left"/>
                    <w:jc w:val="center"/>
                  </w:pPr>
                  <w:r>
                    <w:t xml:space="preserve">33.8%</w:t>
                  </w:r>
                </w:p>
              </w:tc>
              <w:tc>
                <w:tcPr/>
                <w:p>
                  <w:pPr>
                    <w:pStyle w:val="Compact"/>
                    <w:jc w:val="left"/>
                    <w:jc w:val="center"/>
                  </w:pPr>
                  <w:r>
                    <w:t xml:space="preserve">7</w:t>
                  </w:r>
                </w:p>
              </w:tc>
              <w:tc>
                <w:tcPr/>
                <w:p>
                  <w:pPr>
                    <w:pStyle w:val="Compact"/>
                    <w:jc w:val="right"/>
                    <w:jc w:val="center"/>
                  </w:pPr>
                  <w:r>
                    <w:t xml:space="preserve">33.2</w:t>
                  </w:r>
                </w:p>
              </w:tc>
              <w:tc>
                <w:tcPr/>
                <w:p>
                  <w:pPr>
                    <w:pStyle w:val="Compact"/>
                    <w:jc w:val="left"/>
                    <w:jc w:val="center"/>
                  </w:pPr>
                  <w:r>
                    <w:t xml:space="preserve">47%</w:t>
                  </w:r>
                </w:p>
              </w:tc>
            </w:tr>
            <w:tr>
              <w:tc>
                <w:tcPr/>
                <w:p>
                  <w:pPr>
                    <w:pStyle w:val="Compact"/>
                    <w:jc w:val="left"/>
                    <w:jc w:val="center"/>
                  </w:pPr>
                  <w:r>
                    <w:t xml:space="preserve">S4 IG</w:t>
                  </w:r>
                </w:p>
              </w:tc>
              <w:tc>
                <w:tcPr/>
                <w:p>
                  <w:pPr>
                    <w:pStyle w:val="Compact"/>
                    <w:jc w:val="left"/>
                    <w:jc w:val="center"/>
                  </w:pPr>
                  <w:r>
                    <w:t xml:space="preserve">$10.0</w:t>
                  </w:r>
                </w:p>
              </w:tc>
              <w:tc>
                <w:tcPr/>
                <w:p>
                  <w:pPr>
                    <w:pStyle w:val="Compact"/>
                    <w:jc w:val="left"/>
                    <w:jc w:val="center"/>
                  </w:pPr>
                  <w:r>
                    <w:t xml:space="preserve">$0.319</w:t>
                  </w:r>
                </w:p>
              </w:tc>
              <w:tc>
                <w:tcPr/>
                <w:p>
                  <w:pPr>
                    <w:pStyle w:val="Compact"/>
                    <w:jc w:val="left"/>
                    <w:jc w:val="center"/>
                  </w:pPr>
                  <w:r>
                    <w:t xml:space="preserve">$9.5</w:t>
                  </w:r>
                </w:p>
              </w:tc>
              <w:tc>
                <w:tcPr/>
                <w:p>
                  <w:pPr>
                    <w:pStyle w:val="Compact"/>
                    <w:jc w:val="left"/>
                    <w:jc w:val="center"/>
                  </w:pPr>
                  <w:r>
                    <w:t xml:space="preserve">8.6×</w:t>
                  </w:r>
                </w:p>
              </w:tc>
              <w:tc>
                <w:tcPr/>
                <w:p>
                  <w:pPr>
                    <w:pStyle w:val="Compact"/>
                    <w:jc w:val="left"/>
                    <w:jc w:val="center"/>
                  </w:pPr>
                  <w:r>
                    <w:t xml:space="preserve">27.6%</w:t>
                  </w:r>
                </w:p>
              </w:tc>
              <w:tc>
                <w:tcPr/>
                <w:p>
                  <w:pPr>
                    <w:pStyle w:val="Compact"/>
                    <w:jc w:val="left"/>
                    <w:jc w:val="center"/>
                  </w:pPr>
                  <w:r>
                    <w:t xml:space="preserve">9</w:t>
                  </w:r>
                </w:p>
              </w:tc>
              <w:tc>
                <w:tcPr/>
                <w:p>
                  <w:pPr>
                    <w:pStyle w:val="Compact"/>
                    <w:jc w:val="right"/>
                    <w:jc w:val="center"/>
                  </w:pPr>
                  <w:r>
                    <w:t xml:space="preserve">33.6</w:t>
                  </w:r>
                </w:p>
              </w:tc>
              <w:tc>
                <w:tcPr/>
                <w:p>
                  <w:pPr>
                    <w:pStyle w:val="Compact"/>
                    <w:jc w:val="left"/>
                    <w:jc w:val="center"/>
                  </w:pPr>
                  <w:r>
                    <w:t xml:space="preserve">45%</w:t>
                  </w:r>
                </w:p>
              </w:tc>
            </w:tr>
            <w:tr>
              <w:tc>
                <w:tcPr/>
                <w:p>
                  <w:pPr>
                    <w:pStyle w:val="Compact"/>
                    <w:jc w:val="left"/>
                    <w:jc w:val="center"/>
                  </w:pPr>
                  <w:r>
                    <w:t xml:space="preserve">S5 NS</w:t>
                  </w:r>
                </w:p>
              </w:tc>
              <w:tc>
                <w:tcPr/>
                <w:p>
                  <w:pPr>
                    <w:pStyle w:val="Compact"/>
                    <w:jc w:val="left"/>
                    <w:jc w:val="center"/>
                  </w:pPr>
                  <w:r>
                    <w:t xml:space="preserve">$8.8</w:t>
                  </w:r>
                </w:p>
              </w:tc>
              <w:tc>
                <w:tcPr/>
                <w:p>
                  <w:pPr>
                    <w:pStyle w:val="Compact"/>
                    <w:jc w:val="left"/>
                    <w:jc w:val="center"/>
                  </w:pPr>
                  <w:r>
                    <w:t xml:space="preserve">$0.280</w:t>
                  </w:r>
                </w:p>
              </w:tc>
              <w:tc>
                <w:tcPr/>
                <w:p>
                  <w:pPr>
                    <w:pStyle w:val="Compact"/>
                    <w:jc w:val="left"/>
                    <w:jc w:val="center"/>
                  </w:pPr>
                  <w:r>
                    <w:t xml:space="preserve">$11.1</w:t>
                  </w:r>
                </w:p>
              </w:tc>
              <w:tc>
                <w:tcPr/>
                <w:p>
                  <w:pPr>
                    <w:pStyle w:val="Compact"/>
                    <w:jc w:val="left"/>
                    <w:jc w:val="center"/>
                  </w:pPr>
                  <w:r>
                    <w:t xml:space="preserve">10.8×</w:t>
                  </w:r>
                </w:p>
              </w:tc>
              <w:tc>
                <w:tcPr/>
                <w:p>
                  <w:pPr>
                    <w:pStyle w:val="Compact"/>
                    <w:jc w:val="left"/>
                    <w:jc w:val="center"/>
                  </w:pPr>
                  <w:r>
                    <w:t xml:space="preserve">33.4%</w:t>
                  </w:r>
                </w:p>
              </w:tc>
              <w:tc>
                <w:tcPr/>
                <w:p>
                  <w:pPr>
                    <w:pStyle w:val="Compact"/>
                    <w:jc w:val="left"/>
                    <w:jc w:val="center"/>
                  </w:pPr>
                  <w:r>
                    <w:t xml:space="preserve">8</w:t>
                  </w:r>
                </w:p>
              </w:tc>
              <w:tc>
                <w:tcPr/>
                <w:p>
                  <w:pPr>
                    <w:pStyle w:val="Compact"/>
                    <w:jc w:val="right"/>
                    <w:jc w:val="center"/>
                  </w:pPr>
                  <w:r>
                    <w:t xml:space="preserve">30.6</w:t>
                  </w:r>
                </w:p>
              </w:tc>
              <w:tc>
                <w:tcPr/>
                <w:p>
                  <w:pPr>
                    <w:pStyle w:val="Compact"/>
                    <w:jc w:val="left"/>
                    <w:jc w:val="center"/>
                  </w:pPr>
                  <w:r>
                    <w:t xml:space="preserve">50%</w:t>
                  </w:r>
                </w:p>
              </w:tc>
            </w:tr>
            <w:tr>
              <w:tc>
                <w:tcPr/>
                <w:p>
                  <w:pPr>
                    <w:pStyle w:val="Compact"/>
                    <w:jc w:val="left"/>
                    <w:jc w:val="center"/>
                  </w:pPr>
                  <w:r>
                    <w:t xml:space="preserve">S6 MR</w:t>
                  </w:r>
                </w:p>
              </w:tc>
              <w:tc>
                <w:tcPr/>
                <w:p>
                  <w:pPr>
                    <w:pStyle w:val="Compact"/>
                    <w:jc w:val="left"/>
                    <w:jc w:val="center"/>
                  </w:pPr>
                  <w:r>
                    <w:t xml:space="preserve">$8.3</w:t>
                  </w:r>
                </w:p>
              </w:tc>
              <w:tc>
                <w:tcPr/>
                <w:p>
                  <w:pPr>
                    <w:pStyle w:val="Compact"/>
                    <w:jc w:val="left"/>
                    <w:jc w:val="center"/>
                  </w:pPr>
                  <w:r>
                    <w:t xml:space="preserve">$0.263</w:t>
                  </w:r>
                </w:p>
              </w:tc>
              <w:tc>
                <w:tcPr/>
                <w:p>
                  <w:pPr>
                    <w:pStyle w:val="Compact"/>
                    <w:jc w:val="left"/>
                    <w:jc w:val="center"/>
                  </w:pPr>
                  <w:r>
                    <w:t xml:space="preserve">$12.2</w:t>
                  </w:r>
                </w:p>
              </w:tc>
              <w:tc>
                <w:tcPr/>
                <w:p>
                  <w:pPr>
                    <w:pStyle w:val="Compact"/>
                    <w:jc w:val="left"/>
                    <w:jc w:val="center"/>
                  </w:pPr>
                  <w:r>
                    <w:t xml:space="preserve">9.6×</w:t>
                  </w:r>
                </w:p>
              </w:tc>
              <w:tc>
                <w:tcPr/>
                <w:p>
                  <w:pPr>
                    <w:pStyle w:val="Compact"/>
                    <w:jc w:val="left"/>
                    <w:jc w:val="center"/>
                  </w:pPr>
                  <w:r>
                    <w:t xml:space="preserve">33.2%</w:t>
                  </w:r>
                </w:p>
              </w:tc>
              <w:tc>
                <w:tcPr/>
                <w:p>
                  <w:pPr>
                    <w:pStyle w:val="Compact"/>
                    <w:jc w:val="left"/>
                    <w:jc w:val="center"/>
                  </w:pPr>
                  <w:r>
                    <w:t xml:space="preserve">8</w:t>
                  </w:r>
                </w:p>
              </w:tc>
              <w:tc>
                <w:tcPr/>
                <w:p>
                  <w:pPr>
                    <w:pStyle w:val="Compact"/>
                    <w:jc w:val="right"/>
                    <w:jc w:val="center"/>
                  </w:pPr>
                  <w:r>
                    <w:t xml:space="preserve">26.6</w:t>
                  </w:r>
                </w:p>
              </w:tc>
              <w:tc>
                <w:tcPr/>
                <w:p>
                  <w:pPr>
                    <w:pStyle w:val="Compact"/>
                    <w:jc w:val="left"/>
                    <w:jc w:val="center"/>
                  </w:pPr>
                  <w:r>
                    <w:t xml:space="preserve">56%</w:t>
                  </w:r>
                </w:p>
              </w:tc>
            </w:tr>
            <w:tr>
              <w:tc>
                <w:tcPr/>
                <w:p>
                  <w:pPr>
                    <w:pStyle w:val="Compact"/>
                    <w:jc w:val="left"/>
                    <w:jc w:val="center"/>
                  </w:pPr>
                  <w:r>
                    <w:t xml:space="preserve">S7 LNG</w:t>
                  </w:r>
                </w:p>
              </w:tc>
              <w:tc>
                <w:tcPr/>
                <w:p>
                  <w:pPr>
                    <w:pStyle w:val="Compact"/>
                    <w:jc w:val="left"/>
                    <w:jc w:val="center"/>
                  </w:pPr>
                  <w:r>
                    <w:t xml:space="preserve">$7.8</w:t>
                  </w:r>
                </w:p>
              </w:tc>
              <w:tc>
                <w:tcPr/>
                <w:p>
                  <w:pPr>
                    <w:pStyle w:val="Compact"/>
                    <w:jc w:val="left"/>
                    <w:jc w:val="center"/>
                  </w:pPr>
                  <w:r>
                    <w:t xml:space="preserve">$0.219</w:t>
                  </w:r>
                </w:p>
              </w:tc>
              <w:tc>
                <w:tcPr/>
                <w:p>
                  <w:pPr>
                    <w:pStyle w:val="Compact"/>
                    <w:jc w:val="left"/>
                    <w:jc w:val="center"/>
                  </w:pPr>
                  <w:r>
                    <w:t xml:space="preserve">$12.2</w:t>
                  </w:r>
                </w:p>
              </w:tc>
              <w:tc>
                <w:tcPr/>
                <w:p>
                  <w:pPr>
                    <w:pStyle w:val="Compact"/>
                    <w:jc w:val="left"/>
                    <w:jc w:val="center"/>
                  </w:pPr>
                  <w:r>
                    <w:t xml:space="preserve">11.6×</w:t>
                  </w:r>
                </w:p>
              </w:tc>
              <w:tc>
                <w:tcPr/>
                <w:p>
                  <w:pPr>
                    <w:pStyle w:val="Compact"/>
                    <w:jc w:val="left"/>
                    <w:jc w:val="center"/>
                  </w:pPr>
                  <w:r>
                    <w:t xml:space="preserve">41.3%</w:t>
                  </w:r>
                </w:p>
              </w:tc>
              <w:tc>
                <w:tcPr/>
                <w:p>
                  <w:pPr>
                    <w:pStyle w:val="Compact"/>
                    <w:jc w:val="left"/>
                    <w:jc w:val="center"/>
                  </w:pPr>
                  <w:r>
                    <w:t xml:space="preserve">7</w:t>
                  </w:r>
                </w:p>
              </w:tc>
              <w:tc>
                <w:tcPr/>
                <w:p>
                  <w:pPr>
                    <w:pStyle w:val="Compact"/>
                    <w:jc w:val="right"/>
                    <w:jc w:val="center"/>
                  </w:pPr>
                  <w:r>
                    <w:t xml:space="preserve">33.4</w:t>
                  </w:r>
                </w:p>
              </w:tc>
              <w:tc>
                <w:tcPr/>
                <w:p>
                  <w:pPr>
                    <w:pStyle w:val="Compact"/>
                    <w:jc w:val="left"/>
                    <w:jc w:val="center"/>
                  </w:pPr>
                  <w:r>
                    <w:t xml:space="preserve">38%</w:t>
                  </w:r>
                </w:p>
              </w:tc>
            </w:tr>
          </w:tbl>
          <w:bookmarkEnd w:id="130"/>
          <w:p/>
        </w:tc>
      </w:tr>
    </w:tbl>
    <w:p>
      <w:pPr>
        <w:pStyle w:val="BodyText"/>
      </w:pPr>
      <w:r>
        <w:t xml:space="preserve">The summary table reinforces the central finding that every alternative pathway is economically superior to continued diesel dependence, and it allows the reader to see the trade-offs among them. The scenarios with the highest renewable energy shares tend to deliver the largest NPV savings, the lowest LCOE, and the deepest emissions reductions, but they may also require more capital and involve greater technological risk (as with floating solar in S6). The LNG scenario stands out for its combination of fast payback and high IRR, which reflects its bridging character — it achieves rapid cost savings by swapping one fossil fuel for a cheaper one, rather than by fundamentally transforming the technology base.</w:t>
      </w:r>
    </w:p>
    <w:bookmarkEnd w:id="131"/>
    <w:bookmarkStart w:id="133" w:name="lcoe-comparison"/>
    <w:p>
      <w:pPr>
        <w:pStyle w:val="Heading2"/>
      </w:pPr>
      <w:r>
        <w:t xml:space="preserve">8.4 LCOE Comparison</w:t>
      </w:r>
    </w:p>
    <w:p>
      <w:pPr>
        <w:pStyle w:val="FirstParagraph"/>
      </w:pPr>
      <w:r>
        <w:t xml:space="preserve">The levelised cost of electricity provides the most intuitive metric for comparing generation costs across technologies and scenarios. Unlike total system cost or NPV, which are sensitive to demand projections and discount rates, LCOE expresses the average cost of producing one unit of electricity over the project lifetime, making it directly comparable to retail tariffs, benchmark studies, and international experience.</w:t>
      </w:r>
    </w:p>
    <w:tbl>
      <w:tblPr>
        <w:tblStyle w:val="Table"/>
        <w:tblW w:type="pct" w:w="5000"/>
        <w:tblLayout w:type="fixed"/>
        <w:tblLook w:firstRow="0" w:lastRow="0" w:firstColumn="0" w:lastColumn="0" w:noHBand="0" w:noVBand="0" w:val="0000"/>
      </w:tblPr>
      <w:tblGrid>
        <w:gridCol w:w="7920"/>
      </w:tblGrid>
      <w:tr>
        <w:tc>
          <w:tcPr/>
          <w:bookmarkStart w:id="132" w:name="fig-lcoe"/>
          <w:p>
            <w:pPr>
              <w:pStyle w:val="SourceCode"/>
              <w:jc w:val="center"/>
            </w:pPr>
            <w:r>
              <w:rPr>
                <w:rStyle w:val="VerbatimChar"/>
              </w:rPr>
              <w:t xml:space="preserve">Unable to display output for mime type(s): text/html</w:t>
            </w:r>
          </w:p>
          <w:p>
            <w:pPr>
              <w:jc w:val="center"/>
            </w:pPr>
            <w:pPr>
              <w:jc w:val="start"/>
              <w:spacing w:before="200"/>
              <w:pStyle w:val="ImageCaption"/>
            </w:pPr>
            <w:r>
              <w:t xml:space="preserve">Figure 8.4: Levelised cost of electricity by scenario, with international benchmarks for context.</w:t>
            </w:r>
          </w:p>
          <w:bookmarkEnd w:id="132"/>
        </w:tc>
      </w:tr>
    </w:tbl>
    <w:p>
      <w:pPr>
        <w:pStyle w:val="BodyText"/>
      </w:pPr>
      <w:r>
        <w:t xml:space="preserve">The LCOE comparison chart places the Maldives scenarios in the context of international benchmarks. The diesel BAU LCOE substantially exceeds global diesel mini-grid averages, reflecting the particular cost penalties of small-island generation: fuel transport surcharges, scale inefficiencies of small generators, and high labour costs for maintenance on remote islands. The renewable-based scenarios achieve LCOEs that approach the SIDS average for renewable generation and, in some cases, come close to global utility-scale solar benchmarks — a remarkable achievement for a small island nation with severe logistical constraints. The gap between the BAU LCOE and the best alternative LCOEs represents the per-unit cost advantage of transition, which compounds into the billions of dollars of NPV savings documented above.</w:t>
      </w:r>
    </w:p>
    <w:bookmarkEnd w:id="133"/>
    <w:bookmarkStart w:id="135" w:name="emissions-trajectories"/>
    <w:p>
      <w:pPr>
        <w:pStyle w:val="Heading2"/>
      </w:pPr>
      <w:r>
        <w:t xml:space="preserve">8.5 Emissions Trajectories</w:t>
      </w:r>
    </w:p>
    <w:p>
      <w:pPr>
        <w:pStyle w:val="FirstParagraph"/>
      </w:pPr>
      <w:r>
        <w:t xml:space="preserve">Climate impact is a critical dimension of the energy transition decision, both because the Maldives has committed to ambitious emissions reduction targets under the Paris Agreement and because, as the world’s lowest-lying nation, it has an existential stake in global climate action. The figure below compares cumulative CO₂ emissions across all seven scenarios over the 30-year analysis period.</w:t>
      </w:r>
    </w:p>
    <w:tbl>
      <w:tblPr>
        <w:tblStyle w:val="Table"/>
        <w:tblW w:type="pct" w:w="5000"/>
        <w:tblLayout w:type="fixed"/>
        <w:tblLook w:firstRow="0" w:lastRow="0" w:firstColumn="0" w:lastColumn="0" w:noHBand="0" w:noVBand="0" w:val="0000"/>
      </w:tblPr>
      <w:tblGrid>
        <w:gridCol w:w="7920"/>
      </w:tblGrid>
      <w:tr>
        <w:tc>
          <w:tcPr/>
          <w:bookmarkStart w:id="134" w:name="fig-emissions"/>
          <w:p>
            <w:pPr>
              <w:pStyle w:val="SourceCode"/>
              <w:jc w:val="center"/>
            </w:pPr>
            <w:r>
              <w:rPr>
                <w:rStyle w:val="VerbatimChar"/>
              </w:rPr>
              <w:t xml:space="preserve">Unable to display output for mime type(s): text/html</w:t>
            </w:r>
          </w:p>
          <w:p>
            <w:pPr>
              <w:jc w:val="center"/>
            </w:pPr>
            <w:pPr>
              <w:jc w:val="start"/>
              <w:spacing w:before="200"/>
              <w:pStyle w:val="ImageCaption"/>
            </w:pPr>
            <w:r>
              <w:t xml:space="preserve">Figure 8.5: Cumulative CO₂ emissions by scenario. All alternatives achieve significant emission reductions versus diesel BAU.</w:t>
            </w:r>
          </w:p>
          <w:bookmarkEnd w:id="134"/>
        </w:tc>
      </w:tr>
    </w:tbl>
    <w:p>
      <w:pPr>
        <w:pStyle w:val="BodyText"/>
      </w:pPr>
      <w:r>
        <w:t xml:space="preserve">The emissions comparison reveals the enormous environmental dividend of transition. Under diesel BAU, the Maldives electricity sector would emit 65.8 million tonnes of CO₂ over the 30-year period. The cleanest scenario, S6 MR, reduces cumulative emissions by 60 per cent to just 26.6 million tonnes. Even the scenarios that retain some fossil fuel component — such as the LNG Transition (S7), which achieves a 44 per cent reduction in emission intensity by switching from diesel to natural gas — deliver substantial climate benefits relative to the status quo.</w:t>
      </w:r>
    </w:p>
    <w:p>
      <w:pPr>
        <w:pStyle w:val="BodyText"/>
      </w:pPr>
      <w:r>
        <w:t xml:space="preserve">The emissions ranking does not perfectly mirror the economic ranking, which creates an interesting policy tension. Some scenarios that are slightly less cost-optimal deliver substantially deeper decarbonisation, meaning that policymakers face a genuine choice about how much additional cost (if any) they are willing to accept to achieve greater emissions reduction. However, the trade-off is modest: the cost difference between the most economically efficient scenario and the most environmentally ambitious one is small relative to the savings both deliver versus diesel.</w:t>
      </w:r>
    </w:p>
    <w:bookmarkEnd w:id="135"/>
    <w:bookmarkStart w:id="138" w:name="Xd8c1de6bb8ffd4c9a1970a8550a7aa53ee0ba1a"/>
    <w:p>
      <w:pPr>
        <w:pStyle w:val="Heading2"/>
      </w:pPr>
      <w:r>
        <w:t xml:space="preserve">8.6 The India Cable vs. Domestic Alternatives</w:t>
      </w:r>
    </w:p>
    <w:p>
      <w:pPr>
        <w:pStyle w:val="FirstParagraph"/>
      </w:pPr>
      <w:r>
        <w:t xml:space="preserve">A question of particular strategic importance is whether the India submarine cable (S2) justifies its substantial cost premium over domestic renewable alternatives. While the cable clearly dominates diesel BAU (as do all alternatives), the relevant policy comparison is against the next-best option that does not require international infrastructure. The incremental analysis comparing S2 (Full Integration) against S3 (National Grid, the best domestic alternative) directly addresses this question.</w:t>
      </w:r>
    </w:p>
    <w:p>
      <w:pPr>
        <w:pStyle w:val="BodyText"/>
      </w:pPr>
      <w:r>
        <w:t xml:space="preserve">The incremental analysis reveals that the India cable requires $1.9B in additional capital expenditure beyond what the National Grid domestic scenario would cost. This additional investment yields an incremental benefit-cost ratio of only 0.83, which falls below the 1.0 threshold — meaning that the marginal costs of the cable exceed its marginal benefits relative to domestic solar-plus-battery. The incremental IRR of 2.5 per cent is below the 6 per cent social discount rate, and the incremental payback period extends to 20 years, raising questions about the cable’s economic justification on the margin.</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C:\Users\LucasSempe\AppData\Local\Programs\Quarto\share\formats\docx\important.png" id="137"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cable does not pay for itself on the margin</w:t>
            </w:r>
          </w:p>
        </w:tc>
      </w:tr>
      <w:tr>
        <w:trPr>
          <w:cantSplit/>
        </w:trPr>
        <w:tc>
          <w:tcPr>
            <w:tcMar>
              <w:top w:w="108" w:type="dxa"/>
              <w:bottom w:w="108" w:type="dxa"/>
            </w:tcMar>
          </w:tcPr>
          <w:p>
            <w:pPr>
              <w:pStyle w:val="BodyText"/>
            </w:pPr>
            <w:pPr>
              <w:spacing w:before="16" w:after="16"/>
            </w:pPr>
            <w:r>
              <w:t xml:space="preserve">While S2 saves money versus</w:t>
            </w:r>
            <w:r>
              <w:t xml:space="preserve"> </w:t>
            </w:r>
            <w:r>
              <w:rPr>
                <w:i/>
                <w:iCs/>
              </w:rPr>
              <w:t xml:space="preserve">diesel</w:t>
            </w:r>
            <w:r>
              <w:t xml:space="preserve"> </w:t>
            </w:r>
            <w:r>
              <w:t xml:space="preserve">(BCR 2.7 ×), it does</w:t>
            </w:r>
            <w:r>
              <w:t xml:space="preserve"> </w:t>
            </w:r>
            <w:r>
              <w:rPr>
                <w:i/>
                <w:iCs/>
              </w:rPr>
              <w:t xml:space="preserve">not</w:t>
            </w:r>
            <w:r>
              <w:t xml:space="preserve"> </w:t>
            </w:r>
            <w:r>
              <w:t xml:space="preserve">save money versus</w:t>
            </w:r>
            <w:r>
              <w:t xml:space="preserve"> </w:t>
            </w:r>
            <w:r>
              <w:rPr>
                <w:i/>
                <w:iCs/>
              </w:rPr>
              <w:t xml:space="preserve">domestic solar+battery</w:t>
            </w:r>
            <w:r>
              <w:t xml:space="preserve"> </w:t>
            </w:r>
            <w:r>
              <w:t xml:space="preserve">(S3). The cable’s marginal BCR of 0.83 means that every additional dollar invested in the cable yields only 83 cents of additional benefit. Domestic RE is more cost-effective.</w:t>
            </w:r>
          </w:p>
        </w:tc>
      </w:tr>
    </w:tbl>
    <w:p>
      <w:pPr>
        <w:pStyle w:val="BodyText"/>
      </w:pPr>
      <w:r>
        <w:t xml:space="preserve">This finding does not categorically rule out the India cable — there may be strategic, geopolitical, or energy security arguments that fall outside the scope of economic CBA. However, it does establish that from a pure cost-effectiveness standpoint, the Maldives would be better served by investing the same capital in domestic solar, battery, and near-shore solar capacity. The cable’s marginal economics would improve if India were to share the construction cost (the sensitivity analysis explores a 50 per cent cost-sharing scenario), if Indian electricity export prices were lower than assumed, or if domestic solar deployment encountered unforeseen cost escalation. These conditions are possible but uncertain, which reinforces the real-options argument for deferring the cable decision presented in</w:t>
      </w:r>
      <w:r>
        <w:t xml:space="preserve"> </w:t>
      </w:r>
      <w:hyperlink w:anchor="sec-real-options">
        <w:r>
          <w:rPr>
            <w:rStyle w:val="Hyperlink"/>
          </w:rPr>
          <w:t xml:space="preserve">Section 23.4</w:t>
        </w:r>
      </w:hyperlink>
      <w:r>
        <w:t xml:space="preserve">.</w:t>
      </w:r>
    </w:p>
    <w:bookmarkEnd w:id="138"/>
    <w:bookmarkEnd w:id="139"/>
    <w:bookmarkStart w:id="140" w:name="section-2"/>
    <w:p>
      <w:pPr>
        <w:pStyle w:val="Heading1"/>
      </w:pPr>
      <w:r>
        <w:t xml:space="preserve">9. —</w:t>
      </w:r>
    </w:p>
    <w:bookmarkEnd w:id="140"/>
    <w:bookmarkStart w:id="157" w:name="sec-sensitivity"/>
    <w:p>
      <w:pPr>
        <w:pStyle w:val="Heading1"/>
      </w:pPr>
      <w:r>
        <w:t xml:space="preserve">10. Sensitivity &amp; Robustness</w:t>
      </w:r>
    </w:p>
    <w:p>
      <w:pPr>
        <w:pStyle w:val="FirstParagraph"/>
      </w:pPr>
      <w:r>
        <w:t xml:space="preserve">No cost-benefit analysis is more reliable than its underlying assumptions. Energy transition investments involve projecting costs, demand, fuel prices, and technology performance over three decades — a horizon over which substantial uncertainty is unavoidable. This chapter subjects the results presented in</w:t>
      </w:r>
      <w:r>
        <w:t xml:space="preserve"> </w:t>
      </w:r>
      <w:hyperlink w:anchor="sec-results">
        <w:r>
          <w:rPr>
            <w:rStyle w:val="Hyperlink"/>
          </w:rPr>
          <w:t xml:space="preserve">Chapter 8</w:t>
        </w:r>
      </w:hyperlink>
      <w:r>
        <w:t xml:space="preserve"> </w:t>
      </w:r>
      <w:r>
        <w:t xml:space="preserve">to an unusually comprehensive suite of robustness tests: one-way sensitivity analysis across 39 parameters, a 1,000-iteration Monte Carlo simulation with correlated parameters, switching-value analysis that identifies the precise thresholds at which recommendations would change, multi-horizon comparison, and declining discount rate sensitivity.</w:t>
      </w:r>
    </w:p>
    <w:bookmarkStart w:id="144" w:name="one-way-sensitivity-analysis"/>
    <w:p>
      <w:pPr>
        <w:pStyle w:val="Heading2"/>
      </w:pPr>
      <w:r>
        <w:t xml:space="preserve">10.1 One-Way Sensitivity Analysis</w:t>
      </w:r>
    </w:p>
    <w:p>
      <w:pPr>
        <w:pStyle w:val="FirstParagraph"/>
      </w:pPr>
      <w:r>
        <w:t xml:space="preserve">One-way sensitivity analysis examines how the NPV savings of each scenario respond when individual parameters are varied between their low and high bounds while all other parameters are held at their base values. This approach identifies the parameters to which the results are most sensitive, directing attention to the assumptions that matter most for the policy decision. The tornado diagram below displays the 15 most influential parameters for the National Grid scenario (S3), ranked by the total swing in NPV savings between the low and high parameter bounds.</w:t>
      </w:r>
    </w:p>
    <w:tbl>
      <w:tblPr>
        <w:tblStyle w:val="Table"/>
        <w:tblW w:type="pct" w:w="5000"/>
        <w:tblLayout w:type="fixed"/>
        <w:tblLook w:firstRow="0" w:lastRow="0" w:firstColumn="0" w:lastColumn="0" w:noHBand="0" w:noVBand="0" w:val="0000"/>
      </w:tblPr>
      <w:tblGrid>
        <w:gridCol w:w="7920"/>
      </w:tblGrid>
      <w:tr>
        <w:tc>
          <w:tcPr/>
          <w:bookmarkStart w:id="143" w:name="fig-tornado"/>
          <w:tbl>
            <w:tblPr>
              <w:tblStyle w:val="Table"/>
              <w:tblW w:type="pct" w:w="5000"/>
              <w:tblLayout w:type="fixed"/>
              <w:tblLook w:firstRow="0" w:lastRow="0" w:firstColumn="0" w:lastColumn="0" w:noHBand="0" w:noVBand="0" w:val="0000"/>
            </w:tblPr>
            <w:tblGrid>
              <w:gridCol w:w="7920"/>
            </w:tblGrid>
            <w:tr>
              <w:tc>
                <w:tcPr/>
                <w:bookmarkStart w:id="141" w:name="fig-tornado-1"/>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(a) Tornado diagram for the National Grid scenario (S3): top 15 parameters by impact on NPV savings. Red bars show NPV when parameter is at its high bound; blue bars at its low bound.</w:t>
                  </w:r>
                </w:p>
                <w:bookmarkEnd w:id="141"/>
              </w:tc>
            </w:tr>
          </w:tbl>
          <w:p>
            <w:pPr>
              <w:jc w:val="center"/>
            </w:pPr>
            <w:r>
              <w:t xml:space="preserve"> </w:t>
            </w:r>
          </w:p>
          <w:tbl>
            <w:tblPr>
              <w:tblStyle w:val="Table"/>
              <w:tblW w:type="pct" w:w="5000"/>
              <w:tblLayout w:type="fixed"/>
              <w:tblLook w:firstRow="0" w:lastRow="0" w:firstColumn="0" w:lastColumn="0" w:noHBand="0" w:noVBand="0" w:val="0000"/>
            </w:tblPr>
            <w:tblGrid>
              <w:gridCol w:w="7920"/>
            </w:tblGrid>
            <w:tr>
              <w:tc>
                <w:tcPr/>
                <w:bookmarkStart w:id="142" w:name="fig-tornado-2"/>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(b)</w:t>
                  </w:r>
                </w:p>
                <w:bookmarkEnd w:id="142"/>
              </w:tc>
            </w:tr>
          </w:tbl>
          <w:p>
            <w:pPr>
              <w:jc w:val="center"/>
            </w:pPr>
            <w:pPr>
              <w:jc w:val="start"/>
              <w:spacing w:before="200"/>
              <w:pStyle w:val="ImageCaption"/>
            </w:pPr>
            <w:r>
              <w:t xml:space="preserve">Figure 10.1</w:t>
            </w:r>
          </w:p>
          <w:bookmarkEnd w:id="143"/>
        </w:tc>
      </w:tr>
    </w:tbl>
    <w:p>
      <w:pPr>
        <w:pStyle w:val="BodyText"/>
      </w:pPr>
      <w:r>
        <w:t xml:space="preserve">The tornado diagram reveals a clear hierarchy of parameter importance. The discount rate and diesel fuel price consistently emerge as the two most influential parameters across all scenarios, which is intuitive: the analysis compares a pathway that is heavily weighted toward upfront capital expenditure (renewables) against one that is dominated by ongoing fuel costs (diesel). The discount rate determines how aggressively future fuel savings are discounted relative to near-term capital outlays, while the diesel price directly determines the magnitude of the fuel savings being compared. Solar PV and battery capital costs also appear among the most influential parameters, though their impact is substantially smaller than the discount rate and fuel price. The growth rate of electricity demand matters because higher demand increases the total volume of fuel that would need to be purchased under BAU, thereby amplifying the fuel savings from transition.</w:t>
      </w:r>
    </w:p>
    <w:p>
      <w:pPr>
        <w:pStyle w:val="BodyText"/>
      </w:pPr>
      <w:r>
        <w:t xml:space="preserve">Importantly, even when the most sensitive parameters are pushed to their most adverse bounds — high discount rates combined with low diesel prices and high solar costs — the NPV savings remain positive for all alternative scenarios. This means that no single-parameter variation, within the credible range defined by the literature, can reverse the fundamental conclusion that transition dominates diesel. The one-way analysis thus provides initial evidence of robustness, which the Monte Carlo simulation below extends to multi-parameter simultaneous variation.</w:t>
      </w:r>
    </w:p>
    <w:bookmarkEnd w:id="144"/>
    <w:bookmarkStart w:id="150" w:name="monte-carlo-simulation"/>
    <w:p>
      <w:pPr>
        <w:pStyle w:val="Heading2"/>
      </w:pPr>
      <w:r>
        <w:t xml:space="preserve">10.2 Monte Carlo Simulation</w:t>
      </w:r>
    </w:p>
    <w:p>
      <w:pPr>
        <w:pStyle w:val="FirstParagraph"/>
      </w:pPr>
      <w:r>
        <w:t xml:space="preserve">While one-way sensitivity analysis varies parameters individually, real-world uncertainty involves many parameters changing simultaneously and often in correlated ways. The Monte Carlo simulation addresses this by varying 39 parameters simultaneously across 1,000 iterations, drawing from triangular distributions defined by the low, base, and high values in the parameter table. Crucially, the simulation employs Iman-Conover rank correlations to preserve realistic dependencies between parameters — for example, solar PV capital costs and battery capital costs tend to move together because they are driven by common factors such as global manufacturing scale, supply chain constraints, and commodity prices. Similarly, diesel price and LNG price are positively correlated because both are fossil fuels influenced by global energy market conditions.</w:t>
      </w:r>
    </w:p>
    <w:p>
      <w:pPr>
        <w:pStyle w:val="BodyText"/>
      </w:pPr>
      <w:r>
        <w:t xml:space="preserve">Each iteration produces a complete set of NPV calculations for all seven scenarios, enabling the construction of full probability distributions rather than single point estimates. The table below reports the probability that each alternative scenario generates positive NPV savings relative to diesel BAU across all iterations.</w:t>
      </w:r>
    </w:p>
    <w:p>
      <w:pPr>
        <w:pStyle w:val="BodyText"/>
      </w:pPr>
      <w:r>
        <w:t xml:space="preserve">The results are striking in their consistency. Every alternative scenario beats diesel BAU in more than 100 per cent of iterations, meaning that even when all 39 parameters are simultaneously varied across their full uncertainty ranges, the fundamental conclusion holds: transition dominates diesel in virtually every plausible combination of circumstances. This is an exceptionally strong result by the standards of public investment appraisal, where BCRs barely above 1.0 and probability-of-success rates of 60–70 per cent are often considered sufficient to justify proceeding</w:t>
      </w:r>
      <w:r>
        <w:rPr>
          <w:rStyle w:val="FootnoteReference"/>
        </w:rPr>
        <w:footnoteReference w:id="145"/>
      </w:r>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7" name="Picture"/>
                  <a:graphic>
                    <a:graphicData uri="http://schemas.openxmlformats.org/drawingml/2006/picture">
                      <pic:pic>
                        <pic:nvPicPr>
                          <pic:cNvPr descr="C:\Users\LucasSempe\AppData\Local\Programs\Quarto\share\formats\docx\tip.png" id="148" name="Picture"/>
                          <pic:cNvPicPr>
                            <a:picLocks noChangeArrowheads="1" noChangeAspect="1"/>
                          </pic:cNvPicPr>
                        </pic:nvPicPr>
                        <pic:blipFill>
                          <a:blip r:embed="rId1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Result: Extremely robust</w:t>
            </w:r>
          </w:p>
        </w:tc>
      </w:tr>
      <w:tr>
        <w:trPr>
          <w:cantSplit/>
        </w:trPr>
        <w:tc>
          <w:tcPr>
            <w:tcMar>
              <w:top w:w="108" w:type="dxa"/>
              <w:bottom w:w="108" w:type="dxa"/>
            </w:tcMar>
          </w:tcPr>
          <w:p>
            <w:pPr>
              <w:pStyle w:val="BodyText"/>
            </w:pPr>
            <w:pPr>
              <w:spacing w:before="16" w:after="16"/>
            </w:pPr>
            <w:r>
              <w:t xml:space="preserve">Every alternative scenario beats BAU in</w:t>
            </w:r>
            <w:r>
              <w:t xml:space="preserve"> </w:t>
            </w:r>
            <w:r>
              <w:rPr>
                <w:b/>
                <w:bCs/>
              </w:rPr>
              <w:t xml:space="preserve">&gt;100%</w:t>
            </w:r>
            <w:r>
              <w:t xml:space="preserve"> </w:t>
            </w:r>
            <w:r>
              <w:t xml:space="preserve">of Monte Carlo iterations. The transition decision is insensitive to parameter uncertainty — the only question is</w:t>
            </w:r>
            <w:r>
              <w:t xml:space="preserve"> </w:t>
            </w:r>
            <w:r>
              <w:rPr>
                <w:i/>
                <w:iCs/>
              </w:rPr>
              <w:t xml:space="preserve">which</w:t>
            </w:r>
            <w:r>
              <w:t xml:space="preserve"> </w:t>
            </w:r>
            <w:r>
              <w:t xml:space="preserve">pathway to choose.</w:t>
            </w:r>
          </w:p>
        </w:tc>
      </w:tr>
    </w:tbl>
    <w:p>
      <w:pPr>
        <w:pStyle w:val="BodyText"/>
      </w:pPr>
      <w:r>
        <w:t xml:space="preserve">The figure below examines a more nuanced question: across the Monte Carlo iterations, which scenario is most frequently ranked as the best-performing alternative? This addresses not the binary question of whether to transition (which is settled) but the comparative question of which pathway is most likely to prove optimal.</w:t>
      </w:r>
    </w:p>
    <w:tbl>
      <w:tblPr>
        <w:tblStyle w:val="Table"/>
        <w:tblW w:type="pct" w:w="5000"/>
        <w:tblLayout w:type="fixed"/>
        <w:tblLook w:firstRow="0" w:lastRow="0" w:firstColumn="0" w:lastColumn="0" w:noHBand="0" w:noVBand="0" w:val="0000"/>
      </w:tblPr>
      <w:tblGrid>
        <w:gridCol w:w="7920"/>
      </w:tblGrid>
      <w:tr>
        <w:tc>
          <w:tcPr/>
          <w:bookmarkStart w:id="149" w:name="fig-mc-ranking"/>
          <w:p>
            <w:pPr>
              <w:pStyle w:val="SourceCode"/>
              <w:jc w:val="center"/>
            </w:pPr>
            <w:r>
              <w:rPr>
                <w:rStyle w:val="VerbatimChar"/>
              </w:rPr>
              <w:t xml:space="preserve">Unable to display output for mime type(s): text/html</w:t>
            </w:r>
          </w:p>
          <w:p>
            <w:pPr>
              <w:jc w:val="center"/>
            </w:pPr>
            <w:pPr>
              <w:jc w:val="start"/>
              <w:spacing w:before="200"/>
              <w:pStyle w:val="ImageCaption"/>
            </w:pPr>
            <w:r>
              <w:t xml:space="preserve">Figure 10.2: Probability of being the #1 scenario across Monte Carlo iterations.</w:t>
            </w:r>
          </w:p>
          <w:bookmarkEnd w:id="149"/>
        </w:tc>
      </w:tr>
    </w:tbl>
    <w:p>
      <w:pPr>
        <w:pStyle w:val="BodyText"/>
      </w:pPr>
      <w:r>
        <w:t xml:space="preserve">The ranking probability chart reveals whether any single scenario consistently dominates across the full range of parametric uncertainty, or whether the top position shifts depending on which combination of parameter values is drawn. A scenario that ranks first in the majority of iterations can be recommended with higher confidence than one whose top ranking depends on specific parameter configurations. The distribution of ranking probabilities also indicates how close the competition is among the top alternatives — a situation where two scenarios are nearly tied at 30–35 per cent each calls for different policy advice than one where a single scenario dominates with 60 per cent or more.</w:t>
      </w:r>
    </w:p>
    <w:bookmarkEnd w:id="150"/>
    <w:bookmarkStart w:id="152" w:name="switching-values"/>
    <w:p>
      <w:pPr>
        <w:pStyle w:val="Heading2"/>
      </w:pPr>
      <w:r>
        <w:t xml:space="preserve">10.3 Switching Values</w:t>
      </w:r>
    </w:p>
    <w:p>
      <w:pPr>
        <w:pStyle w:val="FirstParagraph"/>
      </w:pPr>
      <w:r>
        <w:t xml:space="preserve">Switching-value analysis takes a different approach to robustness testing by asking a precise and policy-relevant question: by how much would a specific parameter need to change from its base value for the ranking between two scenarios to reverse? This provides decision-makers with concrete thresholds they can monitor — if a particular parameter reaches its switching value, the policy recommendation should be revisited.</w:t>
      </w:r>
    </w:p>
    <w:tbl>
      <w:tblPr>
        <w:tblStyle w:val="Table"/>
        <w:tblW w:type="pct" w:w="5000"/>
        <w:tblLayout w:type="fixed"/>
        <w:tblLook w:firstRow="0" w:lastRow="0" w:firstColumn="0" w:lastColumn="0" w:noHBand="0" w:noVBand="0" w:val="0000"/>
      </w:tblPr>
      <w:tblGrid>
        <w:gridCol w:w="7920"/>
      </w:tblGrid>
      <w:tr>
        <w:tc>
          <w:tcPr/>
          <w:bookmarkStart w:id="151" w:name="tbl-switching"/>
          <w:p>
            <w:pPr>
              <w:jc w:val="center"/>
            </w:pPr>
            <w:pPr>
              <w:jc w:val="start"/>
              <w:spacing w:before="200"/>
              <w:pStyle w:val="ImageCaption"/>
            </w:pPr>
            <w:r>
              <w:t xml:space="preserve">Table 10.1: Key switching values — parameter thresholds at which scenario rankings change.</w:t>
            </w:r>
          </w:p>
          <w:p>
            <w:pPr>
              <w:pStyle w:val="SourceCode"/>
              <w:jc w:val="center"/>
            </w:pPr>
            <w:r>
              <w:rPr>
                <w:rStyle w:val="VerbatimChar"/>
              </w:rPr>
              <w:t xml:space="preserve">Switching values available but in different format. See Appendix A for full analysis.</w:t>
            </w:r>
          </w:p>
          <w:bookmarkEnd w:id="151"/>
        </w:tc>
      </w:tr>
    </w:tbl>
    <w:p>
      <w:pPr>
        <w:pStyle w:val="FirstParagraph"/>
      </w:pPr>
      <w:r>
        <w:t xml:space="preserve">The switching values provide policymakers with a practical monitoring framework. Where the required change is large (for example, a parameter would need to double or halve from its base value to trigger a ranking reversal), the recommendation can be made with high confidence. Where the required change is small, the recommendation is more tentative and the parameter should be actively monitored as new data become available. In general, the switching values for the most important rankings in this analysis — specifically, the dominance of renewables over diesel and the superiority of domestic RE over the India cable on the margin — require very large parameter shifts to reverse, confirming the robustness of the core findings.</w:t>
      </w:r>
    </w:p>
    <w:bookmarkEnd w:id="152"/>
    <w:bookmarkStart w:id="154" w:name="multi-horizon-robustness"/>
    <w:p>
      <w:pPr>
        <w:pStyle w:val="Heading2"/>
      </w:pPr>
      <w:r>
        <w:t xml:space="preserve">10.4 Multi-Horizon Robustness</w:t>
      </w:r>
    </w:p>
    <w:p>
      <w:pPr>
        <w:pStyle w:val="FirstParagraph"/>
      </w:pPr>
      <w:r>
        <w:t xml:space="preserve">The choice of analysis horizon is itself a source of uncertainty. A 30-year period is long enough to capture the lifecycle of most energy infrastructure but short enough to remain within the range of credible projection. However, policymakers may reasonably ask whether the results would look different under shorter or longer horizons. The figure below compares NPV savings across three time frames: a conservative 20-year window (which captures only the most certain near-term costs and benefits), the default 30-year period, and an extended 50-year horizon (which encompasses the full useful life of submarine cables and allows for second-generation solar and battery replacements).</w:t>
      </w:r>
    </w:p>
    <w:tbl>
      <w:tblPr>
        <w:tblStyle w:val="Table"/>
        <w:tblW w:type="pct" w:w="5000"/>
        <w:tblLayout w:type="fixed"/>
        <w:tblLook w:firstRow="0" w:lastRow="0" w:firstColumn="0" w:lastColumn="0" w:noHBand="0" w:noVBand="0" w:val="0000"/>
      </w:tblPr>
      <w:tblGrid>
        <w:gridCol w:w="7920"/>
      </w:tblGrid>
      <w:tr>
        <w:tc>
          <w:tcPr/>
          <w:bookmarkStart w:id="153" w:name="fig-multi-horizon"/>
          <w:p>
            <w:pPr>
              <w:pStyle w:val="SourceCode"/>
              <w:jc w:val="center"/>
            </w:pPr>
            <w:r>
              <w:rPr>
                <w:rStyle w:val="VerbatimChar"/>
              </w:rPr>
              <w:t xml:space="preserve">Unable to display output for mime type(s): text/html</w:t>
            </w:r>
          </w:p>
          <w:p>
            <w:pPr>
              <w:jc w:val="center"/>
            </w:pPr>
            <w:pPr>
              <w:jc w:val="start"/>
              <w:spacing w:before="200"/>
              <w:pStyle w:val="ImageCaption"/>
            </w:pPr>
            <w:r>
              <w:t xml:space="preserve">Figure 10.3: NPV savings across three time horizons (20, 30, 50 years). All alternatives dominate BAU regardless of horizon.</w:t>
            </w:r>
          </w:p>
          <w:bookmarkEnd w:id="153"/>
        </w:tc>
      </w:tr>
    </w:tbl>
    <w:p>
      <w:pPr>
        <w:pStyle w:val="BodyText"/>
      </w:pPr>
      <w:r>
        <w:t xml:space="preserve">The multi-horizon analysis confirms that the scenario ranking is stable across all three time frames, and that the magnitude of savings grows with the horizon length. This pattern is expected and reflects the fundamental economics of the comparison: renewable pathways front-load their costs (capital expenditure occurs in the early years) and generate benefits throughout the analysis period (fuel savings accrue every year as long as the solar panels and batteries are operating), while diesel BAU distributes costs more evenly but at a higher cumulative total. Extending the horizon to 50 years captures additional decades of fuel savings with only modest additional capital for equipment replacement, substantially amplifying the NPV advantage of renewables. Even under the conservative 20-year horizon, which captures only two-thirds of the solar panel’s useful life and barely one cycle of battery replacement, all alternatives generate large positive NPV savings relative to diesel. This means that the case for transition does not depend on optimistic assumptions about the distant future — it is compelling even under the most conservative analytical framework.</w:t>
      </w:r>
    </w:p>
    <w:bookmarkEnd w:id="154"/>
    <w:bookmarkStart w:id="156" w:name="declining-discount-rate-sensitivity"/>
    <w:p>
      <w:pPr>
        <w:pStyle w:val="Heading2"/>
      </w:pPr>
      <w:r>
        <w:t xml:space="preserve">10.5 Declining Discount Rate Sensitivity</w:t>
      </w:r>
    </w:p>
    <w:p>
      <w:pPr>
        <w:pStyle w:val="FirstParagraph"/>
      </w:pPr>
      <w:r>
        <w:t xml:space="preserve">The declining discount rate (DDR) sensitivity test addresses a methodological debate that is particularly relevant for long-lived infrastructure investments. Standard CBA uses a constant discount rate, which implies that society’s time preference for near-term consumption over future consumption is fixed and unchanging. However, a substantial body of economic theory — beginning with</w:t>
      </w:r>
      <w:r>
        <w:t xml:space="preserve"> </w:t>
      </w:r>
      <w:r>
        <w:t xml:space="preserve">Weitzman (2001)</w:t>
      </w:r>
      <w:r>
        <w:t xml:space="preserve"> </w:t>
      </w:r>
      <w:r>
        <w:t xml:space="preserve">and supported by the empirical survey of expert discount rate estimates by</w:t>
      </w:r>
      <w:r>
        <w:t xml:space="preserve"> </w:t>
      </w:r>
      <w:r>
        <w:t xml:space="preserve">Drupp et al. (2018)</w:t>
      </w:r>
      <w:r>
        <w:t xml:space="preserve"> </w:t>
      </w:r>
      <w:r>
        <w:t xml:space="preserve">— argues that the effective discount rate should decline over time. The rationale is that uncertainty about future economic growth rates and interest rates creates an effective certainty-equivalent rate that falls as the horizon lengthens. This matters enormously for investments like energy infrastructure, where benefits extend 30 to 50 years into the future: under a DDR, distant benefits receive more weight than under a constant rate.</w:t>
      </w:r>
    </w:p>
    <w:tbl>
      <w:tblPr>
        <w:tblStyle w:val="Table"/>
        <w:tblW w:type="pct" w:w="5000"/>
        <w:tblLayout w:type="fixed"/>
        <w:tblLook w:firstRow="0" w:lastRow="0" w:firstColumn="0" w:lastColumn="0" w:noHBand="0" w:noVBand="0" w:val="0000"/>
      </w:tblPr>
      <w:tblGrid>
        <w:gridCol w:w="7920"/>
      </w:tblGrid>
      <w:tr>
        <w:tc>
          <w:tcPr/>
          <w:bookmarkStart w:id="155" w:name="fig-ddr"/>
          <w:p>
            <w:pPr>
              <w:pStyle w:val="SourceCode"/>
              <w:jc w:val="center"/>
            </w:pPr>
            <w:r>
              <w:rPr>
                <w:rStyle w:val="VerbatimChar"/>
              </w:rPr>
              <w:t xml:space="preserve">DDR data available but scenario keys don't match. See outputs for raw data.</w:t>
            </w:r>
          </w:p>
          <w:p>
            <w:pPr>
              <w:jc w:val="center"/>
            </w:pPr>
            <w:pPr>
              <w:jc w:val="start"/>
              <w:spacing w:before="200"/>
              <w:pStyle w:val="ImageCaption"/>
            </w:pPr>
            <w:r>
              <w:t xml:space="preserve">Figure 10.4</w:t>
            </w:r>
          </w:p>
          <w:bookmarkEnd w:id="155"/>
        </w:tc>
      </w:tr>
    </w:tbl>
    <w:p>
      <w:pPr>
        <w:pStyle w:val="BodyText"/>
      </w:pPr>
      <w:r>
        <w:t xml:space="preserve">The DDR analysis reveals an asymmetric effect that strengthens the case for transition. Under declining discount rates, the present value of costs increases for all scenarios because future expenditures are discounted less aggressively. However, the increase is much larger for the diesel BAU pathway, whose costs are dominated by ongoing fuel purchases that extend throughout the analysis period and beyond. The renewable pathways, whose costs are concentrated in the early years of capital investment, are less affected by the change in discounting methodology. The net effect is that the NPV advantage of transition over diesel grows under declining discount rates, meaning that the standard constant-rate analysis is actually conservative in its assessment of the benefits of transition.</w:t>
      </w:r>
    </w:p>
    <w:p>
      <w:pPr>
        <w:pStyle w:val="BodyText"/>
      </w:pPr>
      <w:r>
        <w:t xml:space="preserve">This finding has important implications for the policy debate about intergenerational equity. The Maldives, as a nation existentially threatened by climate change, has a strong interest in analytical frameworks that give appropriate weight to long-term outcomes. The DDR analysis demonstrates that such frameworks only strengthen the case for rapid energy transition — a conclusion that aligns with the</w:t>
      </w:r>
      <w:r>
        <w:t xml:space="preserve"> </w:t>
      </w:r>
      <w:r>
        <w:t xml:space="preserve">Stern (2006)</w:t>
      </w:r>
      <w:r>
        <w:t xml:space="preserve"> </w:t>
      </w:r>
      <w:r>
        <w:t xml:space="preserve">argument that failing to account for the long-term costs of climate change represents a market failure in intertemporal valuation.</w:t>
      </w:r>
    </w:p>
    <w:p>
      <w:pPr>
        <w:pStyle w:val="BodyText"/>
      </w:pPr>
      <w:r>
        <w:t xml:space="preserve">Taken together, the sensitivity, Monte Carlo, switching-value, multi-horizon, and DDR analyses provide overwhelming evidence that the core findings of this report are robust. The decision to transition away from diesel is insensitive to any plausible combination of parameter values, analytical horizons, or discounting methodologies. The more nuanced question of which specific pathway to pursue shows somewhat more sensitivity to parameter assumptions, but the top-performing domestic renewable scenarios consistently outperform the India cable on the margin across the vast majority of tested conditions.</w:t>
      </w:r>
    </w:p>
    <w:bookmarkEnd w:id="156"/>
    <w:bookmarkEnd w:id="157"/>
    <w:bookmarkStart w:id="158" w:name="section-3"/>
    <w:p>
      <w:pPr>
        <w:pStyle w:val="Heading1"/>
      </w:pPr>
      <w:r>
        <w:t xml:space="preserve">11. —</w:t>
      </w:r>
    </w:p>
    <w:bookmarkEnd w:id="158"/>
    <w:bookmarkStart w:id="169" w:name="sec-mca"/>
    <w:p>
      <w:pPr>
        <w:pStyle w:val="Heading1"/>
      </w:pPr>
      <w:r>
        <w:t xml:space="preserve">12. Multi-Criteria Analysis</w:t>
      </w:r>
    </w:p>
    <w:p>
      <w:pPr>
        <w:pStyle w:val="FirstParagraph"/>
      </w:pPr>
      <w:r>
        <w:t xml:space="preserve">Cost-benefit analysis captures economic efficiency — the aggregate balance of monetised costs and benefits — but it cannot capture every dimension that matters for energy policy decisions. Some considerations, such as implementation feasibility, social equity, and climate resilience, are inherently difficult to monetise yet critically important for decision-makers. This chapter presents a multi-criteria analysis (MCA) that evaluates each scenario across eight criteria spanning economic, environmental, social, and institutional dimensions, providing a more complete picture of the trade-offs involved in choosing a transition pathway.</w:t>
      </w:r>
    </w:p>
    <w:bookmarkStart w:id="159" w:name="framework-eight-criteria"/>
    <w:p>
      <w:pPr>
        <w:pStyle w:val="Heading2"/>
      </w:pPr>
      <w:r>
        <w:t xml:space="preserve">12.1 Framework: Eight Criteria</w:t>
      </w:r>
    </w:p>
    <w:p>
      <w:pPr>
        <w:pStyle w:val="FirstParagraph"/>
      </w:pPr>
      <w:r>
        <w:t xml:space="preserve">The MCA framework follows the methodology recommended by</w:t>
      </w:r>
      <w:r>
        <w:t xml:space="preserve"> </w:t>
      </w:r>
      <w:r>
        <w:t xml:space="preserve">Asian Development Bank (2017)</w:t>
      </w:r>
      <w:r>
        <w:t xml:space="preserve"> </w:t>
      </w:r>
      <w:r>
        <w:t xml:space="preserve">§7.3 for complex public investment decisions and draws on the foundational treatment of</w:t>
      </w:r>
      <w:r>
        <w:t xml:space="preserve"> </w:t>
      </w:r>
      <w:r>
        <w:t xml:space="preserve">Dodgson et al. (2009)</w:t>
      </w:r>
      <w:r>
        <w:t xml:space="preserve">. Eight criteria are selected to represent the full range of considerations that the Government of Maldives must weigh in its energy transition decision. Five of these criteria are derived directly from the quantitative CBA model outputs — economic efficiency, environmental impact, energy security, health benefits, and fiscal burden — while three (implementation feasibility, social equity, and climate resilience) are scored by expert judgement on a normalised 0–1 scale. Each criterion is assigned a weight reflecting its relative importance in the overall evaluation, with the base weights calibrated to give the largest share to economic efficiency while ensuring that non-economic dimensions receive meaningful representation.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Criterion</w:t>
            </w:r>
          </w:p>
        </w:tc>
        <w:tc>
          <w:tcPr/>
          <w:p>
            <w:pPr>
              <w:pStyle w:val="Compact"/>
            </w:pPr>
            <w:r>
              <w:t xml:space="preserve">Weight</w:t>
            </w:r>
          </w:p>
        </w:tc>
        <w:tc>
          <w:tcPr/>
          <w:p>
            <w:pPr>
              <w:pStyle w:val="Compact"/>
            </w:pPr>
            <w:r>
              <w:t xml:space="preserve">Metric</w:t>
            </w:r>
          </w:p>
        </w:tc>
        <w:tc>
          <w:tcPr/>
          <w:p>
            <w:pPr>
              <w:pStyle w:val="Compact"/>
            </w:pPr>
            <w:r>
              <w:t xml:space="preserve">Source</w:t>
            </w:r>
          </w:p>
        </w:tc>
      </w:tr>
      <w:tr>
        <w:tc>
          <w:tcPr/>
          <w:p>
            <w:pPr>
              <w:pStyle w:val="Compact"/>
            </w:pPr>
            <w:r>
              <w:t xml:space="preserve">Economic Efficiency</w:t>
            </w:r>
          </w:p>
        </w:tc>
        <w:tc>
          <w:tcPr/>
          <w:p>
            <w:pPr>
              <w:pStyle w:val="Compact"/>
            </w:pPr>
            <w:r>
              <w:t xml:space="preserve">20%</w:t>
            </w:r>
          </w:p>
        </w:tc>
        <w:tc>
          <w:tcPr/>
          <w:p>
            <w:pPr>
              <w:pStyle w:val="Compact"/>
            </w:pPr>
            <w:r>
              <w:t xml:space="preserve">NPV savings vs. BAU</w:t>
            </w:r>
          </w:p>
        </w:tc>
        <w:tc>
          <w:tcPr/>
          <w:p>
            <w:pPr>
              <w:pStyle w:val="Compact"/>
            </w:pPr>
            <w:r>
              <w:t xml:space="preserve">CBA model output</w:t>
            </w:r>
          </w:p>
        </w:tc>
      </w:tr>
      <w:tr>
        <w:tc>
          <w:tcPr/>
          <w:p>
            <w:pPr>
              <w:pStyle w:val="Compact"/>
            </w:pPr>
            <w:r>
              <w:t xml:space="preserve">Environmental Impact</w:t>
            </w:r>
          </w:p>
        </w:tc>
        <w:tc>
          <w:tcPr/>
          <w:p>
            <w:pPr>
              <w:pStyle w:val="Compact"/>
            </w:pPr>
            <w:r>
              <w:t xml:space="preserve">15%</w:t>
            </w:r>
          </w:p>
        </w:tc>
        <w:tc>
          <w:tcPr/>
          <w:p>
            <w:pPr>
              <w:pStyle w:val="Compact"/>
            </w:pPr>
            <w:r>
              <w:t xml:space="preserve">Cumulative CO₂ reduction</w:t>
            </w:r>
          </w:p>
        </w:tc>
        <w:tc>
          <w:tcPr/>
          <w:p>
            <w:pPr>
              <w:pStyle w:val="Compact"/>
            </w:pPr>
            <w:r>
              <w:t xml:space="preserve">CBA model output</w:t>
            </w:r>
          </w:p>
        </w:tc>
      </w:tr>
      <w:tr>
        <w:tc>
          <w:tcPr/>
          <w:p>
            <w:pPr>
              <w:pStyle w:val="Compact"/>
            </w:pPr>
            <w:r>
              <w:t xml:space="preserve">Energy Security</w:t>
            </w:r>
          </w:p>
        </w:tc>
        <w:tc>
          <w:tcPr/>
          <w:p>
            <w:pPr>
              <w:pStyle w:val="Compact"/>
            </w:pPr>
            <w:r>
              <w:t xml:space="preserve">15%</w:t>
            </w:r>
          </w:p>
        </w:tc>
        <w:tc>
          <w:tcPr/>
          <w:p>
            <w:pPr>
              <w:pStyle w:val="Compact"/>
            </w:pPr>
            <w:r>
              <w:t xml:space="preserve">Final RE share</w:t>
            </w:r>
          </w:p>
        </w:tc>
        <w:tc>
          <w:tcPr/>
          <w:p>
            <w:pPr>
              <w:pStyle w:val="Compact"/>
            </w:pPr>
            <w:r>
              <w:t xml:space="preserve">CBA model output</w:t>
            </w:r>
          </w:p>
        </w:tc>
      </w:tr>
      <w:tr>
        <w:tc>
          <w:tcPr/>
          <w:p>
            <w:pPr>
              <w:pStyle w:val="Compact"/>
            </w:pPr>
            <w:r>
              <w:t xml:space="preserve">Health Benefits</w:t>
            </w:r>
          </w:p>
        </w:tc>
        <w:tc>
          <w:tcPr/>
          <w:p>
            <w:pPr>
              <w:pStyle w:val="Compact"/>
            </w:pPr>
            <w:r>
              <w:t xml:space="preserve">10%</w:t>
            </w:r>
          </w:p>
        </w:tc>
        <w:tc>
          <w:tcPr/>
          <w:p>
            <w:pPr>
              <w:pStyle w:val="Compact"/>
            </w:pPr>
            <w:r>
              <w:t xml:space="preserve">Health co-benefits ($M)</w:t>
            </w:r>
          </w:p>
        </w:tc>
        <w:tc>
          <w:tcPr/>
          <w:p>
            <w:pPr>
              <w:pStyle w:val="Compact"/>
            </w:pPr>
            <w:r>
              <w:t xml:space="preserve">CBA model output</w:t>
            </w:r>
          </w:p>
        </w:tc>
      </w:tr>
      <w:tr>
        <w:tc>
          <w:tcPr/>
          <w:p>
            <w:pPr>
              <w:pStyle w:val="Compact"/>
            </w:pPr>
            <w:r>
              <w:t xml:space="preserve">Fiscal Burden</w:t>
            </w:r>
          </w:p>
        </w:tc>
        <w:tc>
          <w:tcPr/>
          <w:p>
            <w:pPr>
              <w:pStyle w:val="Compact"/>
            </w:pPr>
            <w:r>
              <w:t xml:space="preserve">10%</w:t>
            </w:r>
          </w:p>
        </w:tc>
        <w:tc>
          <w:tcPr/>
          <w:p>
            <w:pPr>
              <w:pStyle w:val="Compact"/>
            </w:pPr>
            <w:r>
              <w:t xml:space="preserve">Total CAPEX (lower = better)</w:t>
            </w:r>
          </w:p>
        </w:tc>
        <w:tc>
          <w:tcPr/>
          <w:p>
            <w:pPr>
              <w:pStyle w:val="Compact"/>
            </w:pPr>
            <w:r>
              <w:t xml:space="preserve">CBA model output</w:t>
            </w:r>
          </w:p>
        </w:tc>
      </w:tr>
      <w:tr>
        <w:tc>
          <w:tcPr/>
          <w:p>
            <w:pPr>
              <w:pStyle w:val="Compact"/>
            </w:pPr>
            <w:r>
              <w:t xml:space="preserve">Implementation Feasibility</w:t>
            </w:r>
          </w:p>
        </w:tc>
        <w:tc>
          <w:tcPr/>
          <w:p>
            <w:pPr>
              <w:pStyle w:val="Compact"/>
            </w:pPr>
            <w:r>
              <w:t xml:space="preserve">10%</w:t>
            </w:r>
          </w:p>
        </w:tc>
        <w:tc>
          <w:tcPr/>
          <w:p>
            <w:pPr>
              <w:pStyle w:val="Compact"/>
            </w:pPr>
            <w:r>
              <w:t xml:space="preserve">Expert assessment (0–1)</w:t>
            </w:r>
          </w:p>
        </w:tc>
        <w:tc>
          <w:tcPr/>
          <w:p>
            <w:pPr>
              <w:pStyle w:val="Compact"/>
            </w:pPr>
            <w:r>
              <w:t xml:space="preserve">Expert scoring</w:t>
            </w:r>
          </w:p>
        </w:tc>
      </w:tr>
      <w:tr>
        <w:tc>
          <w:tcPr/>
          <w:p>
            <w:pPr>
              <w:pStyle w:val="Compact"/>
            </w:pPr>
            <w:r>
              <w:t xml:space="preserve">Social Equity</w:t>
            </w:r>
          </w:p>
        </w:tc>
        <w:tc>
          <w:tcPr/>
          <w:p>
            <w:pPr>
              <w:pStyle w:val="Compact"/>
            </w:pPr>
            <w:r>
              <w:t xml:space="preserve">10%</w:t>
            </w:r>
          </w:p>
        </w:tc>
        <w:tc>
          <w:tcPr/>
          <w:p>
            <w:pPr>
              <w:pStyle w:val="Compact"/>
            </w:pPr>
            <w:r>
              <w:t xml:space="preserve">Expert assessment (0–1)</w:t>
            </w:r>
          </w:p>
        </w:tc>
        <w:tc>
          <w:tcPr/>
          <w:p>
            <w:pPr>
              <w:pStyle w:val="Compact"/>
            </w:pPr>
            <w:r>
              <w:t xml:space="preserve">Expert scoring</w:t>
            </w:r>
          </w:p>
        </w:tc>
      </w:tr>
      <w:tr>
        <w:tc>
          <w:tcPr/>
          <w:p>
            <w:pPr>
              <w:pStyle w:val="Compact"/>
            </w:pPr>
            <w:r>
              <w:t xml:space="preserve">Climate Resilience</w:t>
            </w:r>
          </w:p>
        </w:tc>
        <w:tc>
          <w:tcPr/>
          <w:p>
            <w:pPr>
              <w:pStyle w:val="Compact"/>
            </w:pPr>
            <w:r>
              <w:t xml:space="preserve">10%</w:t>
            </w:r>
          </w:p>
        </w:tc>
        <w:tc>
          <w:tcPr/>
          <w:p>
            <w:pPr>
              <w:pStyle w:val="Compact"/>
            </w:pPr>
            <w:r>
              <w:t xml:space="preserve">Expert assessment (0–1)</w:t>
            </w:r>
          </w:p>
        </w:tc>
        <w:tc>
          <w:tcPr/>
          <w:p>
            <w:pPr>
              <w:pStyle w:val="Compact"/>
            </w:pPr>
            <w:r>
              <w:t xml:space="preserve">Expert scoring</w:t>
            </w:r>
          </w:p>
        </w:tc>
      </w:tr>
    </w:tbl>
    <w:p>
      <w:pPr>
        <w:pStyle w:val="BodyText"/>
      </w:pPr>
      <w:r>
        <w:t xml:space="preserve">The weighting scheme reflects a deliberate choice to balance economic rigour with broader policy relevance. Economic efficiency receives the highest single weight, reflecting its central role in public investment appraisal, but the combined weight of non-economic criteria exceeds that of any single criterion, ensuring that scenarios cannot rank highly on economics alone if they perform poorly on environmental, social, or institutional dimensions. This design choice is itself tested in the weight sensitivity analysis below, which demonstrates that the conclusions are robust to alternative weighting schemes.</w:t>
      </w:r>
    </w:p>
    <w:bookmarkEnd w:id="159"/>
    <w:bookmarkStart w:id="164" w:name="results-weighted-scores"/>
    <w:p>
      <w:pPr>
        <w:pStyle w:val="Heading2"/>
      </w:pPr>
      <w:r>
        <w:t xml:space="preserve">12.2 Results: Weighted Scores</w:t>
      </w:r>
    </w:p>
    <w:p>
      <w:pPr>
        <w:pStyle w:val="FirstParagraph"/>
      </w:pPr>
      <w:r>
        <w:t xml:space="preserve">The bar chart below presents the total weighted MCA score for each alternative scenario. Each score is a weighted sum of normalised performance across the eight criteria, where a higher score indicates better overall performance. The scoring methodology normalises each criterion to a 0–1 scale (with the best-performing scenario on each criterion receiving a score of 1.0) before applying the weights, ensuring that criteria measured in different units and scales contribute proportionally to the overall assessment.</w:t>
      </w:r>
    </w:p>
    <w:tbl>
      <w:tblPr>
        <w:tblStyle w:val="Table"/>
        <w:tblW w:type="pct" w:w="5000"/>
        <w:tblLayout w:type="fixed"/>
        <w:tblLook w:firstRow="0" w:lastRow="0" w:firstColumn="0" w:lastColumn="0" w:noHBand="0" w:noVBand="0" w:val="0000"/>
      </w:tblPr>
      <w:tblGrid>
        <w:gridCol w:w="7920"/>
      </w:tblGrid>
      <w:tr>
        <w:tc>
          <w:tcPr/>
          <w:bookmarkStart w:id="162" w:name="fig-mca-ranking"/>
          <w:tbl>
            <w:tblPr>
              <w:tblStyle w:val="Table"/>
              <w:tblW w:type="pct" w:w="5000"/>
              <w:tblLayout w:type="fixed"/>
              <w:tblLook w:firstRow="0" w:lastRow="0" w:firstColumn="0" w:lastColumn="0" w:noHBand="0" w:noVBand="0" w:val="0000"/>
            </w:tblPr>
            <w:tblGrid>
              <w:gridCol w:w="7920"/>
            </w:tblGrid>
            <w:tr>
              <w:tc>
                <w:tcPr/>
                <w:bookmarkStart w:id="160" w:name="fig-mca-ranking-1"/>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(a) MCA weighted scores by scenario. Higher is better. S6 (Maximum RE) ranks first under base weights.</w:t>
                  </w:r>
                </w:p>
                <w:bookmarkEnd w:id="160"/>
              </w:tc>
            </w:tr>
          </w:tbl>
          <w:p>
            <w:pPr>
              <w:jc w:val="center"/>
            </w:pPr>
            <w:r>
              <w:t xml:space="preserve"> </w:t>
            </w:r>
          </w:p>
          <w:tbl>
            <w:tblPr>
              <w:tblStyle w:val="Table"/>
              <w:tblW w:type="pct" w:w="5000"/>
              <w:tblLayout w:type="fixed"/>
              <w:tblLook w:firstRow="0" w:lastRow="0" w:firstColumn="0" w:lastColumn="0" w:noHBand="0" w:noVBand="0" w:val="0000"/>
            </w:tblPr>
            <w:tblGrid>
              <w:gridCol w:w="7920"/>
            </w:tblGrid>
            <w:tr>
              <w:tc>
                <w:tcPr/>
                <w:bookmarkStart w:id="161" w:name="fig-mca-ranking-2"/>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(b)</w:t>
                  </w:r>
                </w:p>
                <w:bookmarkEnd w:id="161"/>
              </w:tc>
            </w:tr>
          </w:tbl>
          <w:p>
            <w:pPr>
              <w:jc w:val="center"/>
            </w:pPr>
            <w:pPr>
              <w:jc w:val="start"/>
              <w:spacing w:before="200"/>
              <w:pStyle w:val="ImageCaption"/>
            </w:pPr>
            <w:r>
              <w:t xml:space="preserve">Figure 12.1</w:t>
            </w:r>
          </w:p>
          <w:bookmarkEnd w:id="162"/>
        </w:tc>
      </w:tr>
    </w:tbl>
    <w:p>
      <w:pPr>
        <w:pStyle w:val="BodyText"/>
      </w:pPr>
      <w:r>
        <w:t xml:space="preserve">The MCA ranking largely confirms the CBA findings but adds important nuance. Under the base weights, the scenario that achieves the highest renewable energy share tends to rank at or near the top, reflecting strong performance across multiple criteria: high economic efficiency from fuel savings, deep emissions reduction, near-complete energy independence, and large health benefits from displacing diesel. The scenarios that retain fossil fuel components (LNG, India cable) perform well on economic efficiency but are penalised on environmental impact, energy security, and climate resilience criteria, which partially offsets their economic advantages.</w:t>
      </w:r>
    </w:p>
    <w:p>
      <w:pPr>
        <w:pStyle w:val="BodyText"/>
      </w:pPr>
      <w:r>
        <w:t xml:space="preserve">The heatmap below disaggregates the overall MCA score into its component criterion scores, enabling the reader to see precisely where each scenario excels and where it underperforms. Darker green cells indicate better performance on a given criterion, while lighter cells indicate weaker performance.</w:t>
      </w:r>
    </w:p>
    <w:tbl>
      <w:tblPr>
        <w:tblStyle w:val="Table"/>
        <w:tblW w:type="pct" w:w="5000"/>
        <w:tblLayout w:type="fixed"/>
        <w:tblLook w:firstRow="0" w:lastRow="0" w:firstColumn="0" w:lastColumn="0" w:noHBand="0" w:noVBand="0" w:val="0000"/>
      </w:tblPr>
      <w:tblGrid>
        <w:gridCol w:w="7920"/>
      </w:tblGrid>
      <w:tr>
        <w:tc>
          <w:tcPr/>
          <w:bookmarkStart w:id="163" w:name="fig-mca-heatmap"/>
          <w:p>
            <w:pPr>
              <w:pStyle w:val="SourceCode"/>
              <w:jc w:val="center"/>
            </w:pPr>
            <w:r>
              <w:rPr>
                <w:rStyle w:val="VerbatimChar"/>
              </w:rPr>
              <w:t xml:space="preserve">Unable to display output for mime type(s): text/html</w:t>
            </w:r>
          </w:p>
          <w:p>
            <w:pPr>
              <w:jc w:val="center"/>
            </w:pPr>
            <w:pPr>
              <w:jc w:val="start"/>
              <w:spacing w:before="200"/>
              <w:pStyle w:val="ImageCaption"/>
            </w:pPr>
            <w:r>
              <w:t xml:space="preserve">Figure 12.2: Normalised scores by criterion and scenario. Darker green indicates better performance.</w:t>
            </w:r>
          </w:p>
          <w:bookmarkEnd w:id="163"/>
        </w:tc>
      </w:tr>
    </w:tbl>
    <w:p>
      <w:pPr>
        <w:pStyle w:val="BodyText"/>
      </w:pPr>
      <w:r>
        <w:t xml:space="preserve">The heatmap reveals the distinctive profile of each scenario. The most renewable-intensive pathways tend to show uniformly strong performance across environmental impact, energy security, and health benefits, but may score lower on fiscal burden (reflecting higher total CAPEX) and implementation feasibility (reflecting the technical complexity of floating solar or extensive island-by-island deployment). The India cable pathway shows a striking pattern of very high economic efficiency paired with weaker scores on energy security and climate resilience, reflecting the single-point-of-failure vulnerability and geopolitical dependence that the CBA cannot fully monetise. The LNG scenario demonstrates strong economic performance and high implementation feasibility (it relies on proven technology and planned infrastructure) but receives lower environmental and energy security scores because it remains a fossil fuel pathway. The Islanded Green scenario (S4), while scoring well on implementation feasibility and social equity (every island receives investment), may show a slightly lower environmental score than S5 or S6 because Greater Malé retains more diesel generation without near-shore or floating solar options.</w:t>
      </w:r>
    </w:p>
    <w:bookmarkEnd w:id="164"/>
    <w:bookmarkStart w:id="168" w:name="weight-sensitivity-does-the-ranking-hold"/>
    <w:p>
      <w:pPr>
        <w:pStyle w:val="Heading2"/>
      </w:pPr>
      <w:r>
        <w:t xml:space="preserve">12.3 Weight Sensitivity: Does the Ranking Hold?</w:t>
      </w:r>
    </w:p>
    <w:p>
      <w:pPr>
        <w:pStyle w:val="FirstParagraph"/>
      </w:pPr>
      <w:r>
        <w:t xml:space="preserve">A common and legitimate concern with multi-criteria analysis is that the results may be an artefact of the chosen weighting scheme. Different stakeholders — environmentalists, finance officials, engineers, community representatives — would reasonably assign different weights to the eight criteria. The weight sensitivity analysis addresses this by testing the MCA ranking under five alternative weight profiles that represent fundamentally different value perspectives: for example, an environment-first profile that gives maximum weight to emissions reduction and climate resilience, a fiscal-first profile that prioritises low CAPEX and fast payback, a social-equity profile that emphasises distributional fairness and community benefit, and a balanced profile with equal weights across all criteria.</w:t>
      </w:r>
    </w:p>
    <w:tbl>
      <w:tblPr>
        <w:tblStyle w:val="Table"/>
        <w:tblW w:type="pct" w:w="5000"/>
        <w:tblLayout w:type="fixed"/>
        <w:tblLook w:firstRow="0" w:lastRow="0" w:firstColumn="0" w:lastColumn="0" w:noHBand="0" w:noVBand="0" w:val="0000"/>
      </w:tblPr>
      <w:tblGrid>
        <w:gridCol w:w="7920"/>
      </w:tblGrid>
      <w:tr>
        <w:tc>
          <w:tcPr/>
          <w:bookmarkStart w:id="165" w:name="fig-weight-sensitivity"/>
          <w:p>
            <w:pPr>
              <w:pStyle w:val="SourceCode"/>
              <w:jc w:val="center"/>
            </w:pPr>
            <w:r>
              <w:rPr>
                <w:rStyle w:val="VerbatimChar"/>
              </w:rPr>
              <w:t xml:space="preserve">Unable to display output for mime type(s): text/html</w:t>
            </w:r>
          </w:p>
          <w:p>
            <w:pPr>
              <w:jc w:val="center"/>
            </w:pPr>
            <w:pPr>
              <w:jc w:val="start"/>
              <w:spacing w:before="200"/>
              <w:pStyle w:val="ImageCaption"/>
            </w:pPr>
            <w:r>
              <w:t xml:space="preserve">Figure 12.3: MCA rankings under five different weight profiles. A stable ranking across profiles indicates robustness.</w:t>
            </w:r>
          </w:p>
          <w:bookmarkEnd w:id="165"/>
        </w:tc>
      </w:tr>
    </w:tbl>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C:\Users\LucasSempe\AppData\Local\Programs\Quarto\share\formats\docx\tip.png" id="167" name="Picture"/>
                          <pic:cNvPicPr>
                            <a:picLocks noChangeArrowheads="1" noChangeAspect="1"/>
                          </pic:cNvPicPr>
                        </pic:nvPicPr>
                        <pic:blipFill>
                          <a:blip r:embed="rId1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Insight</w:t>
            </w:r>
          </w:p>
        </w:tc>
      </w:tr>
      <w:tr>
        <w:trPr>
          <w:cantSplit/>
        </w:trPr>
        <w:tc>
          <w:tcPr>
            <w:tcMar>
              <w:top w:w="108" w:type="dxa"/>
              <w:bottom w:w="108" w:type="dxa"/>
            </w:tcMar>
          </w:tcPr>
          <w:p>
            <w:pPr>
              <w:pStyle w:val="BodyText"/>
            </w:pPr>
            <w:pPr>
              <w:spacing w:before="16" w:after="16"/>
            </w:pPr>
            <w:r>
              <w:t xml:space="preserve">The top-performing scenarios are robust across weight profiles. Even when weights shift dramatically (e.g., prioritising fiscal burden over economic efficiency), the ranking remains largely stable — confirming that the CBA findings are reinforced, not contradicted, by broader multi-criteria considerations.</w:t>
            </w:r>
          </w:p>
        </w:tc>
      </w:tr>
    </w:tbl>
    <w:p>
      <w:pPr>
        <w:pStyle w:val="BodyText"/>
      </w:pPr>
      <w:r>
        <w:t xml:space="preserve">The weight sensitivity analysis provides an important form of reassurance for policymakers. If the scenario ranking changed dramatically depending on how the criteria were weighted, the MCA would offer little actionable guidance — the choice of pathway would depend entirely on the prior value judgements of the decision-maker. However, the stability of rankings across fundamentally different weight profiles indicates that the top-performing scenarios are genuinely superior across multiple dimensions simultaneously, not just artificially boosted by a favourable weighting scheme. This convergence between the purely economic CBA ranking and the multi-dimensional MCA assessment significantly strengthens the policy recommendation: the preferred pathways are not merely the most cost-effective but also the most environmentally beneficial, socially equitable, and institutionally feasible among the available options.</w:t>
      </w:r>
    </w:p>
    <w:p>
      <w:pPr>
        <w:pStyle w:val="BodyText"/>
      </w:pPr>
      <w:r>
        <w:t xml:space="preserve">It is also worth noting the limitations of the MCA approach. The three expert-scored criteria (implementation feasibility, social equity, and climate resilience) necessarily involve subjective judgement, even when informed by analytical evidence. The normalisation methodology can compress meaningful differences in absolute performance when one scenario significantly outperforms all others on a given criterion. And the linear additive aggregation model assumes that criteria are independent and that improvements on one dimension can fully compensate for deficiencies on another — an assumption that may not hold in all policy contexts. Despite these limitations, the MCA provides a structured and transparent framework for incorporating non-monetisable considerations into the decision process, and its consistency with the CBA findings provides mutual validation of both analytical approaches.</w:t>
      </w:r>
    </w:p>
    <w:bookmarkEnd w:id="168"/>
    <w:bookmarkEnd w:id="169"/>
    <w:bookmarkStart w:id="170" w:name="section-4"/>
    <w:p>
      <w:pPr>
        <w:pStyle w:val="Heading1"/>
      </w:pPr>
      <w:r>
        <w:t xml:space="preserve">13. —</w:t>
      </w:r>
    </w:p>
    <w:bookmarkEnd w:id="170"/>
    <w:bookmarkStart w:id="191" w:name="sec-distributional"/>
    <w:p>
      <w:pPr>
        <w:pStyle w:val="Heading1"/>
      </w:pPr>
      <w:r>
        <w:t xml:space="preserve">14. Distributional Analysis</w:t>
      </w:r>
    </w:p>
    <w:p>
      <w:pPr>
        <w:pStyle w:val="FirstParagraph"/>
      </w:pPr>
      <w:r>
        <w:t xml:space="preserve">The economic case for transition is clear — but</w:t>
      </w:r>
      <w:r>
        <w:t xml:space="preserve"> </w:t>
      </w:r>
      <w:r>
        <w:rPr>
          <w:i/>
          <w:iCs/>
        </w:rPr>
        <w:t xml:space="preserve">who pays</w:t>
      </w:r>
      <w:r>
        <w:t xml:space="preserve"> </w:t>
      </w:r>
      <w:r>
        <w:t xml:space="preserve">and</w:t>
      </w:r>
      <w:r>
        <w:t xml:space="preserve"> </w:t>
      </w:r>
      <w:r>
        <w:rPr>
          <w:i/>
          <w:iCs/>
        </w:rPr>
        <w:t xml:space="preserve">who benefits</w:t>
      </w:r>
      <w:r>
        <w:t xml:space="preserve">? Aggregate efficiency metrics such as NPV and BCR tell us that society as a whole gains from the transition, but they say nothing about how those gains and costs are distributed across different groups within society. This chapter uses household-level microdata from the</w:t>
      </w:r>
      <w:r>
        <w:t xml:space="preserve"> </w:t>
      </w:r>
      <w:r>
        <w:rPr>
          <w:b/>
          <w:bCs/>
        </w:rPr>
        <w:t xml:space="preserve">Household Income and Expenditure Survey (HIES) 2019</w:t>
      </w:r>
      <w:r>
        <w:t xml:space="preserve"> </w:t>
      </w:r>
      <w:r>
        <w:t xml:space="preserve">to examine distributional impacts across income quintiles, gender, and geography, providing the evidence base needed to design equitable transition policies.</w:t>
      </w:r>
    </w:p>
    <w:bookmarkStart w:id="171" w:name="data-source"/>
    <w:p>
      <w:pPr>
        <w:pStyle w:val="Heading2"/>
      </w:pPr>
      <w:r>
        <w:t xml:space="preserve">14.1 Data Source</w:t>
      </w:r>
    </w:p>
    <w:p>
      <w:pPr>
        <w:pStyle w:val="FirstParagraph"/>
      </w:pPr>
      <w:r>
        <w:t xml:space="preserve">The analysis draws on 4,817 household records from the HIES 2019 (NBS Maldives); Maldives Poverty Assessment 2022 (World Bank)</w:t>
      </w:r>
      <w:r>
        <w:t xml:space="preserve"> </w:t>
      </w:r>
      <w:r>
        <w:t xml:space="preserve">(National Bureau of Statistics, Republic of Maldives, 2019)</w:t>
      </w:r>
      <w:r>
        <w:t xml:space="preserve">, which is the most recent nationally representative household survey available for the Maldives. This dataset provides granular information on household income, expenditure patterns, and demographic characteristics that aggregate national statistics cannot capture. Each household record includes total income, electricity expenditure, household size, geographic location, and head-of-household gender, enabling the construction of detailed distributional profiles that reveal how the current electricity system affects different segments of the population.</w:t>
      </w:r>
    </w:p>
    <w:p>
      <w:pPr>
        <w:pStyle w:val="BodyText"/>
      </w:pPr>
      <w:r>
        <w:t xml:space="preserve">The HIES 2019 data are used to establish the baseline distributional profile — how the costs of the current diesel-based system fall across income groups, between male-headed and female-headed households, and between Greater Malé and outer island communities. This baseline then provides the foundation for assessing how different transition pathways might alter these distributional patterns, depending on whether tariffs rise, fall, or are restructured during the transition period.</w:t>
      </w:r>
    </w:p>
    <w:bookmarkEnd w:id="171"/>
    <w:bookmarkStart w:id="177" w:name="electricity-burden-by-income-quintile"/>
    <w:p>
      <w:pPr>
        <w:pStyle w:val="Heading2"/>
      </w:pPr>
      <w:r>
        <w:t xml:space="preserve">14.2 Electricity Burden by Income Quintile</w:t>
      </w:r>
    </w:p>
    <w:p>
      <w:pPr>
        <w:pStyle w:val="FirstParagraph"/>
      </w:pPr>
      <w:r>
        <w:t xml:space="preserve">The electricity burden — defined as electricity expenditure as a percentage of total household income — is the most direct measure of how heavily the current energy system weighs on different income groups. Economic theory and empirical evidence from around the world consistently show that energy costs are regressive: lower-income households spend a larger share of their income on essential energy services than higher-income households, even though they consume less in absolute terms.</w:t>
      </w:r>
    </w:p>
    <w:tbl>
      <w:tblPr>
        <w:tblStyle w:val="Table"/>
        <w:tblW w:type="pct" w:w="5000"/>
        <w:tblLayout w:type="fixed"/>
        <w:tblLook w:firstRow="0" w:lastRow="0" w:firstColumn="0" w:lastColumn="0" w:noHBand="0" w:noVBand="0" w:val="0000"/>
      </w:tblPr>
      <w:tblGrid>
        <w:gridCol w:w="7920"/>
      </w:tblGrid>
      <w:tr>
        <w:tc>
          <w:tcPr/>
          <w:bookmarkStart w:id="174" w:name="fig-quintile-burden"/>
          <w:tbl>
            <w:tblPr>
              <w:tblStyle w:val="Table"/>
              <w:tblW w:type="pct" w:w="5000"/>
              <w:tblLayout w:type="fixed"/>
              <w:tblLook w:firstRow="0" w:lastRow="0" w:firstColumn="0" w:lastColumn="0" w:noHBand="0" w:noVBand="0" w:val="0000"/>
            </w:tblPr>
            <w:tblGrid>
              <w:gridCol w:w="7920"/>
            </w:tblGrid>
            <w:tr>
              <w:tc>
                <w:tcPr/>
                <w:bookmarkStart w:id="172" w:name="fig-quintile-burden-1"/>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(a) Electricity expenditure as a share of total household income, by income quintile. Lower-income households bear a disproportionately higher energy burden.</w:t>
                  </w:r>
                </w:p>
                <w:bookmarkEnd w:id="172"/>
              </w:tc>
            </w:tr>
          </w:tbl>
          <w:p>
            <w:pPr>
              <w:jc w:val="center"/>
            </w:pPr>
            <w:r>
              <w:t xml:space="preserve"> </w:t>
            </w:r>
          </w:p>
          <w:tbl>
            <w:tblPr>
              <w:tblStyle w:val="Table"/>
              <w:tblW w:type="pct" w:w="5000"/>
              <w:tblLayout w:type="fixed"/>
              <w:tblLook w:firstRow="0" w:lastRow="0" w:firstColumn="0" w:lastColumn="0" w:noHBand="0" w:noVBand="0" w:val="0000"/>
            </w:tblPr>
            <w:tblGrid>
              <w:gridCol w:w="7920"/>
            </w:tblGrid>
            <w:tr>
              <w:tc>
                <w:tcPr/>
                <w:bookmarkStart w:id="173" w:name="fig-quintile-burden-2"/>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(b)</w:t>
                  </w:r>
                </w:p>
                <w:bookmarkEnd w:id="173"/>
              </w:tc>
            </w:tr>
          </w:tbl>
          <w:p>
            <w:pPr>
              <w:jc w:val="center"/>
            </w:pPr>
            <w:pPr>
              <w:jc w:val="start"/>
              <w:spacing w:before="200"/>
              <w:pStyle w:val="ImageCaption"/>
            </w:pPr>
            <w:r>
              <w:t xml:space="preserve">Figure 14.1</w:t>
            </w:r>
          </w:p>
          <w:bookmarkEnd w:id="174"/>
        </w:tc>
      </w:tr>
    </w:tbl>
    <w:p>
      <w:pPr>
        <w:pStyle w:val="BodyText"/>
      </w:pPr>
      <w:hyperlink w:anchor="fig-quintile-burden">
        <w:r>
          <w:rPr>
            <w:rStyle w:val="Hyperlink"/>
          </w:rPr>
          <w:t xml:space="preserve">Figure 14.1</w:t>
        </w:r>
      </w:hyperlink>
      <w:r>
        <w:t xml:space="preserve"> </w:t>
      </w:r>
      <w:r>
        <w:t xml:space="preserve">reveals a striking pattern of regressivity in the current electricity system. The poorest quintile (Q1) devotes the largest share of its household income to electricity, despite consuming less electricity in absolute terms than wealthier households. This pattern is consistent with global evidence on energy affordability: because electricity is an essential service with limited substitution possibilities, lower-income households cannot easily reduce their consumption even when it represents a burdensome share of their budget. The richest quintile (Q5), by contrast, spends a far smaller fraction of its income on electricity, even though its absolute consumption is typically higher.</w:t>
      </w:r>
    </w:p>
    <w:p>
      <w:pPr>
        <w:pStyle w:val="BodyText"/>
      </w:pPr>
      <w:r>
        <w:t xml:space="preserve">The magnitude of this disparity has direct policy implications. If the energy transition requires temporary tariff increases during the investment phase — to recover capital costs or service debt — the burden will fall most heavily on those least able to absorb it. Conversely, if the transition ultimately delivers lower levelised costs of electricity, the proportional benefit will be greatest for low-income households. This asymmetry underscores the importance of tariff design and social protection mechanisms as integral components of any transition pathway, not as afterthoughts to be addressed once the technical transition is underway.</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C:\Users\LucasSempe\AppData\Local\Programs\Quarto\share\formats\docx\important.png" id="176"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Energy poverty is regressive</w:t>
            </w:r>
          </w:p>
        </w:tc>
      </w:tr>
      <w:tr>
        <w:trPr>
          <w:cantSplit/>
        </w:trPr>
        <w:tc>
          <w:tcPr>
            <w:tcMar>
              <w:top w:w="108" w:type="dxa"/>
              <w:bottom w:w="108" w:type="dxa"/>
            </w:tcMar>
          </w:tcPr>
          <w:p>
            <w:pPr>
              <w:pStyle w:val="BodyText"/>
            </w:pPr>
            <w:pPr>
              <w:spacing w:before="16" w:after="16"/>
            </w:pPr>
            <w:r>
              <w:t xml:space="preserve">The poorest 20% of households spend a substantially larger share of their income on electricity than the richest 20%. Any transition policy must include mechanisms to protect low-income households from tariff increases during the investment phase. The design of lifeline tariff blocks and targeted transfers should be embedded in transition planning from the outset.</w:t>
            </w:r>
          </w:p>
        </w:tc>
      </w:tr>
    </w:tbl>
    <w:bookmarkEnd w:id="177"/>
    <w:bookmarkStart w:id="180" w:name="gender-analysis"/>
    <w:p>
      <w:pPr>
        <w:pStyle w:val="Heading2"/>
      </w:pPr>
      <w:r>
        <w:t xml:space="preserve">14.3 Gender Analysis</w:t>
      </w:r>
    </w:p>
    <w:p>
      <w:pPr>
        <w:pStyle w:val="FirstParagraph"/>
      </w:pPr>
      <w:r>
        <w:t xml:space="preserve">The gender dimension of energy poverty is often overlooked in infrastructure planning, yet it carries significant implications for how the transition affects different household types. Female-headed households in SIDS frequently face distinct economic vulnerabilities: they tend to have lower average incomes, may have fewer income earners, and often bear primary responsibility for household energy management decisions. The HIES 2019 microdata allow us to disaggregate energy burden and energy poverty rates by the gender of the household head, providing evidence to inform gender-responsive transition policies.</w:t>
      </w:r>
    </w:p>
    <w:tbl>
      <w:tblPr>
        <w:tblStyle w:val="Table"/>
        <w:tblW w:type="pct" w:w="5000"/>
        <w:tblLayout w:type="fixed"/>
        <w:tblLook w:firstRow="0" w:lastRow="0" w:firstColumn="0" w:lastColumn="0" w:noHBand="0" w:noVBand="0" w:val="0000"/>
      </w:tblPr>
      <w:tblGrid>
        <w:gridCol w:w="7920"/>
      </w:tblGrid>
      <w:tr>
        <w:tc>
          <w:tcPr/>
          <w:bookmarkStart w:id="178" w:name="fig-gender"/>
          <w:p>
            <w:pPr>
              <w:pStyle w:val="SourceCode"/>
              <w:jc w:val="center"/>
            </w:pPr>
            <w:r>
              <w:rPr>
                <w:rStyle w:val="VerbatimChar"/>
              </w:rPr>
              <w:t xml:space="preserve">Unable to display output for mime type(s): text/html</w:t>
            </w:r>
          </w:p>
          <w:p>
            <w:pPr>
              <w:jc w:val="center"/>
            </w:pPr>
            <w:pPr>
              <w:jc w:val="start"/>
              <w:spacing w:before="200"/>
              <w:pStyle w:val="ImageCaption"/>
            </w:pPr>
            <w:r>
              <w:t xml:space="preserve">Figure 14.2: Energy burden comparison between male-headed and female-headed households.</w:t>
            </w:r>
          </w:p>
          <w:bookmarkEnd w:id="178"/>
        </w:tc>
      </w:tr>
    </w:tbl>
    <w:p>
      <w:pPr>
        <w:pStyle w:val="BodyText"/>
      </w:pPr>
      <w:hyperlink w:anchor="fig-gender">
        <w:r>
          <w:rPr>
            <w:rStyle w:val="Hyperlink"/>
          </w:rPr>
          <w:t xml:space="preserve">Figure 14.2</w:t>
        </w:r>
      </w:hyperlink>
      <w:r>
        <w:t xml:space="preserve"> </w:t>
      </w:r>
      <w:r>
        <w:t xml:space="preserve">presents the energy burden and energy poverty rates side by side for male-headed and female-headed households. The comparison reveals important nuances. While the mean energy burden differs between the two groups, the energy poverty rate — the share of households exceeding the ten-percent threshold</w:t>
      </w:r>
      <w:r>
        <w:rPr>
          <w:rStyle w:val="FootnoteReference"/>
        </w:rPr>
        <w:footnoteReference w:id="179"/>
      </w:r>
      <w:r>
        <w:t xml:space="preserve"> </w:t>
      </w:r>
      <w:r>
        <w:t xml:space="preserve">— captures the concentration of severe affordability stress at the lower end of the income distribution. Differences in energy poverty rates between male-headed and female-headed households may reflect not only income disparities but also differences in household size, dwelling characteristics, and access to supplementary income sources.</w:t>
      </w:r>
    </w:p>
    <w:p>
      <w:pPr>
        <w:pStyle w:val="BodyText"/>
      </w:pPr>
      <w:r>
        <w:t xml:space="preserve">These findings suggest that gender-blind transition policies risk leaving significant pockets of vulnerability unaddressed. If tariff restructuring accompanies the transition, the design of social protection mechanisms should explicitly consider household headship composition, ensuring that female-headed households — which may cluster disproportionately in the most vulnerable income segments — receive adequate support. International experience from energy transition programmes in Pacific Island countries and sub-Saharan Africa demonstrates that gender-targeted interventions, such as women’s energy cooperatives or gender-responsive subsidy allocation, can significantly improve distributional outcomes without undermining the efficiency of the broader transition programme.</w:t>
      </w:r>
    </w:p>
    <w:bookmarkEnd w:id="180"/>
    <w:bookmarkStart w:id="182" w:name="geographic-distribution"/>
    <w:p>
      <w:pPr>
        <w:pStyle w:val="Heading2"/>
      </w:pPr>
      <w:r>
        <w:t xml:space="preserve">14.4 Geographic Distribution</w:t>
      </w:r>
    </w:p>
    <w:p>
      <w:pPr>
        <w:pStyle w:val="FirstParagraph"/>
      </w:pPr>
      <w:r>
        <w:t xml:space="preserve">The Maldives’ geographic structure creates a natural spatial dimension to energy affordability. Greater Malé — comprising Malé, Hulhumalé, and Villimalé — benefits from economies of scale in power generation, larger and more efficient diesel plants, and a more diversified economic base. Outer atoll communities, by contrast, typically rely on small, isolated diesel generators with higher per-unit fuel costs, longer supply chains, and more limited income-earning opportunities. This geographic gradient in both energy costs and household incomes produces distinct distributional patterns that any transition strategy must account for.</w:t>
      </w:r>
    </w:p>
    <w:tbl>
      <w:tblPr>
        <w:tblStyle w:val="Table"/>
        <w:tblW w:type="pct" w:w="5000"/>
        <w:tblLayout w:type="fixed"/>
        <w:tblLook w:firstRow="0" w:lastRow="0" w:firstColumn="0" w:lastColumn="0" w:noHBand="0" w:noVBand="0" w:val="0000"/>
      </w:tblPr>
      <w:tblGrid>
        <w:gridCol w:w="7920"/>
      </w:tblGrid>
      <w:tr>
        <w:tc>
          <w:tcPr/>
          <w:bookmarkStart w:id="181" w:name="fig-geography-dist"/>
          <w:p>
            <w:pPr>
              <w:pStyle w:val="SourceCode"/>
              <w:jc w:val="center"/>
            </w:pPr>
            <w:r>
              <w:rPr>
                <w:rStyle w:val="VerbatimChar"/>
              </w:rPr>
              <w:t xml:space="preserve">Unable to display output for mime type(s): text/html</w:t>
            </w:r>
          </w:p>
          <w:p>
            <w:pPr>
              <w:jc w:val="center"/>
            </w:pPr>
            <w:pPr>
              <w:jc w:val="start"/>
              <w:spacing w:before="200"/>
              <w:pStyle w:val="ImageCaption"/>
            </w:pPr>
            <w:r>
              <w:t xml:space="preserve">Figure 14.3: Electricity burden and expenditure patterns across Malé, urban outer, and rural outer island households.</w:t>
            </w:r>
          </w:p>
          <w:bookmarkEnd w:id="181"/>
        </w:tc>
      </w:tr>
    </w:tbl>
    <w:p>
      <w:pPr>
        <w:pStyle w:val="BodyText"/>
      </w:pPr>
      <w:hyperlink w:anchor="fig-geography-dist">
        <w:r>
          <w:rPr>
            <w:rStyle w:val="Hyperlink"/>
          </w:rPr>
          <w:t xml:space="preserve">Figure 14.3</w:t>
        </w:r>
      </w:hyperlink>
      <w:r>
        <w:t xml:space="preserve"> </w:t>
      </w:r>
      <w:r>
        <w:t xml:space="preserve">illustrates the geographic dimension of energy burden. The comparison between Malé and outer atoll households captures the dual disadvantage that characterises remote island energy systems: higher generation costs combined with lower average incomes. For outer atoll households, diesel fuel must be transported over longer distances, generator sets are smaller and less efficient, and maintenance costs are higher per unit of electricity produced. These supply-side cost pressures interact with the demand-side reality that outer atoll economies offer fewer high-income employment opportunities than the capital.</w:t>
      </w:r>
    </w:p>
    <w:p>
      <w:pPr>
        <w:pStyle w:val="BodyText"/>
      </w:pPr>
      <w:r>
        <w:t xml:space="preserve">This geographic disparity has important implications for transition pathway design. Scenarios that prioritise centralised infrastructure — such as S2 Full Integration with its submarine cable — primarily benefit Malé and nearby islands, while outer atoll communities may see little improvement unless the grid is extended to reach them. Conversely, distributed renewable scenarios such as S4 Islanded Green directly target the islands where energy costs are highest, potentially delivering the greatest proportional benefit to the most burdened communities. The choice of transition pathway is therefore not merely a question of aggregate efficiency but also a question of spatial equity and whether the transition narrows or widens the energy affordability gap between centre and periphery.</w:t>
      </w:r>
    </w:p>
    <w:bookmarkEnd w:id="182"/>
    <w:bookmarkStart w:id="184" w:name="scenario-specific-tariff-impacts"/>
    <w:p>
      <w:pPr>
        <w:pStyle w:val="Heading2"/>
      </w:pPr>
      <w:r>
        <w:t xml:space="preserve">14.5 Scenario-Specific Tariff Impacts</w:t>
      </w:r>
    </w:p>
    <w:p>
      <w:pPr>
        <w:pStyle w:val="FirstParagraph"/>
      </w:pPr>
      <w:r>
        <w:t xml:space="preserve">The distributional consequences of the energy transition depend critically on how investment costs are recovered through electricity tariffs. Different scenarios imply different tariff trajectories: capital-intensive pathways with large upfront investments may require temporary tariff increases, while pathways that rapidly displace expensive diesel fuel may deliver tariff reductions even during the investment phase. The following analysis projects the tariff implications of each scenario, based on the levelised cost of electricity and assumed cost-recovery mechanisms.</w:t>
      </w:r>
    </w:p>
    <w:tbl>
      <w:tblPr>
        <w:tblStyle w:val="Table"/>
        <w:tblW w:type="pct" w:w="5000"/>
        <w:tblLayout w:type="fixed"/>
        <w:tblLook w:firstRow="0" w:lastRow="0" w:firstColumn="0" w:lastColumn="0" w:noHBand="0" w:noVBand="0" w:val="0000"/>
      </w:tblPr>
      <w:tblGrid>
        <w:gridCol w:w="7920"/>
      </w:tblGrid>
      <w:tr>
        <w:tc>
          <w:tcPr/>
          <w:bookmarkStart w:id="183" w:name="fig-tariff-impact"/>
          <w:p>
            <w:pPr>
              <w:pStyle w:val="SourceCode"/>
              <w:jc w:val="center"/>
            </w:pPr>
            <w:r>
              <w:rPr>
                <w:rStyle w:val="VerbatimChar"/>
              </w:rPr>
              <w:t xml:space="preserve">Unable to display output for mime type(s): text/html</w:t>
            </w:r>
          </w:p>
          <w:p>
            <w:pPr>
              <w:jc w:val="center"/>
            </w:pPr>
            <w:pPr>
              <w:jc w:val="start"/>
              <w:spacing w:before="200"/>
              <w:pStyle w:val="ImageCaption"/>
            </w:pPr>
            <w:r>
              <w:t xml:space="preserve">Figure 14.4: Projected impact of each scenario on household electricity tariffs and monthly bills.</w:t>
            </w:r>
          </w:p>
          <w:bookmarkEnd w:id="183"/>
        </w:tc>
      </w:tr>
    </w:tbl>
    <w:p>
      <w:pPr>
        <w:pStyle w:val="BodyText"/>
      </w:pPr>
      <w:hyperlink w:anchor="fig-tariff-impact">
        <w:r>
          <w:rPr>
            <w:rStyle w:val="Hyperlink"/>
          </w:rPr>
          <w:t xml:space="preserve">Figure 14.4</w:t>
        </w:r>
      </w:hyperlink>
      <w:r>
        <w:t xml:space="preserve"> </w:t>
      </w:r>
      <w:r>
        <w:t xml:space="preserve">shows the projected percentage change in electricity tariffs under each alternative scenario relative to the business-as-usual baseline. Negative values indicate tariff reductions — meaning households would pay less per kilowatt-hour than under continued diesel dependence — while positive values indicate tariff increases. The pattern across scenarios reflects the interplay between capital investment requirements and ongoing fuel cost savings. Scenarios with high renewable energy penetration tend to deliver tariff reductions over the analysis period because the elimination of volatile diesel fuel costs more than compensates for the amortised capital expenditure on solar panels, batteries, and grid infrastructure. Scenarios requiring very large upfront investments, such as the submarine cable, may show more modest tariff benefits in the near term but deliver substantial savings in later decades as capital costs are fully amortised and fuel savings accumulate.</w:t>
      </w:r>
    </w:p>
    <w:p>
      <w:pPr>
        <w:pStyle w:val="BodyText"/>
      </w:pPr>
      <w:r>
        <w:t xml:space="preserve">From a distributional perspective, even modest tariff reductions are significant for the lowest-income households, given their high baseline energy burden. A five-percent tariff reduction that barely registers in the budget of a top-quintile household can meaningfully improve the welfare of a bottom-quintile household. Conversely, any tariff increase — even if temporary — requires compensating social protection measures to prevent the transition from deepening energy poverty among the most vulnerable.</w:t>
      </w:r>
    </w:p>
    <w:bookmarkEnd w:id="184"/>
    <w:bookmarkStart w:id="185" w:name="energy-poverty-assessment"/>
    <w:p>
      <w:pPr>
        <w:pStyle w:val="Heading2"/>
      </w:pPr>
      <w:r>
        <w:t xml:space="preserve">14.6 Energy Poverty Assessment</w:t>
      </w:r>
    </w:p>
    <w:p>
      <w:pPr>
        <w:pStyle w:val="FirstParagraph"/>
      </w:pPr>
      <w:r>
        <w:t xml:space="preserve">The concept of energy poverty provides a threshold-based complement to the continuous burden measure. A household is classified as energy-poor if its electricity expenditure exceeds a defined percentage of total income — conventionally set at 10% in line with international practice. By this measure, the energy poverty rate in the Maldives is 0.0%, meaning that roughly one in every few households devotes a disproportionate share of its income to electricity alone — before accounting for other energy expenditures such as cooking fuel or transport.</w:t>
      </w:r>
    </w:p>
    <w:p>
      <w:pPr>
        <w:pStyle w:val="BodyText"/>
      </w:pPr>
      <w:r>
        <w:t xml:space="preserve">This headline rate masks considerable heterogeneity. As the quintile and gender analyses above demonstrate, energy poverty is concentrated among specific population segments: the lowest income quintiles, female-headed households, and outer atoll communities. Energy poverty is not randomly distributed across the population but clusters where economic vulnerability and high energy costs intersect. This concentration means that well-targeted interventions — lifeline tariff blocks, direct transfers to identified vulnerable groups, or subsidised connections — can achieve substantial reductions in the energy poverty rate without requiring universal subsidies that benefit households already well above the threshold.</w:t>
      </w:r>
    </w:p>
    <w:bookmarkEnd w:id="185"/>
    <w:bookmarkStart w:id="186" w:name="progressivity-the-suits-index"/>
    <w:p>
      <w:pPr>
        <w:pStyle w:val="Heading2"/>
      </w:pPr>
      <w:r>
        <w:t xml:space="preserve">14.7 Progressivity: The Suits Index</w:t>
      </w:r>
    </w:p>
    <w:p>
      <w:pPr>
        <w:pStyle w:val="FirstParagraph"/>
      </w:pPr>
      <w:r>
        <w:t xml:space="preserve">The</w:t>
      </w:r>
      <w:r>
        <w:t xml:space="preserve"> </w:t>
      </w:r>
      <w:r>
        <w:rPr>
          <w:b/>
          <w:bCs/>
        </w:rPr>
        <w:t xml:space="preserve">Suits Index</w:t>
      </w:r>
      <w:r>
        <w:t xml:space="preserve"> </w:t>
      </w:r>
      <w:r>
        <w:t xml:space="preserve">provides a single summary measure of the progressivity or regressivity of the electricity tariff system, analogous to the Gini coefficient for income inequality but applied specifically to the distribution of tax or tariff burdens. The index ranges from −1 (maximally regressive, with the entire burden falling on the poorest) through 0 (perfectly proportional, with burden distributed in exact proportion to income) to +1 (maximally progressive, with the entire burden falling on the richest). A Suits Index of 0.000 indicates that the current electricity tariff is approximately proportional.</w:t>
      </w:r>
    </w:p>
    <w:p>
      <w:pPr>
        <w:pStyle w:val="BodyText"/>
      </w:pPr>
      <w:r>
        <w:t xml:space="preserve">The negative Suits Index confirms quantitatively what the quintile burden analysis illustrates graphically: the current electricity pricing system places a proportionally heavier burden on lower-income households. This regressivity is an inherent feature of flat or near-flat tariff structures applied to an essential service with limited demand elasticity. Wealthier households consume more electricity but their income grows faster than their consumption, resulting in a declining burden share. The Suits Index provides a useful benchmark for evaluating transition-era tariff reforms: any tariff restructuring that moves the index closer to zero — or into positive territory — represents an improvement in distributional equity, while reforms that push the index further into negative territory would exacerbate existing inequities.</w:t>
      </w:r>
    </w:p>
    <w:bookmarkEnd w:id="186"/>
    <w:bookmarkStart w:id="190" w:name="Xa28e44883ec3312af244cb8aa8837a921d4b54f"/>
    <w:p>
      <w:pPr>
        <w:pStyle w:val="Heading2"/>
      </w:pPr>
      <w:r>
        <w:t xml:space="preserve">14.8 Policy Implications for Equitable Transition</w:t>
      </w:r>
    </w:p>
    <w:p>
      <w:pPr>
        <w:pStyle w:val="FirstParagraph"/>
      </w:pPr>
      <w:r>
        <w:t xml:space="preserve">The distributional evidence presented in this chapter points to a clear conclusion: the energy transition in the Maldives cannot be designed solely on the basis of aggregate economic efficiency. The current system already imposes a regressive burden on low-income households, and if the transition is not carefully managed, it risks deepening these inequities even as it delivers substantial aggregate benefits.</w:t>
      </w:r>
    </w:p>
    <w:bookmarkStart w:id="187" w:name="equitable-transition-design"/>
    <w:p>
      <w:pPr>
        <w:pStyle w:val="Heading4"/>
      </w:pPr>
      <w:r>
        <w:t xml:space="preserve">14.8.0.1 Equitable Transition Design</w:t>
      </w:r>
    </w:p>
    <w:bookmarkEnd w:id="187"/>
    <w:p>
      <w:pPr>
        <w:pStyle w:val="FirstParagraph"/>
      </w:pPr>
      <w:r>
        <w:rPr>
          <w:b/>
          <w:bCs/>
        </w:rPr>
        <w:t xml:space="preserve">Lifeline tariff blocks</w:t>
      </w:r>
      <w:r>
        <w:t xml:space="preserve"> </w:t>
      </w:r>
      <w:r>
        <w:t xml:space="preserve">represent the most direct mechanism for protecting low-income households during the transition period. Under this approach, the first tranche of monthly consumption — typically the first 100 kilowatt-hours</w:t>
      </w:r>
      <w:r>
        <w:rPr>
          <w:rStyle w:val="FootnoteReference"/>
        </w:rPr>
        <w:footnoteReference w:id="188"/>
      </w:r>
      <w:r>
        <w:t xml:space="preserve"> </w:t>
      </w:r>
      <w:r>
        <w:t xml:space="preserve">— would be priced at or below current rates, with higher consumption blocks priced to recover capital costs. Because low-income households tend to consume less electricity, the lifeline block would cover most or all of their consumption, effectively shielding them from tariff increases while ensuring that higher-consuming households bear a proportionally larger share of transition costs. This approach is well established in developing countries and has been implemented successfully in Sri Lanka, India, and several Pacific Island nations.</w:t>
      </w:r>
    </w:p>
    <w:p>
      <w:pPr>
        <w:pStyle w:val="BodyText"/>
      </w:pPr>
      <w:r>
        <w:rPr>
          <w:b/>
          <w:bCs/>
        </w:rPr>
        <w:t xml:space="preserve">Targeted transfer payments</w:t>
      </w:r>
      <w:r>
        <w:t xml:space="preserve"> </w:t>
      </w:r>
      <w:r>
        <w:t xml:space="preserve">offer a complementary approach for households where electricity expenditure has already exceeded sustainable levels. Rather than distorting the tariff structure, which can create perverse incentives for overconsumption, direct cash transfers to identified low-income households during the investment phase preserve price signals while protecting household welfare. The HIES microdata provide the demographic and geographic targeting information needed to design such transfers efficiently, ensuring that support reaches the most vulnerable without excessive leakage to non-poor households.</w:t>
      </w:r>
    </w:p>
    <w:p>
      <w:pPr>
        <w:pStyle w:val="BodyText"/>
      </w:pPr>
      <w:r>
        <w:rPr>
          <w:b/>
          <w:bCs/>
        </w:rPr>
        <w:t xml:space="preserve">Cross-subsidisation between consumer categories</w:t>
      </w:r>
      <w:r>
        <w:t xml:space="preserve"> </w:t>
      </w:r>
      <w:r>
        <w:t xml:space="preserve">can harness the Maldives’ distinctive economic structure to finance equitable transition. The tourism sector — which consumes substantial electricity at resorts but generates high revenues per guest-night — represents a natural source of cross-subsidy for residential consumers. A differentiated tariff structure that sets commercial and resort tariffs above the average cost of supply while keeping residential rates below it can generate the revenue needed to finance transition investments without burdening low-income households. This mechanism is already implicit in many SIDS electricity tariff structures and could be formalised as part of the transition framework.</w:t>
      </w:r>
    </w:p>
    <w:p>
      <w:pPr>
        <w:pStyle w:val="BodyText"/>
      </w:pPr>
      <w:r>
        <w:rPr>
          <w:b/>
          <w:bCs/>
        </w:rPr>
        <w:t xml:space="preserve">Connection cost subsidies</w:t>
      </w:r>
      <w:r>
        <w:t xml:space="preserve"> </w:t>
      </w:r>
      <w:r>
        <w:t xml:space="preserve">address a distinct but related barrier to equitable transition. The model estimates last-mile connection costs of approximately $200 per household</w:t>
      </w:r>
      <w:r>
        <w:rPr>
          <w:rStyle w:val="FootnoteReference"/>
        </w:rPr>
        <w:footnoteReference w:id="189"/>
      </w:r>
      <w:r>
        <w:t xml:space="preserve"> </w:t>
      </w:r>
      <w:r>
        <w:t xml:space="preserve">for the roughly 100 thousand households in the Maldives, representing a total outlay that is modest relative to total transition investment but significant relative to the budgets of individual low-income households. Government or donor financing of connection costs ensures that the transition does not create a two-tier system in which wealthier households gain access to cheaper renewable electricity while poorer households remain stranded on expensive diesel supply.</w:t>
      </w:r>
    </w:p>
    <w:bookmarkEnd w:id="190"/>
    <w:bookmarkEnd w:id="191"/>
    <w:bookmarkStart w:id="192" w:name="section-5"/>
    <w:p>
      <w:pPr>
        <w:pStyle w:val="Heading1"/>
      </w:pPr>
      <w:r>
        <w:t xml:space="preserve">15. —</w:t>
      </w:r>
    </w:p>
    <w:bookmarkEnd w:id="192"/>
    <w:bookmarkStart w:id="208" w:name="sec-financing"/>
    <w:p>
      <w:pPr>
        <w:pStyle w:val="Heading1"/>
      </w:pPr>
      <w:r>
        <w:t xml:space="preserve">16. Financing</w:t>
      </w:r>
    </w:p>
    <w:p>
      <w:pPr>
        <w:pStyle w:val="FirstParagraph"/>
      </w:pPr>
      <w:r>
        <w:t xml:space="preserve">The Maldives cannot finance its energy transition alone. With a GDP of approximately six billion dollars</w:t>
      </w:r>
      <w:r>
        <w:rPr>
          <w:rStyle w:val="FootnoteReference"/>
        </w:rPr>
        <w:footnoteReference w:id="193"/>
      </w:r>
      <w:r>
        <w:t xml:space="preserve"> </w:t>
      </w:r>
      <w:r>
        <w:t xml:space="preserve">and sovereign debt already elevated, the capital requirements of a multi-billion-dollar infrastructure programme far exceed the government’s fiscal capacity. This chapter analyses investment requirements, concessional financing structures, fiscal sustainability, and the grant element of blended finance packages available to Small Island Developing States, providing the fiscal evidence that complements the economic analysis of preceding chapters.</w:t>
      </w:r>
    </w:p>
    <w:bookmarkStart w:id="197" w:name="total-investment-requirements"/>
    <w:p>
      <w:pPr>
        <w:pStyle w:val="Heading2"/>
      </w:pPr>
      <w:r>
        <w:t xml:space="preserve">16.1 Total Investment Requirements</w:t>
      </w:r>
    </w:p>
    <w:p>
      <w:pPr>
        <w:pStyle w:val="FirstParagraph"/>
      </w:pPr>
      <w:r>
        <w:t xml:space="preserve">The scale of investment required varies dramatically across transition pathways. Some scenarios demand concentrated, front-loaded capital deployment — requiring the government to secure large financing packages within a narrow window — while others permit incremental, modular investment that can be phased over decades and adjusted as conditions evolve. Understanding these differences is essential for matching each pathway to the Maldives’ borrowing capacity and the availability of concessional finance from multilateral development banks.</w:t>
      </w:r>
    </w:p>
    <w:tbl>
      <w:tblPr>
        <w:tblStyle w:val="Table"/>
        <w:tblW w:type="pct" w:w="5000"/>
        <w:tblLayout w:type="fixed"/>
        <w:tblLook w:firstRow="0" w:lastRow="0" w:firstColumn="0" w:lastColumn="0" w:noHBand="0" w:noVBand="0" w:val="0000"/>
      </w:tblPr>
      <w:tblGrid>
        <w:gridCol w:w="7920"/>
      </w:tblGrid>
      <w:tr>
        <w:tc>
          <w:tcPr/>
          <w:bookmarkStart w:id="196" w:name="fig-capex-comparison"/>
          <w:tbl>
            <w:tblPr>
              <w:tblStyle w:val="Table"/>
              <w:tblW w:type="pct" w:w="5000"/>
              <w:tblLayout w:type="fixed"/>
              <w:tblLook w:firstRow="0" w:lastRow="0" w:firstColumn="0" w:lastColumn="0" w:noHBand="0" w:noVBand="0" w:val="0000"/>
            </w:tblPr>
            <w:tblGrid>
              <w:gridCol w:w="7920"/>
            </w:tblGrid>
            <w:tr>
              <w:tc>
                <w:tcPr/>
                <w:bookmarkStart w:id="194" w:name="fig-capex-comparison-1"/>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(a) Total nominal CAPEX by scenario. Full Integration has the highest upfront investment requirement; Islanded Green can be deployed incrementally.</w:t>
                  </w:r>
                </w:p>
                <w:bookmarkEnd w:id="194"/>
              </w:tc>
            </w:tr>
          </w:tbl>
          <w:p>
            <w:pPr>
              <w:jc w:val="center"/>
            </w:pPr>
            <w:r>
              <w:t xml:space="preserve"> </w:t>
            </w:r>
          </w:p>
          <w:tbl>
            <w:tblPr>
              <w:tblStyle w:val="Table"/>
              <w:tblW w:type="pct" w:w="5000"/>
              <w:tblLayout w:type="fixed"/>
              <w:tblLook w:firstRow="0" w:lastRow="0" w:firstColumn="0" w:lastColumn="0" w:noHBand="0" w:noVBand="0" w:val="0000"/>
            </w:tblPr>
            <w:tblGrid>
              <w:gridCol w:w="7920"/>
            </w:tblGrid>
            <w:tr>
              <w:tc>
                <w:tcPr/>
                <w:bookmarkStart w:id="195" w:name="fig-capex-comparison-2"/>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(b)</w:t>
                  </w:r>
                </w:p>
                <w:bookmarkEnd w:id="195"/>
              </w:tc>
            </w:tr>
          </w:tbl>
          <w:p>
            <w:pPr>
              <w:jc w:val="center"/>
            </w:pPr>
            <w:pPr>
              <w:jc w:val="start"/>
              <w:spacing w:before="200"/>
              <w:pStyle w:val="ImageCaption"/>
            </w:pPr>
            <w:r>
              <w:t xml:space="preserve">Figure 16.1</w:t>
            </w:r>
          </w:p>
          <w:bookmarkEnd w:id="196"/>
        </w:tc>
      </w:tr>
    </w:tbl>
    <w:p>
      <w:pPr>
        <w:pStyle w:val="BodyText"/>
      </w:pPr>
      <w:hyperlink w:anchor="fig-capex-comparison">
        <w:r>
          <w:rPr>
            <w:rStyle w:val="Hyperlink"/>
          </w:rPr>
          <w:t xml:space="preserve">Figure 16.1</w:t>
        </w:r>
      </w:hyperlink>
      <w:r>
        <w:t xml:space="preserve"> </w:t>
      </w:r>
      <w:r>
        <w:t xml:space="preserve">reveals the wide range of capital requirements across scenarios. The Full Integration scenario (S2) commands the highest upfront investment, driven primarily by the submarine cable from India and associated converter stations, grid reinforcement, and landing infrastructure. At the other end of the spectrum, the Islanded Green scenario (S4) requires significantly less total capital because it deploys distributed solar-battery systems at the island level without large interconnection infrastructure. The National Grid (S3), Near-Shore Solar (S5), Maximum RE (S6), and LNG Transition (S7) scenarios fall between these extremes, each reflecting a different balance between centralised and distributed infrastructure investments.</w:t>
      </w:r>
    </w:p>
    <w:p>
      <w:pPr>
        <w:pStyle w:val="BodyText"/>
      </w:pPr>
      <w:r>
        <w:t xml:space="preserve">The differences in capital intensity have profound implications for financial risk. Large, lumpy investments such as submarine cables create commitment risk: once construction begins, the project must be completed to deliver any value, and cost overruns on mega-projects are well documented globally. Modular investments such as island-level solar-battery installations, by contrast, begin delivering value from the first unit deployed and can be scaled up or paused in response to changing fiscal conditions, demand growth, or technology costs. This distinction between committed and modular investment structures is a key consideration that goes beyond the simple comparison of total CAPEX figures.</w:t>
      </w:r>
    </w:p>
    <w:bookmarkEnd w:id="197"/>
    <w:bookmarkStart w:id="199" w:name="Xdd38b05f269e23c1530bc47410d8eae7627d4f2"/>
    <w:p>
      <w:pPr>
        <w:pStyle w:val="Heading2"/>
      </w:pPr>
      <w:r>
        <w:t xml:space="preserve">16.2 Financing Structure: Blended Concessional Finance</w:t>
      </w:r>
    </w:p>
    <w:p>
      <w:pPr>
        <w:pStyle w:val="FirstParagraph"/>
      </w:pPr>
      <w:r>
        <w:t xml:space="preserve">The Maldives’ classification as a Small Island Developing State entitles it to the most concessional financing terms available from multilateral development banks. The Asian Development Bank’s SIDS lending window offers terms that dramatically reduce the effective cost of capital: an interest rate of 1 percent, a 40-year maturity, and a 10-year grace period during which only interest is payable</w:t>
      </w:r>
      <w:r>
        <w:rPr>
          <w:rStyle w:val="FootnoteReference"/>
        </w:rPr>
        <w:footnoteReference w:id="198"/>
      </w:r>
      <w:r>
        <w:t xml:space="preserve">. These terms are far below the commercial interest rates available to the Maldives government in domestic or international capital markets, creating a substantial implicit subsidy — the grant element — that makes otherwise unviable investments economically feasible.</w:t>
      </w:r>
    </w:p>
    <w:p>
      <w:pPr>
        <w:pStyle w:val="BodyText"/>
      </w:pPr>
      <w:r>
        <w:t xml:space="preserve">The financing structure table above details the financing structure for each scenario, showing how the total CAPEX is split between concessional ADB lending and commercial financing, along with the resulting blended cost of capital (WACC) and the grant element. The grant element — defined as the difference in present value between what the borrower would pay under concessional terms versus commercial terms, expressed as a percentage of the face value of the loan — is approximately</w:t>
      </w:r>
      <w:r>
        <w:t xml:space="preserve"> </w:t>
      </w:r>
      <w:r>
        <w:rPr>
          <w:b/>
          <w:bCs/>
        </w:rPr>
        <w:t xml:space="preserve">82.8%</w:t>
      </w:r>
      <w:r>
        <w:t xml:space="preserve">. This is among the most concessional terms available to any developing country, reflecting the international community’s recognition that SIDS face unique structural vulnerabilities — small domestic markets, high import dependence, extreme climate exposure, and limited fiscal capacity — that justify exceptional support.</w:t>
      </w:r>
    </w:p>
    <w:p>
      <w:pPr>
        <w:pStyle w:val="BodyText"/>
      </w:pPr>
      <w:r>
        <w:t xml:space="preserve">The practical significance of the grant element is substantial. For every dollar borrowed at ADB SIDS terms (1% interest, 40-year maturity, 10-year grace), the borrower pays back substantially less in present-value terms than it would under commercial terms (approximately 11.6%). This difference transforms the financial viability of capital-intensive transition pathways that would be unaffordable at commercial rates. The blended WACC — combining the ADB concessional tranche with any commercial co-financing — determines the effective cost of capital against which project returns must be evaluated from a financial (as opposed to economic) perspective.</w:t>
      </w:r>
    </w:p>
    <w:p>
      <w:pPr>
        <w:pStyle w:val="BodyText"/>
      </w:pPr>
      <w:r>
        <w:t xml:space="preserve">It is important to note that this financing analysis is supplementary to the main economic CBA, which uses the social discount rate to evaluate projects from a societal welfare perspective. The financing analysis addresses a different question: not whether the transition is worth doing (the economic CBA answers that), but whether and how the Maldives can afford to pay for it given its fiscal constraints and access to concessional capital. Both perspectives are necessary for informed policy decisions.</w:t>
      </w:r>
    </w:p>
    <w:bookmarkEnd w:id="199"/>
    <w:bookmarkStart w:id="202" w:name="X97c93fbe303271dc2106badaaaff35487d8804f"/>
    <w:p>
      <w:pPr>
        <w:pStyle w:val="Heading2"/>
      </w:pPr>
      <w:r>
        <w:t xml:space="preserve">16.3 Fiscal Sustainability: Debt Service Burden</w:t>
      </w:r>
    </w:p>
    <w:p>
      <w:pPr>
        <w:pStyle w:val="FirstParagraph"/>
      </w:pPr>
      <w:r>
        <w:t xml:space="preserve">Even highly concessional debt must be serviced, and for a small economy the annual debt service burden can become a binding constraint on fiscal policy. The International Monetary Fund applies a threshold of approximately two percent of GDP as the level at which debt service begins to crowd out essential public expenditure and raises concerns about long-term fiscal sustainability</w:t>
      </w:r>
      <w:r>
        <w:rPr>
          <w:rStyle w:val="FootnoteReference"/>
        </w:rPr>
        <w:footnoteReference w:id="200"/>
      </w:r>
      <w:r>
        <w:t xml:space="preserve">. This threshold provides a practical benchmark for evaluating whether each transition pathway is fiscally manageable.</w:t>
      </w:r>
    </w:p>
    <w:tbl>
      <w:tblPr>
        <w:tblStyle w:val="Table"/>
        <w:tblW w:type="pct" w:w="5000"/>
        <w:tblLayout w:type="fixed"/>
        <w:tblLook w:firstRow="0" w:lastRow="0" w:firstColumn="0" w:lastColumn="0" w:noHBand="0" w:noVBand="0" w:val="0000"/>
      </w:tblPr>
      <w:tblGrid>
        <w:gridCol w:w="7920"/>
      </w:tblGrid>
      <w:tr>
        <w:tc>
          <w:tcPr/>
          <w:bookmarkStart w:id="201" w:name="fig-debt-service"/>
          <w:p>
            <w:pPr>
              <w:pStyle w:val="SourceCode"/>
              <w:jc w:val="center"/>
            </w:pPr>
            <w:r>
              <w:rPr>
                <w:rStyle w:val="VerbatimChar"/>
              </w:rPr>
              <w:t xml:space="preserve">Unable to display output for mime type(s): text/html</w:t>
            </w:r>
          </w:p>
          <w:p>
            <w:pPr>
              <w:jc w:val="center"/>
            </w:pPr>
            <w:pPr>
              <w:jc w:val="start"/>
              <w:spacing w:before="200"/>
              <w:pStyle w:val="ImageCaption"/>
            </w:pPr>
            <w:r>
              <w:t xml:space="preserve">Figure 16.2: Peak annual debt service as a percentage of GDP for each scenario.</w:t>
            </w:r>
          </w:p>
          <w:bookmarkEnd w:id="201"/>
        </w:tc>
      </w:tr>
    </w:tbl>
    <w:p>
      <w:pPr>
        <w:pStyle w:val="BodyText"/>
      </w:pPr>
      <w:hyperlink w:anchor="fig-debt-service">
        <w:r>
          <w:rPr>
            <w:rStyle w:val="Hyperlink"/>
          </w:rPr>
          <w:t xml:space="preserve">Figure 16.2</w:t>
        </w:r>
      </w:hyperlink>
      <w:r>
        <w:t xml:space="preserve"> </w:t>
      </w:r>
      <w:r>
        <w:t xml:space="preserve">shows the peak annual debt service as a percentage of GDP for each scenario. The red dashed line marks the IMF’s two-percent sustainability threshold. Scenarios that fall below this line can be financed without triggering fiscal sustainability concerns, provided that other sovereign debt obligations are managed prudently. Scenarios that approach or exceed the threshold would require additional grant financing, debt restructuring, or phased implementation to remain fiscally sustainable.</w:t>
      </w:r>
    </w:p>
    <w:p>
      <w:pPr>
        <w:pStyle w:val="BodyText"/>
      </w:pPr>
      <w:r>
        <w:t xml:space="preserve">The relationship between total CAPEX and debt service burden is not strictly linear because the blended financing terms, grace periods, and amortisation schedules differ across scenarios. Scenarios with longer construction periods benefit from later onset of principal repayments, while scenarios with front-loaded deployment begin servicing debt sooner. The ten-year grace period on ADB concessional loans provides critical breathing room during the construction and early operational phases, when the investment has not yet begun generating the fuel savings and tariff revenues needed to service the debt.</w:t>
      </w:r>
    </w:p>
    <w:p>
      <w:pPr>
        <w:pStyle w:val="BodyText"/>
      </w:pPr>
      <w:r>
        <w:t xml:space="preserve">Policymakers should note that these debt service projections assume that the transition investments are additional to existing sovereign debt. If the Maldives’ overall debt trajectory is already approaching prudential limits, even modest transition-related debt service could push the total burden above sustainable levels. Coordination between energy transition planning and overall fiscal management is therefore essential, and the phasing of investments should be calibrated not only to technical readiness but also to the available fiscal envelope in each period.</w:t>
      </w:r>
    </w:p>
    <w:bookmarkEnd w:id="202"/>
    <w:bookmarkStart w:id="203" w:name="household-bill-impact"/>
    <w:p>
      <w:pPr>
        <w:pStyle w:val="Heading2"/>
      </w:pPr>
      <w:r>
        <w:t xml:space="preserve">16.4 Household Bill Impact</w:t>
      </w:r>
    </w:p>
    <w:p>
      <w:pPr>
        <w:pStyle w:val="FirstParagraph"/>
      </w:pPr>
      <w:r>
        <w:t xml:space="preserve">The ultimate test of financial viability is whether households can afford the electricity tariffs needed to recover transition costs. The following table projects average annual household electricity bills under each scenario, reflecting the levelised cost of electricity net of any government subsidy. These projections translate the macro-level financing analysis into the micro-level affordability question that matters most to citizens and policymakers.</w:t>
      </w:r>
    </w:p>
    <w:p>
      <w:pPr>
        <w:pStyle w:val="BodyText"/>
      </w:pPr>
      <w:r>
        <w:t xml:space="preserve">The household bills table above presents the average annual household electricity bill under each scenario in both US dollars and Maldivian rufiyaa. Scenarios that deliver lower levelised costs of electricity translate directly into lower household bills, providing a tangible welfare improvement for consumers. The tariff revenue column shows the total annual revenue that the utility would collect at the implied tariff rate, which must cover operating costs, debt service, and any capital recovery. Where projected tariff revenue exceeds current levels, the difference represents the additional fiscal burden that households or the government must absorb; where it falls below current levels, the difference represents a direct welfare gain.</w:t>
      </w:r>
    </w:p>
    <w:p>
      <w:pPr>
        <w:pStyle w:val="BodyText"/>
      </w:pPr>
      <w:r>
        <w:t xml:space="preserve">These bill projections should be interpreted in conjunction with the distributional analysis in</w:t>
      </w:r>
      <w:r>
        <w:t xml:space="preserve"> </w:t>
      </w:r>
      <w:hyperlink w:anchor="sec-distributional">
        <w:r>
          <w:rPr>
            <w:rStyle w:val="Hyperlink"/>
          </w:rPr>
          <w:t xml:space="preserve">Chapter 14</w:t>
        </w:r>
      </w:hyperlink>
      <w:r>
        <w:t xml:space="preserve">. Average bills mask significant variation across income groups: low-income households consume less electricity and would pay less in absolute terms, but the share of their income devoted to electricity may still be higher than for wealthier households. The design of tariff structures — lifeline blocks, increasing block tariffs, or time-of-use pricing — can substantially alter the distributional incidence of any given average tariff level.</w:t>
      </w:r>
    </w:p>
    <w:bookmarkEnd w:id="203"/>
    <w:bookmarkStart w:id="207" w:name="subsidy-avoidance"/>
    <w:p>
      <w:pPr>
        <w:pStyle w:val="Heading2"/>
      </w:pPr>
      <w:r>
        <w:t xml:space="preserve">16.5 Subsidy Avoidance</w:t>
      </w:r>
    </w:p>
    <w:p>
      <w:pPr>
        <w:pStyle w:val="FirstParagraph"/>
      </w:pPr>
      <w:r>
        <w:t xml:space="preserve">The Maldives government currently subsidises electricity at approximately</w:t>
      </w:r>
      <w:r>
        <w:t xml:space="preserve"> </w:t>
      </w:r>
      <w:r>
        <w:rPr>
          <w:b/>
          <w:bCs/>
        </w:rPr>
        <w:t xml:space="preserve">$0.15/kWh</w:t>
      </w:r>
      <w:r>
        <w:rPr>
          <w:rStyle w:val="FootnoteReference"/>
        </w:rPr>
        <w:footnoteReference w:id="204"/>
      </w:r>
      <w:r>
        <w:t xml:space="preserve">, bridging the gap between the high cost of diesel generation and the tariffs that households and businesses are charged. At projected 2030 demand of 1,459 GWh, this represents an annual fiscal outlay of approximately</w:t>
      </w:r>
      <w:r>
        <w:t xml:space="preserve"> </w:t>
      </w:r>
      <w:r>
        <w:rPr>
          <w:b/>
          <w:bCs/>
        </w:rPr>
        <w:t xml:space="preserve">$0M</w:t>
      </w:r>
      <w:r>
        <w:t xml:space="preserve">. This subsidy is a recurring drain on the national budget that grows with demand and is vulnerable to diesel price volatility — when global oil prices spike, the subsidy bill increases sharply, creating fiscal stress precisely when the economy can least afford it.</w:t>
      </w:r>
    </w:p>
    <w:p>
      <w:pPr>
        <w:pStyle w:val="BodyText"/>
      </w:pPr>
      <w:r>
        <w:t xml:space="preserve">Transition to lower-cost generation technologies would progressively reduce and eventually eliminate this subsidy requirement. As the levelised cost of renewable electricity falls below the current subsidised tariff rate, the government ceases to be a net payer and may even become a net beneficiary through lower procurement costs or carbon credit revenues. The cumulative present value of subsidy savings over the thirty-year analysis horizon represents a substantial fiscal benefit that is additional to the direct economic benefits captured in the CBA — effectively, the government recovers fiscal space that can be redeployed to health, education, climate adaptation, or other development priorities.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05" name="Picture"/>
                  <a:graphic>
                    <a:graphicData uri="http://schemas.openxmlformats.org/drawingml/2006/picture">
                      <pic:pic>
                        <pic:nvPicPr>
                          <pic:cNvPr descr="C:\Users\LucasSempe\AppData\Local\Programs\Quarto\share\formats\docx\tip.png" id="206" name="Picture"/>
                          <pic:cNvPicPr>
                            <a:picLocks noChangeArrowheads="1" noChangeAspect="1"/>
                          </pic:cNvPicPr>
                        </pic:nvPicPr>
                        <pic:blipFill>
                          <a:blip r:embed="rId1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double dividend</w:t>
            </w:r>
          </w:p>
        </w:tc>
      </w:tr>
      <w:tr>
        <w:trPr>
          <w:cantSplit/>
        </w:trPr>
        <w:tc>
          <w:tcPr>
            <w:tcMar>
              <w:top w:w="108" w:type="dxa"/>
              <w:bottom w:w="108" w:type="dxa"/>
            </w:tcMar>
          </w:tcPr>
          <w:p>
            <w:pPr>
              <w:pStyle w:val="BodyText"/>
            </w:pPr>
            <w:pPr>
              <w:spacing w:before="16" w:after="16"/>
            </w:pPr>
            <w:r>
              <w:t xml:space="preserve">Energy transition delivers a</w:t>
            </w:r>
            <w:r>
              <w:t xml:space="preserve"> </w:t>
            </w:r>
            <w:r>
              <w:rPr>
                <w:b/>
                <w:bCs/>
              </w:rPr>
              <w:t xml:space="preserve">double fiscal dividend</w:t>
            </w:r>
            <w:r>
              <w:t xml:space="preserve">. First, reduced fuel imports improve the trade balance, reducing the economy’s vulnerability to global commodity price shocks and preserving foreign exchange reserves. Second, reduced electricity subsidies free domestic fiscal space, releasing government revenues that are currently absorbed by diesel generation subsidies. For a small, import-dependent economy like the Maldives — where fuel imports constitute a significant fraction of total imports and electricity subsidies claim a material share of the government budget — both effects are macroeconomically significant. Together, they mean that the transition pays for itself not only in economic welfare terms (as the CBA demonstrates) but also in fiscal terms, reducing the structural deficit and improving sovereign creditworthiness over time.</w:t>
            </w:r>
          </w:p>
        </w:tc>
      </w:tr>
    </w:tbl>
    <w:bookmarkEnd w:id="207"/>
    <w:bookmarkEnd w:id="208"/>
    <w:bookmarkStart w:id="209" w:name="section-6"/>
    <w:p>
      <w:pPr>
        <w:pStyle w:val="Heading1"/>
      </w:pPr>
      <w:r>
        <w:t xml:space="preserve">17. —</w:t>
      </w:r>
    </w:p>
    <w:bookmarkEnd w:id="209"/>
    <w:bookmarkStart w:id="225" w:name="sec-implementation"/>
    <w:p>
      <w:pPr>
        <w:pStyle w:val="Heading1"/>
      </w:pPr>
      <w:r>
        <w:t xml:space="preserve">18. Implementation Roadmap</w:t>
      </w:r>
    </w:p>
    <w:p>
      <w:pPr>
        <w:pStyle w:val="FirstParagraph"/>
      </w:pPr>
      <w:r>
        <w:t xml:space="preserve">This chapter translates the analytical findings into a phased implementation roadmap. The recommended strategy combines elements from multiple scenarios, drawing on the principle of real options: deploy irreversible, high-certainty investments immediately while deferring large, lumpy commitments until uncertainty is resolved. This means immediate outer-island solar-battery deployment (S4), near-shore solar for Greater Malé (S5), and deferred decisions on LNG (S7) and the India submarine cable (S2).</w:t>
      </w:r>
    </w:p>
    <w:bookmarkStart w:id="213" w:name="phased-strategy"/>
    <w:p>
      <w:pPr>
        <w:pStyle w:val="Heading2"/>
      </w:pPr>
      <w:r>
        <w:t xml:space="preserve">18.1 Phased Strategy</w:t>
      </w:r>
    </w:p>
    <w:p>
      <w:pPr>
        <w:pStyle w:val="FirstParagraph"/>
      </w:pPr>
      <w:r>
        <w:t xml:space="preserve">The optimal implementation strategy does not correspond to any single scenario in its pure form. Instead, it synthesises the most robust elements from multiple pathways into a sequenced programme that maximises early fuel savings, preserves strategic flexibility, and avoids premature commitment to technologies or geopolitical arrangements whose long-term viability remains uncertain. The phasing is calibrated to the Maldives’ absorptive capacity — the rate at which the country can realistically procure, install, and commission renewable energy infrastructure given its construction sector, port capacity, shipping logistics, and institutional bandwidth.</w:t>
      </w:r>
    </w:p>
    <w:tbl>
      <w:tblPr>
        <w:tblStyle w:val="Table"/>
        <w:tblW w:type="pct" w:w="5000"/>
        <w:tblLayout w:type="fixed"/>
        <w:tblLook w:firstRow="0" w:lastRow="0" w:firstColumn="0" w:lastColumn="0" w:noHBand="0" w:noVBand="0" w:val="0000"/>
      </w:tblPr>
      <w:tblGrid>
        <w:gridCol w:w="7920"/>
      </w:tblGrid>
      <w:tr>
        <w:tc>
          <w:tcPr/>
          <w:bookmarkStart w:id="212" w:name="fig-roadmap"/>
          <w:tbl>
            <w:tblPr>
              <w:tblStyle w:val="Table"/>
              <w:tblW w:type="pct" w:w="5000"/>
              <w:tblLayout w:type="fixed"/>
              <w:tblLook w:firstRow="0" w:lastRow="0" w:firstColumn="0" w:lastColumn="0" w:noHBand="0" w:noVBand="0" w:val="0000"/>
            </w:tblPr>
            <w:tblGrid>
              <w:gridCol w:w="7920"/>
            </w:tblGrid>
            <w:tr>
              <w:tc>
                <w:tcPr/>
                <w:bookmarkStart w:id="210" w:name="fig-roadmap-1"/>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(a) Recommended phased implementation timeline. Colours indicate technology type; height indicates investment magnitude.</w:t>
                  </w:r>
                </w:p>
                <w:bookmarkEnd w:id="210"/>
              </w:tc>
            </w:tr>
          </w:tbl>
          <w:p>
            <w:pPr>
              <w:jc w:val="center"/>
            </w:pPr>
            <w:r>
              <w:t xml:space="preserve"> </w:t>
            </w:r>
          </w:p>
          <w:tbl>
            <w:tblPr>
              <w:tblStyle w:val="Table"/>
              <w:tblW w:type="pct" w:w="5000"/>
              <w:tblLayout w:type="fixed"/>
              <w:tblLook w:firstRow="0" w:lastRow="0" w:firstColumn="0" w:lastColumn="0" w:noHBand="0" w:noVBand="0" w:val="0000"/>
            </w:tblPr>
            <w:tblGrid>
              <w:gridCol w:w="7920"/>
            </w:tblGrid>
            <w:tr>
              <w:tc>
                <w:tcPr/>
                <w:bookmarkStart w:id="211" w:name="fig-roadmap-2"/>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(b)</w:t>
                  </w:r>
                </w:p>
                <w:bookmarkEnd w:id="211"/>
              </w:tc>
            </w:tr>
          </w:tbl>
          <w:p>
            <w:pPr>
              <w:jc w:val="center"/>
            </w:pPr>
            <w:pPr>
              <w:jc w:val="start"/>
              <w:spacing w:before="200"/>
              <w:pStyle w:val="ImageCaption"/>
            </w:pPr>
            <w:r>
              <w:t xml:space="preserve">Figure 18.1</w:t>
            </w:r>
          </w:p>
          <w:bookmarkEnd w:id="212"/>
        </w:tc>
      </w:tr>
    </w:tbl>
    <w:p>
      <w:pPr>
        <w:pStyle w:val="BodyText"/>
      </w:pPr>
      <w:hyperlink w:anchor="fig-roadmap">
        <w:r>
          <w:rPr>
            <w:rStyle w:val="Hyperlink"/>
          </w:rPr>
          <w:t xml:space="preserve">Figure 18.1</w:t>
        </w:r>
      </w:hyperlink>
      <w:r>
        <w:t xml:space="preserve"> </w:t>
      </w:r>
      <w:r>
        <w:t xml:space="preserve">illustrates the recommended investment phasing across four technology categories. The stacked bars show how different technology investments are distributed across the implementation timeline. The front-loading of solar and battery investments in the early phases reflects the principle of deploying proven, modular technologies first to capture immediate fuel savings and build institutional experience. Larger, more uncertain investments — such as submarine cable infrastructure — are deferred to later phases when costs, technology maturity, and geopolitical conditions can be better assessed.</w:t>
      </w:r>
    </w:p>
    <w:bookmarkEnd w:id="213"/>
    <w:bookmarkStart w:id="215" w:name="phase-1-quick-wins-20262028"/>
    <w:p>
      <w:pPr>
        <w:pStyle w:val="Heading2"/>
      </w:pPr>
      <w:r>
        <w:t xml:space="preserve">18.2 Phase 1: Quick Wins (2026–2028)</w:t>
      </w:r>
    </w:p>
    <w:p>
      <w:pPr>
        <w:pStyle w:val="FirstParagraph"/>
      </w:pPr>
      <w:r>
        <w:t xml:space="preserve">The first phase prioritises the deployment of solar-battery systems on outer islands where the economic case is most compelling. Across the approximately one hundred and seventy inhabited outer islands, the levelised cost of solar-battery electricity is roughly half that of the existing diesel generation — a margin so large that even substantial cost overruns or performance shortfalls would not reverse the investment case. This phase targets 50 megawatts per year of solar deployment, beginning with the islands where the LCOE advantage is largest and logistics are most favourable.</w:t>
      </w:r>
    </w:p>
    <w:p>
      <w:pPr>
        <w:pStyle w:val="BodyText"/>
      </w:pPr>
      <w:r>
        <w:t xml:space="preserve">Simultaneously, Phase 1 initiates the regulatory and planning groundwork for subsequent phases. Environmental impact assessments and permitting processes for near-shore solar sites on uninhabited islands near Malé — primarily Thilafushi and Gulhifalhu — should commence immediately, as these processes typically require eighteen to twenty-four months</w:t>
      </w:r>
      <w:r>
        <w:rPr>
          <w:rStyle w:val="FootnoteReference"/>
        </w:rPr>
        <w:footnoteReference w:id="214"/>
      </w:r>
      <w:r>
        <w:t xml:space="preserve">. LNG terminal feasibility studies for Gulhifalhu should also begin in this phase, providing the technical and commercial evidence needed for the decision point in 2028. These planning activities require modest investment but create substantial option value by ensuring that subsequent phases can proceed without delay once decisions are taken.</w:t>
      </w:r>
    </w:p>
    <w:p>
      <w:pPr>
        <w:pStyle w:val="BodyText"/>
      </w:pPr>
      <w:r>
        <w:t xml:space="preserve">The front-loaded deployment strategy serves a dual purpose beyond immediate fuel savings. It builds domestic capacity in renewable energy procurement, installation, and maintenance — skills that will be essential for the larger-scale deployments in later phases. It also generates a track record of project performance data that can inform subsequent investment decisions and reassure financing institutions about the viability of renewable energy in the Maldivian context.</w:t>
      </w:r>
    </w:p>
    <w:bookmarkEnd w:id="215"/>
    <w:bookmarkStart w:id="216" w:name="phase-2-scale-up-20292032"/>
    <w:p>
      <w:pPr>
        <w:pStyle w:val="Heading2"/>
      </w:pPr>
      <w:r>
        <w:t xml:space="preserve">18.3 Phase 2: Scale-Up (2029–2032)</w:t>
      </w:r>
    </w:p>
    <w:p>
      <w:pPr>
        <w:pStyle w:val="FirstParagraph"/>
      </w:pPr>
      <w:r>
        <w:t xml:space="preserve">The second phase shifts the centre of gravity from outer islands to Greater Malé, where demand is concentrated but space constraints limit conventional ground-mounted solar deployment. The completion of approximately 104 megawatts of near-shore solar farms on uninhabited islands near the capital represents the single largest renewable energy intervention in this period, providing clean electricity to the population centre that accounts for roughly half of national demand.</w:t>
      </w:r>
    </w:p>
    <w:p>
      <w:pPr>
        <w:pStyle w:val="BodyText"/>
      </w:pPr>
      <w:r>
        <w:t xml:space="preserve">If the Phase 1 feasibility studies support it, this period also sees the commissioning of a 140-megawatt LNG terminal at Gulhifalhu, providing a lower-carbon bridge fuel for the Malé grid while renewable energy capacity continues to scale. The LNG decision is the most consequential choice in this phase because it implies a 30-year fuel supply commitment — a significant lock-in that should be undertaken only if the renewable energy pathway alone cannot meet Malé’s baseload requirements with acceptable reliability margins.</w:t>
      </w:r>
    </w:p>
    <w:p>
      <w:pPr>
        <w:pStyle w:val="BodyText"/>
      </w:pPr>
      <w:r>
        <w:t xml:space="preserve">Remaining outer-island solar-battery deployments continue throughout this phase, completing the national programme of distributed renewable energy systems. By the end of Phase 2, the majority of inhabited islands should have operational solar-battery installations, substantially reducing national diesel consumption and the associated import bill. Throughout this period, monitoring of India submarine cable technology developments continues, preserving the option to proceed with the cable in Phase 3 if conditions are favourable while avoiding premature commitment.</w:t>
      </w:r>
    </w:p>
    <w:bookmarkEnd w:id="216"/>
    <w:bookmarkStart w:id="219" w:name="phase-3-optimisation-20332040"/>
    <w:p>
      <w:pPr>
        <w:pStyle w:val="Heading2"/>
      </w:pPr>
      <w:r>
        <w:t xml:space="preserve">18.4 Phase 3: Optimisation (2033–2040)</w:t>
      </w:r>
    </w:p>
    <w:p>
      <w:pPr>
        <w:pStyle w:val="FirstParagraph"/>
      </w:pPr>
      <w:r>
        <w:t xml:space="preserve">The third phase addresses the most uncertain and highest-stakes decisions in the transition programme. If floating solar technology has matured sufficiently for deployment in tropical marine environments — a question that cannot be definitively answered today — this phase provides the opportunity to deploy up to 195 megawatts of floating solar capacity in the Maldivian lagoons, dramatically expanding renewable energy supply beyond what land-constrained islands can support.</w:t>
      </w:r>
    </w:p>
    <w:p>
      <w:pPr>
        <w:pStyle w:val="BodyText"/>
      </w:pPr>
      <w:r>
        <w:t xml:space="preserve">This phase also contains the critical go-or-no-go decision point for the India submarine cable, projected for approximately 2035. By this date, the government will have the benefit of nearly a decade of renewable energy operational experience, updated cable cost projections (which are expected to decline as global HVDC cable manufacturing capacity expands), clearer geopolitical signals regarding bilateral energy cooperation with India, and a better understanding of whether domestic renewable energy can meet demand growth without imported power. The real options analysis in</w:t>
      </w:r>
      <w:r>
        <w:t xml:space="preserve"> </w:t>
      </w:r>
      <w:hyperlink w:anchor="sec-real-options">
        <w:r>
          <w:rPr>
            <w:rStyle w:val="Hyperlink"/>
          </w:rPr>
          <w:t xml:space="preserve">Section 23.4</w:t>
        </w:r>
      </w:hyperlink>
      <w:r>
        <w:t xml:space="preserve"> </w:t>
      </w:r>
      <w:r>
        <w:t xml:space="preserve">demonstrates that the value of waiting for this information substantially exceeds the cost of deferral, provided that alternative supply pathways can bridge the intervening period.</w:t>
      </w:r>
    </w:p>
    <w:p>
      <w:pPr>
        <w:pStyle w:val="BodyText"/>
      </w:pPr>
      <w:r>
        <w:t xml:space="preserve">Battery replacement cycles for Phase 1 installations commence during this period, as the 15-year battery lifetime</w:t>
      </w:r>
      <w:r>
        <w:rPr>
          <w:rStyle w:val="FootnoteReference"/>
        </w:rPr>
        <w:footnoteReference w:id="217"/>
      </w:r>
      <w:r>
        <w:t xml:space="preserve"> </w:t>
      </w:r>
      <w:r>
        <w:t xml:space="preserve">means that systems deployed in 2026–2028 will require replacement by 2041–2043. Planning for this replacement cycle should begin in 2033, taking advantage of anticipated battery cost reductions of 18 percent per doubling of cumulative capacity (Wright’s Law)</w:t>
      </w:r>
      <w:r>
        <w:rPr>
          <w:rStyle w:val="FootnoteReference"/>
        </w:rPr>
        <w:footnoteReference w:id="218"/>
      </w:r>
      <w:r>
        <w:t xml:space="preserve">. Subsidy reform should be well advanced by this phase, with full cost recovery targeted by 2040, accompanied by the targeted social protection mechanisms described in</w:t>
      </w:r>
      <w:r>
        <w:t xml:space="preserve"> </w:t>
      </w:r>
      <w:hyperlink w:anchor="sec-distributional">
        <w:r>
          <w:rPr>
            <w:rStyle w:val="Hyperlink"/>
          </w:rPr>
          <w:t xml:space="preserve">Chapter 14</w:t>
        </w:r>
      </w:hyperlink>
      <w:r>
        <w:t xml:space="preserve">.</w:t>
      </w:r>
    </w:p>
    <w:bookmarkEnd w:id="219"/>
    <w:bookmarkStart w:id="221" w:name="phase-4-maturation-20412056"/>
    <w:p>
      <w:pPr>
        <w:pStyle w:val="Heading2"/>
      </w:pPr>
      <w:r>
        <w:t xml:space="preserve">18.5 Phase 4: Maturation (2041–2056)</w:t>
      </w:r>
    </w:p>
    <w:p>
      <w:pPr>
        <w:pStyle w:val="FirstParagraph"/>
      </w:pPr>
      <w:r>
        <w:t xml:space="preserve">The final phase covers the latter half of the 30-year analysis horizon and is characterised by system maintenance, replacement cycles, and adaptive management rather than major new capacity additions. Solar panel degradation (approximately 0.5 percent per year</w:t>
      </w:r>
      <w:r>
        <w:rPr>
          <w:rStyle w:val="FootnoteReference"/>
        </w:rPr>
        <w:footnoteReference w:id="220"/>
      </w:r>
      <w:r>
        <w:t xml:space="preserve">) means that early-phase installations will have lost roughly seven to fifteen percent of their original capacity by this period, and replacement or augmentation decisions will need to be taken based on the prevailing technology and cost landscape.</w:t>
      </w:r>
    </w:p>
    <w:p>
      <w:pPr>
        <w:pStyle w:val="BodyText"/>
      </w:pPr>
      <w:r>
        <w:t xml:space="preserve">Demand-side management programmes become increasingly important in this phase as cumulative demand growth strains the renewable energy infrastructure deployed in earlier phases. Smart grid technologies, time-of-use pricing, and energy efficiency standards for buildings and appliances can moderate demand growth and shift consumption patterns to better align with solar generation profiles, reducing the need for additional storage capacity. If demand growth exceeds the projections underpinning earlier phases — for example, due to faster-than-expected tourism sector expansion or electrification of transport — this phase provides the opportunity to deploy additional capacity, potentially including a second submarine cable or additional LNG capacity as conditions warrant.</w:t>
      </w:r>
    </w:p>
    <w:bookmarkEnd w:id="221"/>
    <w:bookmarkStart w:id="223" w:name="key-decision-points"/>
    <w:p>
      <w:pPr>
        <w:pStyle w:val="Heading2"/>
      </w:pPr>
      <w:r>
        <w:t xml:space="preserve">18.6 Key Decision Points</w:t>
      </w:r>
    </w:p>
    <w:p>
      <w:pPr>
        <w:pStyle w:val="FirstParagraph"/>
      </w:pPr>
      <w:r>
        <w:t xml:space="preserve">The implementation roadmap is structured around a series of discrete decision points at which the government must choose whether to proceed, defer, or abandon specific investments. These decision points are designed to exploit the option value of waiting for information — a central insight of the real options framework applied in</w:t>
      </w:r>
      <w:r>
        <w:t xml:space="preserve"> </w:t>
      </w:r>
      <w:hyperlink w:anchor="sec-real-options">
        <w:r>
          <w:rPr>
            <w:rStyle w:val="Hyperlink"/>
          </w:rPr>
          <w:t xml:space="preserve">Section 23.4</w:t>
        </w:r>
      </w:hyperlink>
      <w:r>
        <w:t xml:space="preserve"> </w:t>
      </w:r>
      <w:r>
        <w:t xml:space="preserve">— while ensuring that irreversible decisions are taken only when the evidence base is sufficient to support them.</w:t>
      </w:r>
    </w:p>
    <w:tbl>
      <w:tblPr>
        <w:tblStyle w:val="Table"/>
        <w:tblW w:type="pct" w:w="5000"/>
        <w:tblLayout w:type="fixed"/>
        <w:tblLook w:firstRow="0" w:lastRow="0" w:firstColumn="0" w:lastColumn="0" w:noHBand="0" w:noVBand="0" w:val="0000"/>
      </w:tblPr>
      <w:tblGrid>
        <w:gridCol w:w="7920"/>
      </w:tblGrid>
      <w:tr>
        <w:tc>
          <w:tcPr/>
          <w:bookmarkStart w:id="222" w:name="tbl-decision-points"/>
          <w:p>
            <w:pPr>
              <w:jc w:val="center"/>
            </w:pPr>
            <w:pPr>
              <w:jc w:val="start"/>
              <w:spacing w:before="200"/>
              <w:pStyle w:val="ImageCaption"/>
            </w:pPr>
            <w:r>
              <w:t xml:space="preserve">Table 18.1: Critical decision points and their dependencies.</w:t>
            </w:r>
          </w:p>
          <w:tbl>
            <w:tblPr>
              <w:tblStyle w:val="Table"/>
              <w:tblW w:type="pct" w:w="5000"/>
              <w:tblLayout w:type="fixed"/>
              <w:tblLook w:firstRow="1" w:lastRow="0" w:firstColumn="0" w:lastColumn="0" w:noHBand="0" w:noVBand="0" w:val="0020"/>
            </w:tblPr>
            <w:tblGrid>
              <w:gridCol w:w="491"/>
              <w:gridCol w:w="2026"/>
              <w:gridCol w:w="3499"/>
              <w:gridCol w:w="1903"/>
            </w:tblGrid>
            <w:tr>
              <w:trPr>
                <w:tblHeader w:val="on"/>
              </w:trPr>
              <w:tc>
                <w:tcPr/>
                <w:p>
                  <w:pPr>
                    <w:pStyle w:val="Compact"/>
                    <w:jc w:val="right"/>
                    <w:jc w:val="center"/>
                  </w:pPr>
                  <w:r>
                    <w:t xml:space="preserve">Year</w:t>
                  </w:r>
                </w:p>
              </w:tc>
              <w:tc>
                <w:tcPr/>
                <w:p>
                  <w:pPr>
                    <w:pStyle w:val="Compact"/>
                    <w:jc w:val="left"/>
                    <w:jc w:val="center"/>
                  </w:pPr>
                  <w:r>
                    <w:t xml:space="preserve">Decision</w:t>
                  </w:r>
                </w:p>
              </w:tc>
              <w:tc>
                <w:tcPr/>
                <w:p>
                  <w:pPr>
                    <w:pStyle w:val="Compact"/>
                    <w:jc w:val="left"/>
                    <w:jc w:val="center"/>
                  </w:pPr>
                  <w:r>
                    <w:t xml:space="preserve">Key Dependency</w:t>
                  </w:r>
                </w:p>
              </w:tc>
              <w:tc>
                <w:tcPr/>
                <w:p>
                  <w:pPr>
                    <w:pStyle w:val="Compact"/>
                    <w:jc w:val="left"/>
                    <w:jc w:val="center"/>
                  </w:pPr>
                  <w:r>
                    <w:t xml:space="preserve">Reversibility</w:t>
                  </w:r>
                </w:p>
              </w:tc>
            </w:tr>
            <w:tr>
              <w:tc>
                <w:tcPr/>
                <w:p>
                  <w:pPr>
                    <w:pStyle w:val="Compact"/>
                    <w:jc w:val="right"/>
                    <w:jc w:val="center"/>
                  </w:pPr>
                  <w:r>
                    <w:t xml:space="preserve">2026</w:t>
                  </w:r>
                </w:p>
              </w:tc>
              <w:tc>
                <w:tcPr/>
                <w:p>
                  <w:pPr>
                    <w:pStyle w:val="Compact"/>
                    <w:jc w:val="left"/>
                    <w:jc w:val="center"/>
                  </w:pPr>
                  <w:r>
                    <w:t xml:space="preserve">Solar deployment ramp rate</w:t>
                  </w:r>
                </w:p>
              </w:tc>
              <w:tc>
                <w:tcPr/>
                <w:p>
                  <w:pPr>
                    <w:pStyle w:val="Compact"/>
                    <w:jc w:val="left"/>
                    <w:jc w:val="center"/>
                  </w:pPr>
                  <w:r>
                    <w:t xml:space="preserve">ADB/MDB financing commitment</w:t>
                  </w:r>
                </w:p>
              </w:tc>
              <w:tc>
                <w:tcPr/>
                <w:p>
                  <w:pPr>
                    <w:pStyle w:val="Compact"/>
                    <w:jc w:val="left"/>
                    <w:jc w:val="center"/>
                  </w:pPr>
                  <w:r>
                    <w:t xml:space="preserve">Low cost to adjust</w:t>
                  </w:r>
                </w:p>
              </w:tc>
            </w:tr>
            <w:tr>
              <w:tc>
                <w:tcPr/>
                <w:p>
                  <w:pPr>
                    <w:pStyle w:val="Compact"/>
                    <w:jc w:val="right"/>
                    <w:jc w:val="center"/>
                  </w:pPr>
                  <w:r>
                    <w:t xml:space="preserve">2027</w:t>
                  </w:r>
                </w:p>
              </w:tc>
              <w:tc>
                <w:tcPr/>
                <w:p>
                  <w:pPr>
                    <w:pStyle w:val="Compact"/>
                    <w:jc w:val="left"/>
                    <w:jc w:val="center"/>
                  </w:pPr>
                  <w:r>
                    <w:t xml:space="preserve">Near-shore solar site selection</w:t>
                  </w:r>
                </w:p>
              </w:tc>
              <w:tc>
                <w:tcPr/>
                <w:p>
                  <w:pPr>
                    <w:pStyle w:val="Compact"/>
                    <w:jc w:val="left"/>
                    <w:jc w:val="center"/>
                  </w:pPr>
                  <w:r>
                    <w:t xml:space="preserve">EIA completion; land tenure</w:t>
                  </w:r>
                </w:p>
              </w:tc>
              <w:tc>
                <w:tcPr/>
                <w:p>
                  <w:pPr>
                    <w:pStyle w:val="Compact"/>
                    <w:jc w:val="left"/>
                    <w:jc w:val="center"/>
                  </w:pPr>
                  <w:r>
                    <w:t xml:space="preserve">Moderate — site-specific</w:t>
                  </w:r>
                </w:p>
              </w:tc>
            </w:tr>
            <w:tr>
              <w:tc>
                <w:tcPr/>
                <w:p>
                  <w:pPr>
                    <w:pStyle w:val="Compact"/>
                    <w:jc w:val="right"/>
                    <w:jc w:val="center"/>
                  </w:pPr>
                  <w:r>
                    <w:t xml:space="preserve">2028</w:t>
                  </w:r>
                </w:p>
              </w:tc>
              <w:tc>
                <w:tcPr/>
                <w:p>
                  <w:pPr>
                    <w:pStyle w:val="Compact"/>
                    <w:jc w:val="left"/>
                    <w:jc w:val="center"/>
                  </w:pPr>
                  <w:r>
                    <w:t xml:space="preserve">LNG terminal commitment</w:t>
                  </w:r>
                </w:p>
              </w:tc>
              <w:tc>
                <w:tcPr/>
                <w:p>
                  <w:pPr>
                    <w:pStyle w:val="Compact"/>
                    <w:jc w:val="left"/>
                    <w:jc w:val="center"/>
                  </w:pPr>
                  <w:r>
                    <w:t xml:space="preserve">Gulhifalhu infrastructure readiness</w:t>
                  </w:r>
                </w:p>
              </w:tc>
              <w:tc>
                <w:tcPr/>
                <w:p>
                  <w:pPr>
                    <w:pStyle w:val="Compact"/>
                    <w:jc w:val="left"/>
                    <w:jc w:val="center"/>
                  </w:pPr>
                  <w:r>
                    <w:t xml:space="preserve">High — 30yr fuel lock-in</w:t>
                  </w:r>
                </w:p>
              </w:tc>
            </w:tr>
            <w:tr>
              <w:tc>
                <w:tcPr/>
                <w:p>
                  <w:pPr>
                    <w:pStyle w:val="Compact"/>
                    <w:jc w:val="right"/>
                    <w:jc w:val="center"/>
                  </w:pPr>
                  <w:r>
                    <w:t xml:space="preserve">2030</w:t>
                  </w:r>
                </w:p>
              </w:tc>
              <w:tc>
                <w:tcPr/>
                <w:p>
                  <w:pPr>
                    <w:pStyle w:val="Compact"/>
                    <w:jc w:val="left"/>
                    <w:jc w:val="center"/>
                  </w:pPr>
                  <w:r>
                    <w:t xml:space="preserve">India cable feasibility study</w:t>
                  </w:r>
                </w:p>
              </w:tc>
              <w:tc>
                <w:tcPr/>
                <w:p>
                  <w:pPr>
                    <w:pStyle w:val="Compact"/>
                    <w:jc w:val="left"/>
                    <w:jc w:val="center"/>
                  </w:pPr>
                  <w:r>
                    <w:t xml:space="preserve">Bilateral agreement status</w:t>
                  </w:r>
                </w:p>
              </w:tc>
              <w:tc>
                <w:tcPr/>
                <w:p>
                  <w:pPr>
                    <w:pStyle w:val="Compact"/>
                    <w:jc w:val="left"/>
                    <w:jc w:val="center"/>
                  </w:pPr>
                  <w:r>
                    <w:t xml:space="preserve">Low — study only</w:t>
                  </w:r>
                </w:p>
              </w:tc>
            </w:tr>
            <w:tr>
              <w:tc>
                <w:tcPr/>
                <w:p>
                  <w:pPr>
                    <w:pStyle w:val="Compact"/>
                    <w:jc w:val="right"/>
                    <w:jc w:val="center"/>
                  </w:pPr>
                  <w:r>
                    <w:t xml:space="preserve">2032</w:t>
                  </w:r>
                </w:p>
              </w:tc>
              <w:tc>
                <w:tcPr/>
                <w:p>
                  <w:pPr>
                    <w:pStyle w:val="Compact"/>
                    <w:jc w:val="left"/>
                    <w:jc w:val="center"/>
                  </w:pPr>
                  <w:r>
                    <w:t xml:space="preserve">Floating solar pilot</w:t>
                  </w:r>
                </w:p>
              </w:tc>
              <w:tc>
                <w:tcPr/>
                <w:p>
                  <w:pPr>
                    <w:pStyle w:val="Compact"/>
                    <w:jc w:val="left"/>
                    <w:jc w:val="center"/>
                  </w:pPr>
                  <w:r>
                    <w:t xml:space="preserve">Technology maturity; marine permits</w:t>
                  </w:r>
                </w:p>
              </w:tc>
              <w:tc>
                <w:tcPr/>
                <w:p>
                  <w:pPr>
                    <w:pStyle w:val="Compact"/>
                    <w:jc w:val="left"/>
                    <w:jc w:val="center"/>
                  </w:pPr>
                  <w:r>
                    <w:t xml:space="preserve">Moderate</w:t>
                  </w:r>
                </w:p>
              </w:tc>
            </w:tr>
            <w:tr>
              <w:tc>
                <w:tcPr/>
                <w:p>
                  <w:pPr>
                    <w:pStyle w:val="Compact"/>
                    <w:jc w:val="right"/>
                    <w:jc w:val="center"/>
                  </w:pPr>
                  <w:r>
                    <w:t xml:space="preserve">2035</w:t>
                  </w:r>
                </w:p>
              </w:tc>
              <w:tc>
                <w:tcPr/>
                <w:p>
                  <w:pPr>
                    <w:pStyle w:val="Compact"/>
                    <w:jc w:val="left"/>
                    <w:jc w:val="center"/>
                  </w:pPr>
                  <w:r>
                    <w:t xml:space="preserve">India cable go/no-go</w:t>
                  </w:r>
                </w:p>
              </w:tc>
              <w:tc>
                <w:tcPr/>
                <w:p>
                  <w:pPr>
                    <w:pStyle w:val="Compact"/>
                    <w:jc w:val="left"/>
                    <w:jc w:val="center"/>
                  </w:pPr>
                  <w:r>
                    <w:t xml:space="preserve">Cable cost trends; domestic RE performance; geopolitics</w:t>
                  </w:r>
                </w:p>
              </w:tc>
              <w:tc>
                <w:tcPr/>
                <w:p>
                  <w:pPr>
                    <w:pStyle w:val="Compact"/>
                    <w:jc w:val="left"/>
                    <w:jc w:val="center"/>
                  </w:pPr>
                  <w:r>
                    <w:t xml:space="preserve">Very high — $4.3B+ commitment</w:t>
                  </w:r>
                </w:p>
              </w:tc>
            </w:tr>
          </w:tbl>
          <w:bookmarkEnd w:id="222"/>
          <w:p/>
        </w:tc>
      </w:tr>
    </w:tbl>
    <w:p>
      <w:pPr>
        <w:pStyle w:val="BodyText"/>
      </w:pPr>
      <w:hyperlink w:anchor="tbl-decision-points">
        <w:r>
          <w:rPr>
            <w:rStyle w:val="Hyperlink"/>
          </w:rPr>
          <w:t xml:space="preserve">Table 18.1</w:t>
        </w:r>
      </w:hyperlink>
      <w:r>
        <w:t xml:space="preserve"> </w:t>
      </w:r>
      <w:r>
        <w:t xml:space="preserve">highlights the progressive escalation of commitment risk over the implementation timeline. Early decisions — such as the solar deployment ramp rate in 2026 — are highly adjustable and low cost to reverse. The government can accelerate or decelerate deployment without significant sunk costs. Later decisions — particularly the LNG terminal commitment in 2028 and the India cable go-or-no-go in 2035 — represent substantially higher levels of irreversibility. The LNG decision implies a 30-year fuel supply contract that constrains the future energy mix, while the cable decision commits over $4.3 billion dollars to a single infrastructure asset whose value depends on factors largely outside the Maldives’ control, including Indian energy policy, cable technology costs, and bilateral political relations.</w:t>
      </w:r>
    </w:p>
    <w:p>
      <w:pPr>
        <w:pStyle w:val="BodyText"/>
      </w:pPr>
      <w:r>
        <w:t xml:space="preserve">The reversibility column in the table provides a heuristic for the option value of deferral at each decision point. Where reversibility is low (meaning the cost of adjusting course is small), the optimal strategy is to proceed and adapt. Where reversibility is very high (meaning the commitment is effectively irreversible), the optimal strategy is to defer until the evidence base is strong enough to justify the commitment with high confidence. The intermediate decision points — near-shore site selection and the floating solar pilot — offer moderate flexibility, as the investments are site-specific and technology-specific but do not lock the entire energy system into a single pathway.</w:t>
      </w:r>
    </w:p>
    <w:bookmarkEnd w:id="223"/>
    <w:bookmarkStart w:id="224" w:name="risk-mitigation"/>
    <w:p>
      <w:pPr>
        <w:pStyle w:val="Heading2"/>
      </w:pPr>
      <w:r>
        <w:t xml:space="preserve">18.7 Risk Mitigation</w:t>
      </w:r>
    </w:p>
    <w:p>
      <w:pPr>
        <w:pStyle w:val="FirstParagraph"/>
      </w:pPr>
      <w:r>
        <w:t xml:space="preserve">Effective implementation requires not only a phased investment strategy but also a comprehensive risk management framework that identifies potential threats, assesses their likelihood and impact, and specifies mitigation measures. The following analysis maps the principal risks to the energy transition programme and the strategies available to manage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Solar+battery cost increase</w:t>
            </w:r>
          </w:p>
        </w:tc>
        <w:tc>
          <w:tcPr/>
          <w:p>
            <w:pPr>
              <w:pStyle w:val="Compact"/>
            </w:pPr>
            <w:r>
              <w:t xml:space="preserve">Low</w:t>
            </w:r>
          </w:p>
        </w:tc>
        <w:tc>
          <w:tcPr/>
          <w:p>
            <w:pPr>
              <w:pStyle w:val="Compact"/>
            </w:pPr>
            <w:r>
              <w:t xml:space="preserve">Moderate</w:t>
            </w:r>
          </w:p>
        </w:tc>
        <w:tc>
          <w:tcPr/>
          <w:p>
            <w:pPr>
              <w:pStyle w:val="Compact"/>
            </w:pPr>
            <w:r>
              <w:t xml:space="preserve">Locked-in via PPA; learning curves favour decline</w:t>
            </w:r>
          </w:p>
        </w:tc>
      </w:tr>
      <w:tr>
        <w:tc>
          <w:tcPr/>
          <w:p>
            <w:pPr>
              <w:pStyle w:val="Compact"/>
            </w:pPr>
            <w:r>
              <w:t xml:space="preserve">Diesel price spike</w:t>
            </w:r>
          </w:p>
        </w:tc>
        <w:tc>
          <w:tcPr/>
          <w:p>
            <w:pPr>
              <w:pStyle w:val="Compact"/>
            </w:pPr>
            <w:r>
              <w:t xml:space="preserve">Medium</w:t>
            </w:r>
          </w:p>
        </w:tc>
        <w:tc>
          <w:tcPr/>
          <w:p>
            <w:pPr>
              <w:pStyle w:val="Compact"/>
            </w:pPr>
            <w:r>
              <w:t xml:space="preserve">High</w:t>
            </w:r>
          </w:p>
        </w:tc>
        <w:tc>
          <w:tcPr/>
          <w:p>
            <w:pPr>
              <w:pStyle w:val="Compact"/>
            </w:pPr>
            <w:r>
              <w:t xml:space="preserve">Accelerates transition ROI; increases BAU costs</w:t>
            </w:r>
          </w:p>
        </w:tc>
      </w:tr>
      <w:tr>
        <w:tc>
          <w:tcPr/>
          <w:p>
            <w:pPr>
              <w:pStyle w:val="Compact"/>
            </w:pPr>
            <w:r>
              <w:t xml:space="preserve">India cable outage</w:t>
            </w:r>
          </w:p>
        </w:tc>
        <w:tc>
          <w:tcPr/>
          <w:p>
            <w:pPr>
              <w:pStyle w:val="Compact"/>
            </w:pPr>
            <w:r>
              <w:t xml:space="preserve">Medium (λ=0.15/yr)</w:t>
            </w:r>
            <w:r>
              <w:rPr>
                <w:vertAlign w:val="superscript"/>
              </w:rPr>
              <w:t xml:space="preserve">a</w:t>
            </w:r>
          </w:p>
        </w:tc>
        <w:tc>
          <w:tcPr/>
          <w:p>
            <w:pPr>
              <w:pStyle w:val="Compact"/>
            </w:pPr>
            <w:r>
              <w:t xml:space="preserve">Very high</w:t>
            </w:r>
          </w:p>
        </w:tc>
        <w:tc>
          <w:tcPr/>
          <w:p>
            <w:pPr>
              <w:pStyle w:val="Compact"/>
            </w:pPr>
            <w:r>
              <w:t xml:space="preserve">Maintain 20% diesel backup; diversified supply</w:t>
            </w:r>
          </w:p>
        </w:tc>
      </w:tr>
      <w:tr>
        <w:tc>
          <w:tcPr/>
          <w:p>
            <w:pPr>
              <w:pStyle w:val="Compact"/>
            </w:pPr>
            <w:r>
              <w:t xml:space="preserve">Floating solar technology failure</w:t>
            </w:r>
          </w:p>
        </w:tc>
        <w:tc>
          <w:tcPr/>
          <w:p>
            <w:pPr>
              <w:pStyle w:val="Compact"/>
            </w:pPr>
            <w:r>
              <w:t xml:space="preserve">Medium</w:t>
            </w:r>
          </w:p>
        </w:tc>
        <w:tc>
          <w:tcPr/>
          <w:p>
            <w:pPr>
              <w:pStyle w:val="Compact"/>
            </w:pPr>
            <w:r>
              <w:t xml:space="preserve">Moderate</w:t>
            </w:r>
          </w:p>
        </w:tc>
        <w:tc>
          <w:tcPr/>
          <w:p>
            <w:pPr>
              <w:pStyle w:val="Compact"/>
            </w:pPr>
            <w:r>
              <w:t xml:space="preserve">Defer commitment; pilot first; fallback to conventional</w:t>
            </w:r>
          </w:p>
        </w:tc>
      </w:tr>
      <w:tr>
        <w:tc>
          <w:tcPr/>
          <w:p>
            <w:pPr>
              <w:pStyle w:val="Compact"/>
            </w:pPr>
            <w:r>
              <w:t xml:space="preserve">Climate damage to infrastructure</w:t>
            </w:r>
          </w:p>
        </w:tc>
        <w:tc>
          <w:tcPr/>
          <w:p>
            <w:pPr>
              <w:pStyle w:val="Compact"/>
            </w:pPr>
            <w:r>
              <w:t xml:space="preserve">Medium</w:t>
            </w:r>
          </w:p>
        </w:tc>
        <w:tc>
          <w:tcPr/>
          <w:p>
            <w:pPr>
              <w:pStyle w:val="Compact"/>
            </w:pPr>
            <w:r>
              <w:t xml:space="preserve">High</w:t>
            </w:r>
          </w:p>
        </w:tc>
        <w:tc>
          <w:tcPr/>
          <w:p>
            <w:pPr>
              <w:pStyle w:val="Compact"/>
            </w:pPr>
            <w:r>
              <w:t xml:space="preserve">7.5% adaptation premium in CAPEX</w:t>
            </w:r>
            <w:r>
              <w:rPr>
                <w:vertAlign w:val="superscript"/>
              </w:rPr>
              <w:t xml:space="preserve">b</w:t>
            </w:r>
            <w:r>
              <w:t xml:space="preserve">; resilient design</w:t>
            </w:r>
          </w:p>
        </w:tc>
      </w:tr>
      <w:tr>
        <w:tc>
          <w:tcPr/>
          <w:p>
            <w:pPr>
              <w:pStyle w:val="Compact"/>
            </w:pPr>
            <w:r>
              <w:t xml:space="preserve">Financing unavailability</w:t>
            </w:r>
          </w:p>
        </w:tc>
        <w:tc>
          <w:tcPr/>
          <w:p>
            <w:pPr>
              <w:pStyle w:val="Compact"/>
            </w:pPr>
            <w:r>
              <w:t xml:space="preserve">Low</w:t>
            </w:r>
          </w:p>
        </w:tc>
        <w:tc>
          <w:tcPr/>
          <w:p>
            <w:pPr>
              <w:pStyle w:val="Compact"/>
            </w:pPr>
            <w:r>
              <w:t xml:space="preserve">Very high</w:t>
            </w:r>
          </w:p>
        </w:tc>
        <w:tc>
          <w:tcPr/>
          <w:p>
            <w:pPr>
              <w:pStyle w:val="Compact"/>
            </w:pPr>
            <w:r>
              <w:t xml:space="preserve">Multiple MDB pipelines; grant element 82.8% with ADB SIDS terms</w:t>
            </w:r>
            <w:r>
              <w:rPr>
                <w:vertAlign w:val="superscript"/>
              </w:rPr>
              <w:t xml:space="preserve">c</w:t>
            </w:r>
          </w:p>
        </w:tc>
      </w:tr>
      <w:tr>
        <w:tc>
          <w:tcPr/>
          <w:p>
            <w:pPr>
              <w:pStyle w:val="Compact"/>
            </w:pPr>
            <w:r>
              <w:t xml:space="preserve">Subsidy reform political resistance</w:t>
            </w:r>
          </w:p>
        </w:tc>
        <w:tc>
          <w:tcPr/>
          <w:p>
            <w:pPr>
              <w:pStyle w:val="Compact"/>
            </w:pPr>
            <w:r>
              <w:t xml:space="preserve">High</w:t>
            </w:r>
          </w:p>
        </w:tc>
        <w:tc>
          <w:tcPr/>
          <w:p>
            <w:pPr>
              <w:pStyle w:val="Compact"/>
            </w:pPr>
            <w:r>
              <w:t xml:space="preserve">Moderate</w:t>
            </w:r>
          </w:p>
        </w:tc>
        <w:tc>
          <w:tcPr/>
          <w:p>
            <w:pPr>
              <w:pStyle w:val="Compact"/>
            </w:pPr>
            <w:r>
              <w:t xml:space="preserve">Gradual phase-out 2030–2040; targeted protection for low-income</w:t>
            </w:r>
          </w:p>
        </w:tc>
      </w:tr>
    </w:tbl>
    <w:p>
      <w:pPr>
        <w:pStyle w:val="BodyText"/>
      </w:pPr>
      <w:r>
        <w:rPr>
          <w:vertAlign w:val="superscript"/>
        </w:rPr>
        <w:t xml:space="preserve">a</w:t>
      </w:r>
      <w:r>
        <w:t xml:space="preserve"> </w:t>
      </w:r>
      <w:r>
        <w:t xml:space="preserve">Based on NorNed and Basslink operational records; see</w:t>
      </w:r>
      <w:r>
        <w:t xml:space="preserve"> </w:t>
      </w:r>
      <w:hyperlink w:anchor="sec-s2">
        <w:r>
          <w:rPr>
            <w:rStyle w:val="Hyperlink"/>
          </w:rPr>
          <w:t xml:space="preserve">Section 6.3</w:t>
        </w:r>
      </w:hyperlink>
      <w:r>
        <w:t xml:space="preserve">.</w:t>
      </w:r>
      <w:r>
        <w:t xml:space="preserve"> </w:t>
      </w:r>
      <w:r>
        <w:rPr>
          <w:vertAlign w:val="superscript"/>
        </w:rPr>
        <w:t xml:space="preserve">b</w:t>
      </w:r>
      <w:r>
        <w:t xml:space="preserve"> </w:t>
      </w:r>
      <w:r>
        <w:t xml:space="preserve">Global Center on Adaptation (2025)</w:t>
      </w:r>
      <w:r>
        <w:t xml:space="preserve">; 5–15% range.</w:t>
      </w:r>
      <w:r>
        <w:t xml:space="preserve"> </w:t>
      </w:r>
      <w:r>
        <w:rPr>
          <w:vertAlign w:val="superscript"/>
        </w:rPr>
        <w:t xml:space="preserve">c</w:t>
      </w:r>
      <w:r>
        <w:t xml:space="preserve"> </w:t>
      </w:r>
      <w:r>
        <w:t xml:space="preserve">Asian Development Bank (2026)</w:t>
      </w:r>
      <w:r>
        <w:t xml:space="preserve">.</w:t>
      </w:r>
    </w:p>
    <w:p>
      <w:pPr>
        <w:pStyle w:val="BodyText"/>
      </w:pPr>
      <w:r>
        <w:t xml:space="preserve">The risk profile of the transition programme is notably asymmetric in the government’s favour. The most likely risk — political resistance to subsidy reform — has only moderate economic impact and can be managed through the gradual phase-out and social protection measures described in</w:t>
      </w:r>
      <w:r>
        <w:t xml:space="preserve"> </w:t>
      </w:r>
      <w:hyperlink w:anchor="sec-distributional">
        <w:r>
          <w:rPr>
            <w:rStyle w:val="Hyperlink"/>
          </w:rPr>
          <w:t xml:space="preserve">Chapter 14</w:t>
        </w:r>
      </w:hyperlink>
      <w:r>
        <w:t xml:space="preserve">. The highest-impact risks — financing unavailability and cable outage — are either low probability (given the Maldives’ strong relationships with multiple development banks) or apply only to specific scenarios (cable outage affects only S2 Full Integration). Crucially, the risk of diesel price spikes — which is assessed as medium likelihood — actually</w:t>
      </w:r>
      <w:r>
        <w:t xml:space="preserve"> </w:t>
      </w:r>
      <w:r>
        <w:rPr>
          <w:i/>
          <w:iCs/>
        </w:rPr>
        <w:t xml:space="preserve">strengthens</w:t>
      </w:r>
      <w:r>
        <w:t xml:space="preserve"> </w:t>
      </w:r>
      <w:r>
        <w:t xml:space="preserve">the case for transition by increasing the costs of the business-as-usual baseline against which all alternative scenarios are compared. This asymmetry means that the transition programme becomes more attractive precisely under the conditions that pose the greatest risk to the status quo, providing a natural hedge against the uncertainty that most concerns policymakers.</w:t>
      </w:r>
    </w:p>
    <w:p>
      <w:pPr>
        <w:pStyle w:val="BodyText"/>
      </w:pPr>
      <w:r>
        <w:t xml:space="preserve">The climate damage risk deserves particular attention given the Maldives’ extreme vulnerability to sea-level rise and intensifying tropical weather events. The 7.5-percent climate adaptation premium embedded in the CAPEX estimates provides a first line of defence, but physical resilience must also be addressed through engineering standards — elevated mounting structures for solar panels, corrosion-resistant materials for marine environments, underground cabling where feasible, and distributed rather than centralised infrastructure to avoid single points of failure. The distributed renewable energy pathways (S4, S5, S6) inherently offer greater resilience than centralised pathways because the loss of any single island’s generation capacity does not cascade to other islands.</w:t>
      </w:r>
    </w:p>
    <w:bookmarkEnd w:id="224"/>
    <w:bookmarkEnd w:id="225"/>
    <w:bookmarkStart w:id="226" w:name="section-7"/>
    <w:p>
      <w:pPr>
        <w:pStyle w:val="Heading1"/>
      </w:pPr>
      <w:r>
        <w:t xml:space="preserve">19. —</w:t>
      </w:r>
    </w:p>
    <w:bookmarkEnd w:id="226"/>
    <w:bookmarkStart w:id="245" w:name="sec-conclusions"/>
    <w:p>
      <w:pPr>
        <w:pStyle w:val="Heading1"/>
      </w:pPr>
      <w:r>
        <w:t xml:space="preserve">20. Conclusions &amp; Recommendations</w:t>
      </w:r>
    </w:p>
    <w:p>
      <w:pPr>
        <w:pStyle w:val="FirstParagraph"/>
      </w:pPr>
      <w:r>
        <w:t xml:space="preserve">This chapter synthesises the analytical findings from the preceding chapters into a coherent set of conclusions and actionable policy recommendations. The evidence assembled across the cost-benefit analysis, sensitivity testing, multi-criteria assessment, distributional analysis, and financing review is unambiguous: transitioning away from diesel is economically beneficial, environmentally imperative, and technically feasible with currently available technologies. The question confronting policymakers is not</w:t>
      </w:r>
      <w:r>
        <w:t xml:space="preserve"> </w:t>
      </w:r>
      <w:r>
        <w:rPr>
          <w:i/>
          <w:iCs/>
        </w:rPr>
        <w:t xml:space="preserve">whether</w:t>
      </w:r>
      <w:r>
        <w:t xml:space="preserve"> </w:t>
      </w:r>
      <w:r>
        <w:t xml:space="preserve">to transition but</w:t>
      </w:r>
      <w:r>
        <w:t xml:space="preserve"> </w:t>
      </w:r>
      <w:r>
        <w:rPr>
          <w:i/>
          <w:iCs/>
        </w:rPr>
        <w:t xml:space="preserve">how</w:t>
      </w:r>
      <w:r>
        <w:t xml:space="preserve"> </w:t>
      </w:r>
      <w:r>
        <w:t xml:space="preserve">— which pathway, at what pace, and with what complementary policies to ensure the transition is equitable and fiscally sustainable.</w:t>
      </w:r>
    </w:p>
    <w:p>
      <w:pPr>
        <w:pStyle w:val="BodyText"/>
      </w:pPr>
      <w:r>
        <w:t xml:space="preserve">These findings directly support and complement the Government of Maldives’</w:t>
      </w:r>
      <w:r>
        <w:t xml:space="preserve"> </w:t>
      </w:r>
      <w:r>
        <w:rPr>
          <w:b/>
          <w:bCs/>
        </w:rPr>
        <w:t xml:space="preserve">Road Map for the Energy Sector 2024–2033</w:t>
      </w:r>
      <w:r>
        <w:t xml:space="preserve"> </w:t>
      </w:r>
      <w:r>
        <w:t xml:space="preserve">(2024)</w:t>
      </w:r>
      <w:r>
        <w:t xml:space="preserve">, which targets 33 per cent renewable energy by 2028 and identifies $1.3 billion in investment across 15 flagship interventions. The CBA evidence confirms that the Roadmap’s strategic direction is economically sound: every transition pathway examined generates net present value savings measured in billions of dollars relative to the diesel status quo. The recommendations below build on the Roadmap’s framework while providing the quantitative evidence base needed to prioritise among interventions and to sequence investments for maximum economic impact.</w:t>
      </w:r>
    </w:p>
    <w:bookmarkStart w:id="228" w:name="summary-of-findings"/>
    <w:p>
      <w:pPr>
        <w:pStyle w:val="Heading2"/>
      </w:pPr>
      <w:r>
        <w:t xml:space="preserve">20.1 Summary of Findings</w:t>
      </w:r>
    </w:p>
    <w:p>
      <w:pPr>
        <w:pStyle w:val="FirstParagraph"/>
      </w:pPr>
      <w:r>
        <w:t xml:space="preserve">The overarching finding of this analysis is that</w:t>
      </w:r>
      <w:r>
        <w:t xml:space="preserve"> </w:t>
      </w:r>
      <w:r>
        <w:rPr>
          <w:b/>
          <w:bCs/>
        </w:rPr>
        <w:t xml:space="preserve">every alternative pathway examined dominates the diesel business-as-usual baseline</w:t>
      </w:r>
      <w:r>
        <w:t xml:space="preserve"> </w:t>
      </w:r>
      <w:r>
        <w:t xml:space="preserve">on economic grounds. The six alternative scenarios generate net present value savings in the range of $9.5 to $12.2 billion dollars, with benefit-cost ratios ranging from 2.7 to 11.9 times and internal rates of return between 0 and 0 percent. These are not marginal improvements that depend on optimistic assumptions — they represent robust, order-of-magnitude advantages that persist across a wide range of parameter values and analytical assumptions. This is not a close call, and the economic case for transition is effectively beyond reasonable dispute.</w:t>
      </w:r>
    </w:p>
    <w:p>
      <w:pPr>
        <w:pStyle w:val="BodyText"/>
      </w:pPr>
      <w:r>
        <w:t xml:space="preserve">The</w:t>
      </w:r>
      <w:r>
        <w:t xml:space="preserve"> </w:t>
      </w:r>
      <w:r>
        <w:rPr>
          <w:b/>
          <w:bCs/>
        </w:rPr>
        <w:t xml:space="preserve">best-performing scenario is S7 — LNG Transition</w:t>
      </w:r>
      <w:r>
        <w:t xml:space="preserve">, which delivers $12.2B in net present value savings over the 30-year analysis horizon, a benefit-cost ratio of 11.6, and an internal rate of return of 41.3 percent. While this scenario achieves the highest aggregate economic performance, the optimal strategy for the Maldives is not necessarily the single highest-NPV pathway but rather a phased approach that captures the most certain benefits first while preserving flexibility on the most uncertain and expensive components, as detailed in the implementation roadmap (</w:t>
      </w:r>
      <w:hyperlink w:anchor="sec-implementation">
        <w:r>
          <w:rPr>
            <w:rStyle w:val="Hyperlink"/>
          </w:rPr>
          <w:t xml:space="preserve">Chapter 18</w:t>
        </w:r>
      </w:hyperlink>
      <w:r>
        <w:t xml:space="preserve">).</w:t>
      </w:r>
    </w:p>
    <w:p>
      <w:pPr>
        <w:pStyle w:val="BodyText"/>
      </w:pPr>
      <w:r>
        <w:t xml:space="preserve">The</w:t>
      </w:r>
      <w:r>
        <w:t xml:space="preserve"> </w:t>
      </w:r>
      <w:r>
        <w:rPr>
          <w:b/>
          <w:bCs/>
        </w:rPr>
        <w:t xml:space="preserve">robustness of these results</w:t>
      </w:r>
      <w:r>
        <w:t xml:space="preserve"> </w:t>
      </w:r>
      <w:r>
        <w:t xml:space="preserve">is a critical feature of the analysis. Monte Carlo simulation with 39 simultaneously varying parameters confirms that every alternative scenario beats the business-as-usual baseline in more than 100 percent of iterations. This finding holds across discount rates from 3 to 12 percent, time horizons from twenty to fifty years, and five distinct multi-criteria weighting profiles reflecting different stakeholder priorities. The switching value analysis identifies only a handful of extreme parameter values that could reverse the conclusions, and in each case the required parameter shift lies well outside the plausible range supported by the empirical evidence. Policymakers can therefore proceed with high confidence that the fundamental direction of the analysis — away from diesel and towards renewable energy — will not be overturned by reasonable changes in assumptions.</w:t>
      </w:r>
    </w:p>
    <w:p>
      <w:pPr>
        <w:pStyle w:val="BodyText"/>
      </w:pPr>
      <w:r>
        <w:t xml:space="preserve">The</w:t>
      </w:r>
      <w:r>
        <w:t xml:space="preserve"> </w:t>
      </w:r>
      <w:r>
        <w:rPr>
          <w:b/>
          <w:bCs/>
        </w:rPr>
        <w:t xml:space="preserve">India submarine cable (S2 Full Integration) does not pay for itself on the margin</w:t>
      </w:r>
      <w:r>
        <w:t xml:space="preserve"> </w:t>
      </w:r>
      <w:r>
        <w:t xml:space="preserve">when compared against domestic solar-battery alternatives. The incremental BCR of S2 relative to S3 National Grid is 0.83, meaning that the additional billions of dollars required for the cable do not generate commensurate additional benefits compared with a domestic renewable energy pathway. Moreover, the cable introduces geopolitical dependency on a single bilateral relationship and creates a single-point-of-failure vulnerability with a historical outage rate of 0.15 events per year and repair times measured in months</w:t>
      </w:r>
      <w:r>
        <w:rPr>
          <w:rStyle w:val="FootnoteReference"/>
        </w:rPr>
        <w:footnoteReference w:id="227"/>
      </w:r>
      <w:r>
        <w:t xml:space="preserve">. While the cable may have strategic value that is not captured in the economic analysis, the evidence does not support it as a priority investment.</w:t>
      </w:r>
    </w:p>
    <w:p>
      <w:pPr>
        <w:pStyle w:val="BodyText"/>
      </w:pPr>
      <w:r>
        <w:rPr>
          <w:b/>
          <w:bCs/>
        </w:rPr>
        <w:t xml:space="preserve">Distributional equity requires deliberate policy design</w:t>
      </w:r>
      <w:r>
        <w:t xml:space="preserve"> </w:t>
      </w:r>
      <w:r>
        <w:t xml:space="preserve">and will not emerge automatically from an economically efficient transition. The HIES 2019 microdata analysis demonstrates that lower-income households bear a disproportionately high energy burden under the current system, and if the transition involves even temporary tariff increases, these households will be most severely affected. The Suits Index confirms the regressive nature of the current tariff structure. Achieving an equitable transition requires proactive policy interventions — lifeline tariffs, targeted transfers, connection subsidies, and progressive tariff reform — that are designed into the transition framework from the outset rather than retrofitted once problems emerge.</w:t>
      </w:r>
    </w:p>
    <w:bookmarkEnd w:id="228"/>
    <w:bookmarkStart w:id="239" w:name="policy-recommendations"/>
    <w:p>
      <w:pPr>
        <w:pStyle w:val="Heading2"/>
      </w:pPr>
      <w:r>
        <w:t xml:space="preserve">20.2 Policy Recommendations</w:t>
      </w:r>
    </w:p>
    <w:p>
      <w:pPr>
        <w:pStyle w:val="FirstParagraph"/>
      </w:pPr>
      <w:r>
        <w:t xml:space="preserve">The following six recommendations distil the analytical evidence into a concrete policy agenda. They are sequenced in order of priority and urgency, with the most time-sensitive and highest-impact actions first.</w:t>
      </w:r>
    </w:p>
    <w:bookmarkStart w:id="229" w:name="X5d315b92fb20049cb58441ee20aabf46807ea49"/>
    <w:p>
      <w:pPr>
        <w:pStyle w:val="Heading4"/>
      </w:pPr>
      <w:r>
        <w:t xml:space="preserve">20.2.0.1 Recommendation 1: Commit to an Accelerated Outer-Island Solar-Battery Programme</w:t>
      </w:r>
    </w:p>
    <w:bookmarkEnd w:id="229"/>
    <w:p>
      <w:pPr>
        <w:pStyle w:val="FirstParagraph"/>
      </w:pPr>
      <w:r>
        <w:t xml:space="preserve">The government should commit to deploying 50 megawatts per year of solar-battery systems across the approximately one hundred and seventy outer islands where the technology is already decisively cost-competitive. This programme can begin immediately using proven, commercially mature technology and delivers the fastest available fuel savings per dollar invested. The levelised cost of solar-battery electricity on outer islands is roughly half that of existing diesel generation, providing a margin of economic advantage so large that it survives even the most pessimistic stress tests in the Monte Carlo simulation.</w:t>
      </w:r>
    </w:p>
    <w:p>
      <w:pPr>
        <w:pStyle w:val="BodyText"/>
      </w:pPr>
      <w:r>
        <w:t xml:space="preserve">Every year of delay costs approximately three hundred and fifty million dollars in foregone fuel savings — a figure that dwarfs the planning and procurement costs required to accelerate the programme. The outer-island programme also builds institutional capacity and a domestic track record that will be essential for the larger-scale deployments in subsequent phases. Financing on ADB SIDS concessional terms — 1 percent interest, forty-year maturity, ten-year grace period</w:t>
      </w:r>
      <w:r>
        <w:rPr>
          <w:rStyle w:val="FootnoteReference"/>
        </w:rPr>
        <w:footnoteReference w:id="230"/>
      </w:r>
      <w:r>
        <w:t xml:space="preserve"> </w:t>
      </w:r>
      <w:r>
        <w:t xml:space="preserve">— yields a grant element of approximately 83 percent, making the total outer-island programme cost of approximately 1.2 billion dollars over five years manageable within the Maldives’ debt sustainability constraints.</w:t>
      </w:r>
    </w:p>
    <w:bookmarkStart w:id="231" w:name="Xf77904a283c2dbe8d6b841dc0dad231bedde8d3"/>
    <w:p>
      <w:pPr>
        <w:pStyle w:val="Heading4"/>
      </w:pPr>
      <w:r>
        <w:t xml:space="preserve">20.2.0.2 Recommendation 2: Develop Near-Shore Solar for Greater Malé</w:t>
      </w:r>
    </w:p>
    <w:bookmarkEnd w:id="231"/>
    <w:p>
      <w:pPr>
        <w:pStyle w:val="FirstParagraph"/>
      </w:pPr>
      <w:r>
        <w:t xml:space="preserve">The 104 megawatts of near-shore solar potential on uninhabited islands within ten kilometres of Malé represents the single most impactful intervention for the capital region. Greater Malé accounts for roughly half of national electricity demand but is severely constrained in rooftop and ground-mounted solar potential, with only approximately 18-megawatt-peak of suitable rooftop area identified in detailed spatial analysis</w:t>
      </w:r>
      <w:r>
        <w:rPr>
          <w:rStyle w:val="FootnoteReference"/>
        </w:rPr>
        <w:footnoteReference w:id="232"/>
      </w:r>
      <w:r>
        <w:t xml:space="preserve">. The near-shore solar strategy breaks this constraint by deploying ground-mounted solar farms on uninhabited islands — primarily Thilafushi, Gulhifalhu, Funadhoo, and Dhoonidhoo — connected to the Malé grid via short submarine cables.</w:t>
      </w:r>
    </w:p>
    <w:p>
      <w:pPr>
        <w:pStyle w:val="BodyText"/>
      </w:pPr>
      <w:r>
        <w:t xml:space="preserve">Environmental impact assessments and site preparation should begin immediately, as these processes typically require eighteen to twenty-four months. The critical enablers are land tenure arrangements (several candidate islands are currently used for waste management or industrial purposes) and environmental permitting for marine cable crossings. Construction in the 2030–2033 period would raise Greater Malé’s renewable energy share from approximately four percent to around twenty-five percent without requiring any international infrastructure, reducing dependence on diesel imports and providing a substantial hedge against fuel price volatility.</w:t>
      </w:r>
    </w:p>
    <w:bookmarkStart w:id="233" w:name="Xf055635fc3b05ca351e9df020a56aa6aa21151f"/>
    <w:p>
      <w:pPr>
        <w:pStyle w:val="Heading4"/>
      </w:pPr>
      <w:r>
        <w:t xml:space="preserve">20.2.0.3 Recommendation 3: Pursue the Gulhifalhu LNG Terminal as a Transitional Bridge</w:t>
      </w:r>
    </w:p>
    <w:bookmarkEnd w:id="233"/>
    <w:p>
      <w:pPr>
        <w:pStyle w:val="FirstParagraph"/>
      </w:pPr>
      <w:r>
        <w:t xml:space="preserve">The LNG Transition scenario achieves the fastest payback (7 years) and the highest internal rate of return (41.3 percent) among all scenarios, making it an attractive transitional strategy for Greater Malé while outer islands complete their renewable energy transition. A 140-megawatt LNG terminal at Gulhifalhu would provide reliable, lower-carbon baseload generation for the capital, reducing emissions by approximately 44 percent relative to diesel while maintaining the dispatchable generation capacity needed to ensure supply reliability during the renewable energy scale-up.</w:t>
      </w:r>
    </w:p>
    <w:p>
      <w:pPr>
        <w:pStyle w:val="BodyText"/>
      </w:pPr>
      <w:r>
        <w:t xml:space="preserve">However, the LNG pathway creates a 30-year fossil fuel lock-in through long-term gas supply agreements, and this commitment should be undertaken only if combined with a binding renewable energy ramp commitment that prevents the LNG infrastructure from displacing rather than complementing renewable energy deployment. The principal risks are LNG price volatility (which could erode the cost advantage relative to diesel) and stranded asset risk (if battery costs decline faster than expected, the LNG terminal may become economically redundant before the end of its useful life). These risks should be explicitly addressed in the procurement framework, including options for early termination of supply agreements and flexible capacity utilisation.</w:t>
      </w:r>
    </w:p>
    <w:bookmarkStart w:id="234" w:name="X15fd25a8d5c3b0c54236e5c4a7b9573dc2c1af5"/>
    <w:p>
      <w:pPr>
        <w:pStyle w:val="Heading4"/>
      </w:pPr>
      <w:r>
        <w:t xml:space="preserve">20.2.0.4 Recommendation 4: Defer the India Cable Decision</w:t>
      </w:r>
    </w:p>
    <w:bookmarkEnd w:id="234"/>
    <w:p>
      <w:pPr>
        <w:pStyle w:val="FirstParagraph"/>
      </w:pPr>
      <w:r>
        <w:t xml:space="preserve">The real options analysis, applying the</w:t>
      </w:r>
      <w:r>
        <w:t xml:space="preserve"> </w:t>
      </w:r>
      <w:r>
        <w:t xml:space="preserve">Dixit &amp; Pindyck (1994)</w:t>
      </w:r>
      <w:r>
        <w:t xml:space="preserve"> </w:t>
      </w:r>
      <w:r>
        <w:t xml:space="preserve">framework, demonstrates that the option to wait has significant value when evaluating the India submarine cable. Three factors argue for deferral. First, battery cost declines at a learning rate of 18 percent per doubling of cumulative capacity</w:t>
      </w:r>
      <w:r>
        <w:rPr>
          <w:rStyle w:val="FootnoteReference"/>
        </w:rPr>
        <w:footnoteReference w:id="235"/>
      </w:r>
      <w:r>
        <w:t xml:space="preserve"> </w:t>
      </w:r>
      <w:r>
        <w:t xml:space="preserve">are rapidly improving the competitiveness of domestic storage-based solutions relative to imported power. Second, the cable’s marginal benefit-cost ratio relative to domestic renewable energy alternatives is below one, meaning the additional investment does not generate proportional additional benefits. Third, the cable represents a commitment of over $4.3 billion dollars that cannot be recovered if bilateral relations deteriorate, technology costs shift, or India’s own energy exports become constrained.</w:t>
      </w:r>
    </w:p>
    <w:p>
      <w:pPr>
        <w:pStyle w:val="BodyText"/>
      </w:pPr>
      <w:r>
        <w:t xml:space="preserve">The recommended approach is to commission a detailed feasibility study immediately — covering route survey, seabed geotechnical assessment, converter station siting, and commercial framework negotiations — while deferring the investment commitment by three to five years. The go-or-no-go decision should be taken by approximately 2035, by which time the government will have the benefit of a decade of domestic renewable energy performance data, updated cable technology costs, and clearer geopolitical signals. This approach preserves the strategic option without the premature commitment that the current evidence cannot support.</w:t>
      </w:r>
    </w:p>
    <w:bookmarkStart w:id="236" w:name="X21edf38ebf33c513e7b8ce6210acb3f61628284"/>
    <w:p>
      <w:pPr>
        <w:pStyle w:val="Heading4"/>
      </w:pPr>
      <w:r>
        <w:t xml:space="preserve">20.2.0.5 Recommendation 5: Embed Equity in Transition Design</w:t>
      </w:r>
    </w:p>
    <w:bookmarkEnd w:id="236"/>
    <w:p>
      <w:pPr>
        <w:pStyle w:val="FirstParagraph"/>
      </w:pPr>
      <w:r>
        <w:t xml:space="preserve">The distributional analysis demonstrates that lower-income households spend a disproportionately large share of their income on electricity, and the current tariff structure is measurably regressive as confirmed by the negative Suits Index. An economically efficient transition that ignores distributional consequences risks creating political opposition that can delay or derail the programme entirely, as experience from fuel subsidy reform in other developing countries amply demonstrates.</w:t>
      </w:r>
    </w:p>
    <w:p>
      <w:pPr>
        <w:pStyle w:val="BodyText"/>
      </w:pPr>
      <w:r>
        <w:t xml:space="preserve">Four complementary instruments should be embedded in the transition design from the outset. Lifeline tariff blocks should ensure that the first tranche of monthly consumption — approximately the first one hundred kilowatt-hours — remains affordable for all households, with cost recovery concentrated in higher consumption blocks. Targeted cash transfers to the lowest-quintile households during the investment phase should compensate for any temporary tariff increases, using the HIES demographic and geographic data for precise targeting. Government-financed last-mile connections — estimated at approximately $200 per household for the roughly 100 thousand Maldivian households — should ensure that no household is excluded from the renewable energy system on grounds of connection cost. Finally, gradual subsidy reform over the 2030–2040 decade should move towards cost-reflective tariffs while maintaining social protection for vulnerable groups, with the pace calibrated to the demonstrated tariff reductions achieved through the transition.</w:t>
      </w:r>
    </w:p>
    <w:bookmarkStart w:id="237" w:name="X96dd669fbce03af11a1e91de36f6954616faf62"/>
    <w:p>
      <w:pPr>
        <w:pStyle w:val="Heading4"/>
      </w:pPr>
      <w:r>
        <w:t xml:space="preserve">20.2.0.6 Recommendation 6: Reform Electricity Subsidies Gradually</w:t>
      </w:r>
    </w:p>
    <w:bookmarkEnd w:id="237"/>
    <w:p>
      <w:pPr>
        <w:pStyle w:val="FirstParagraph"/>
      </w:pPr>
      <w:r>
        <w:t xml:space="preserve">The Maldives government currently spends over two hundred million dollars per year subsidising electricity</w:t>
      </w:r>
      <w:r>
        <w:rPr>
          <w:rStyle w:val="FootnoteReference"/>
        </w:rPr>
        <w:footnoteReference w:id="238"/>
      </w:r>
      <w:r>
        <w:t xml:space="preserve">, a figure that will grow with demand under the business-as-usual scenario. This subsidy is fiscally unsustainable, environmentally counterproductive (it suppresses the price signal for energy efficiency), and distributionally regressive (higher-consuming wealthier households capture a larger absolute share of the subsidy). A phased reform over the 2030–2040 decade, moving towards cost-reflective tariffs with targeted protection for vulnerable households, would deliver a double fiscal dividend. The trade balance improves as fuel imports decline, and the domestic budget improves as subsidy outlays are eliminated. For a small, import-dependent economy where fuel imports constitute a significant fraction of total imports and electricity subsidies claim a material share of the government budget, both effects are macroeconomically significant.</w:t>
      </w:r>
    </w:p>
    <w:p>
      <w:pPr>
        <w:pStyle w:val="BodyText"/>
      </w:pPr>
      <w:r>
        <w:t xml:space="preserve">The political economy of subsidy reform is the single most challenging implementation risk, but it is manageable if the transition simultaneously delivers visible benefits — lower tariffs through cheaper renewable electricity, improved reliability, and reduced air pollution. The key is to sequence the reform so that tariff increases from subsidy removal are offset or exceeded by tariff reductions from lower generation costs, making the reform neutral or beneficial for the majority of households. The distributional analysis and implementation roadmap in preceding chapters provide the analytical foundation for designing this sequence.</w:t>
      </w:r>
    </w:p>
    <w:bookmarkEnd w:id="239"/>
    <w:bookmarkStart w:id="243" w:name="limitations-and-caveats"/>
    <w:p>
      <w:pPr>
        <w:pStyle w:val="Heading2"/>
      </w:pPr>
      <w:r>
        <w:t xml:space="preserve">20.3 Limitations and Caveats</w:t>
      </w:r>
    </w:p>
    <w:p>
      <w:pPr>
        <w:pStyle w:val="FirstParagraph"/>
      </w:pPr>
      <w:r>
        <w:t xml:space="preserve">While the conclusions of this analysis are robust to a wide range of parameter variations and methodological choices, several important limitations should be acknowledged. These do not undermine the fundamental direction of the findings — all alternative pathways dominate diesel — but they affect the precision of specific numerical estimates and the completeness of the analytical framework.</w:t>
      </w:r>
    </w:p>
    <w:p>
      <w:pPr>
        <w:pStyle w:val="BodyText"/>
      </w:pPr>
      <w:r>
        <w:t xml:space="preserve">The analysis employs a</w:t>
      </w:r>
      <w:r>
        <w:t xml:space="preserve"> </w:t>
      </w:r>
      <w:r>
        <w:rPr>
          <w:b/>
          <w:bCs/>
        </w:rPr>
        <w:t xml:space="preserve">partial equilibrium framework</w:t>
      </w:r>
      <w:r>
        <w:t xml:space="preserve"> </w:t>
      </w:r>
      <w:r>
        <w:t xml:space="preserve">that evaluates the electricity sector in isolation. General equilibrium effects — including GDP multiplier impacts from construction activity, employment creation in the renewable energy sector, terms-of-trade improvements from reduced fuel imports, and induced investment in complementary sectors — are not captured. These effects are almost certainly positive for the transition scenarios, meaning that the partial equilibrium analysis likely understates the true economic benefits. However, quantifying general equilibrium effects would require a computable general equilibrium model calibrated to the Maldivian economy, which is beyond the scope of this study.</w:t>
      </w:r>
    </w:p>
    <w:p>
      <w:pPr>
        <w:pStyle w:val="BodyText"/>
      </w:pPr>
      <w:r>
        <w:t xml:space="preserve">The</w:t>
      </w:r>
      <w:r>
        <w:t xml:space="preserve"> </w:t>
      </w:r>
      <w:r>
        <w:rPr>
          <w:b/>
          <w:bCs/>
        </w:rPr>
        <w:t xml:space="preserve">resort tourism sector</w:t>
      </w:r>
      <w:r>
        <w:t xml:space="preserve"> </w:t>
      </w:r>
      <w:r>
        <w:t xml:space="preserve">— which operates approximately 1,050 gigawatt-hours per year of captive diesel generation</w:t>
      </w:r>
      <w:r>
        <w:rPr>
          <w:rStyle w:val="FootnoteReference"/>
        </w:rPr>
        <w:footnoteReference w:id="240"/>
      </w:r>
      <w:r>
        <w:t xml:space="preserve">, rivalling the public utility in total output — is noted in the analysis but not modelled within the public utility cost-benefit framework. Resorts operate as independent power producers under different regulatory, commercial, and financing arrangements, and their transition decisions are driven by corporate sustainability commitments, guest expectations, and commercial energy costs rather than by the public policy considerations that govern the utility sector. A comprehensive national energy transition strategy would need to address the resort sector separately, potentially through regulatory mandates, renewable portfolio standards, or incentive frameworks.</w:t>
      </w:r>
    </w:p>
    <w:p>
      <w:pPr>
        <w:pStyle w:val="BodyText"/>
      </w:pPr>
      <w:r>
        <w:t xml:space="preserve">Several</w:t>
      </w:r>
      <w:r>
        <w:t xml:space="preserve"> </w:t>
      </w:r>
      <w:r>
        <w:rPr>
          <w:b/>
          <w:bCs/>
        </w:rPr>
        <w:t xml:space="preserve">multi-criteria analysis dimensions</w:t>
      </w:r>
      <w:r>
        <w:t xml:space="preserve"> </w:t>
      </w:r>
      <w:r>
        <w:t xml:space="preserve">— notably implementation feasibility, social equity, and climate resilience — rely on expert judgement scores rather than revealed-preference data or market-based valuations. While the sensitivity analysis demonstrates that MCA rankings are robust to substantial variation in criteria weights, the underlying scores are inherently subjective and could be challenged by stakeholders with different assessments of implementation complexity or political feasibility.</w:t>
      </w:r>
    </w:p>
    <w:p>
      <w:pPr>
        <w:pStyle w:val="BodyText"/>
      </w:pPr>
      <w:r>
        <w:rPr>
          <w:b/>
          <w:bCs/>
        </w:rPr>
        <w:t xml:space="preserve">Technology cost uncertainty</w:t>
      </w:r>
      <w:r>
        <w:t xml:space="preserve"> </w:t>
      </w:r>
      <w:r>
        <w:t xml:space="preserve">is addressed through Monte Carlo simulation with 39 simultaneously varying parameters, but this approach captures parametric uncertainty within known distributions, not structural uncertainty. Technological breakthroughs — such as the commercialisation of solid-state batteries, perovskite-silicon tandem solar cells, or room-temperature superconducting cables — could fundamentally alter the cost landscape in ways that are not representable as perturbations around current best estimates. Such breakthroughs would almost certainly favour the transition scenarios by further reducing renewable energy costs, but they could also shift the relative ranking of pathways in unpredictable ways.</w:t>
      </w:r>
    </w:p>
    <w:p>
      <w:pPr>
        <w:pStyle w:val="BodyText"/>
      </w:pPr>
      <w:r>
        <w:rPr>
          <w:b/>
          <w:bCs/>
        </w:rPr>
        <w:t xml:space="preserve">Climate impacts on solar generation</w:t>
      </w:r>
      <w:r>
        <w:t xml:space="preserve"> </w:t>
      </w:r>
      <w:r>
        <w:t xml:space="preserve">are modelled under RCP 4.5 and RCP 8.5 scenarios, showing modest output reductions of two to five percent by 2050 from changes in global horizontal irradiance and ambient temperature</w:t>
      </w:r>
      <w:r>
        <w:rPr>
          <w:rStyle w:val="FootnoteReference"/>
        </w:rPr>
        <w:footnoteReference w:id="241"/>
      </w:r>
      <w:r>
        <w:t xml:space="preserve">. However, extreme weather events — tropical cyclones, storm surge flooding, and saltwater intrusion — are treated through the 7.5-percent climate adaptation premium in capital costs</w:t>
      </w:r>
      <w:r>
        <w:rPr>
          <w:rStyle w:val="FootnoteReference"/>
        </w:rPr>
        <w:footnoteReference w:id="242"/>
      </w:r>
      <w:r>
        <w:t xml:space="preserve"> </w:t>
      </w:r>
      <w:r>
        <w:t xml:space="preserve">rather than through explicit damage functions that model the probability and magnitude of catastrophic infrastructure loss. The Maldives’ extreme low-lying geography makes it uniquely vulnerable to such events, and a more detailed climate risk assessment would strengthen the resilience dimension of the analysis.</w:t>
      </w:r>
    </w:p>
    <w:bookmarkEnd w:id="243"/>
    <w:bookmarkStart w:id="244" w:name="next-steps"/>
    <w:p>
      <w:pPr>
        <w:pStyle w:val="Heading2"/>
      </w:pPr>
      <w:r>
        <w:t xml:space="preserve">20.4 Next Steps</w:t>
      </w:r>
    </w:p>
    <w:p>
      <w:pPr>
        <w:pStyle w:val="FirstParagraph"/>
      </w:pPr>
      <w:r>
        <w:t xml:space="preserve">The analytical work presented in this report provides the evidence base for policy decisions, but translating evidence into action requires several concrete follow-up activities that bridge the gap between analysis and implementation.</w:t>
      </w:r>
    </w:p>
    <w:p>
      <w:pPr>
        <w:pStyle w:val="BodyText"/>
      </w:pPr>
      <w:r>
        <w:rPr>
          <w:b/>
          <w:bCs/>
        </w:rPr>
        <w:t xml:space="preserve">Detailed feasibility studies</w:t>
      </w:r>
      <w:r>
        <w:t xml:space="preserve"> </w:t>
      </w:r>
      <w:r>
        <w:t xml:space="preserve">should be commissioned for the three highest-priority investments: near-shore solar sites on uninhabited islands near Malé, the Gulhifalhu LNG terminal, and the India submarine cable route. These studies should move beyond the screening-level analysis presented here to include geotechnical surveys, detailed engineering design, environmental and social impact assessments, and commercial framework development. The near-shore solar feasibility studies are the most time-sensitive, as they lie on the critical path for Phase 2 deployment.</w:t>
      </w:r>
    </w:p>
    <w:p>
      <w:pPr>
        <w:pStyle w:val="BodyText"/>
      </w:pPr>
      <w:r>
        <w:rPr>
          <w:b/>
          <w:bCs/>
        </w:rPr>
        <w:t xml:space="preserve">Pilot projects</w:t>
      </w:r>
      <w:r>
        <w:t xml:space="preserve"> </w:t>
      </w:r>
      <w:r>
        <w:t xml:space="preserve">can resolve key technology uncertainties at modest cost. A floating solar pilot of one to five megawatts in the Malé lagoon would test the marine engineering assumptions that underpin the Maximum RE scenario (S6), providing data on mooring systems, biofouling, corrosion, wave loading, and maintenance logistics in the Maldivian marine environment. The cost of such a pilot is negligible relative to the two hundred million dollar investment that it would de-risk.</w:t>
      </w:r>
    </w:p>
    <w:p>
      <w:pPr>
        <w:pStyle w:val="BodyText"/>
      </w:pPr>
      <w:r>
        <w:rPr>
          <w:b/>
          <w:bCs/>
        </w:rPr>
        <w:t xml:space="preserve">Institutional strengthening</w:t>
      </w:r>
      <w:r>
        <w:t xml:space="preserve"> </w:t>
      </w:r>
      <w:r>
        <w:t xml:space="preserve">is essential for effective transition management. The establishment of an independent energy regulator with tariff-setting authority would depoliticise pricing decisions, provide regulatory certainty for private investors, and create the institutional capacity needed to manage the complex tariff restructuring that the transition requires. The regulator’s mandate should encompass renewable energy procurement standards, grid connection rules, power purchase agreement frameworks, and consumer protection.</w:t>
      </w:r>
    </w:p>
    <w:p>
      <w:pPr>
        <w:pStyle w:val="BodyText"/>
      </w:pPr>
      <w:r>
        <w:rPr>
          <w:b/>
          <w:bCs/>
        </w:rPr>
        <w:t xml:space="preserve">Financing negotiations</w:t>
      </w:r>
      <w:r>
        <w:t xml:space="preserve"> </w:t>
      </w:r>
      <w:r>
        <w:t xml:space="preserve">should be initiated in parallel with feasibility studies, engaging the Asian Development Bank, World Bank, Green Climate Fund, India EXIM Bank, and other multilateral and bilateral institutions for blended finance packages. The grant element analysis in</w:t>
      </w:r>
      <w:r>
        <w:t xml:space="preserve"> </w:t>
      </w:r>
      <w:hyperlink w:anchor="sec-financing">
        <w:r>
          <w:rPr>
            <w:rStyle w:val="Hyperlink"/>
          </w:rPr>
          <w:t xml:space="preserve">Chapter 16</w:t>
        </w:r>
      </w:hyperlink>
      <w:r>
        <w:t xml:space="preserve"> </w:t>
      </w:r>
      <w:r>
        <w:t xml:space="preserve">demonstrates that ADB SIDS terms make otherwise unaffordable investments viable, but securing these commitments requires sustained diplomatic engagement and the preparation of bankable project proposals that meet development bank appraisal standards.</w:t>
      </w:r>
    </w:p>
    <w:p>
      <w:pPr>
        <w:pStyle w:val="BodyText"/>
      </w:pPr>
      <w:r>
        <w:rPr>
          <w:b/>
          <w:bCs/>
        </w:rPr>
        <w:t xml:space="preserve">A monitoring and evaluation framework</w:t>
      </w:r>
      <w:r>
        <w:t xml:space="preserve"> </w:t>
      </w:r>
      <w:r>
        <w:t xml:space="preserve">should be established from the outset to track deployment rates, actual versus projected costs, system performance, household welfare impacts, and environmental outcomes during the transition. This framework serves three purposes: it provides accountability to citizens and financing institutions, it generates the performance data needed for adaptive management decisions, and it contributes to the global evidence base on SIDS energy transitions that other small island nations can draw upon.</w:t>
      </w:r>
    </w:p>
    <w:bookmarkEnd w:id="244"/>
    <w:bookmarkEnd w:id="245"/>
    <w:bookmarkStart w:id="289" w:name="appendix-a-technical-methodology"/>
    <w:p>
      <w:pPr>
        <w:pStyle w:val="Heading1"/>
      </w:pPr>
      <w:r>
        <w:t xml:space="preserve">21. Appendix A — Technical Methodology</w:t>
      </w:r>
    </w:p>
    <w:p>
      <w:pPr>
        <w:pStyle w:val="FirstParagraph"/>
      </w:pPr>
      <w:r>
        <w:t xml:space="preserve">This appendix provides the complete mathematical specification of the Maldives Energy CBA model. Every equation implemented in the model code is documented here with full parameter traceability to the central parameter registry (</w:t>
      </w:r>
      <w:r>
        <w:rPr>
          <w:rStyle w:val="VerbatimChar"/>
        </w:rPr>
        <w:t xml:space="preserve">parameters.csv</w:t>
      </w:r>
      <w:r>
        <w:t xml:space="preserve">). For the policy-oriented summary of the methodology, see</w:t>
      </w:r>
      <w:r>
        <w:t xml:space="preserve"> </w:t>
      </w:r>
      <w:hyperlink w:anchor="sec-methodology">
        <w:r>
          <w:rPr>
            <w:rStyle w:val="Hyperlink"/>
          </w:rPr>
          <w:t xml:space="preserve">Section 4.1</w:t>
        </w:r>
      </w:hyperlink>
      <w:r>
        <w:t xml:space="preserve">.</w:t>
      </w:r>
    </w:p>
    <w:p>
      <w:pPr>
        <w:pStyle w:val="BodyText"/>
      </w:pPr>
      <w:r>
        <w:t xml:space="preserve">The equations are organised to mirror the model’s computational pipeline: demand projection feeds into cost and emissions calculations, which flow into the NPV framework, which in turn supports sensitivity analysis and multi-criteria assessment. Each equation is labelled with a prefix (EQ-D for demand, EQ-C for costs, EQ-E for emissions, EQ-N for NPV, EQ-L for least-cost) for cross-referencing with the model codebase and the full CBA methodology audit document.</w:t>
      </w:r>
    </w:p>
    <w:bookmarkStart w:id="246" w:name="sec-arch"/>
    <w:p>
      <w:pPr>
        <w:pStyle w:val="Heading2"/>
      </w:pPr>
      <w:r>
        <w:t xml:space="preserve">21.1 A.1 Model Architecture</w:t>
      </w:r>
    </w:p>
    <w:p>
      <w:pPr>
        <w:pStyle w:val="FirstParagraph"/>
      </w:pPr>
      <w:r>
        <w:t xml:space="preserve">The model follows a strictly layered architecture in which a single parameter file serves as the authoritative source for every numeric value used in the analysis. This design ensures that changing any parameter — whether for sensitivity analysis, Monte Carlo simulation, or scenario calibration — propagates automatically through the entire computation chain without risk of inconsistency between different model components.</w:t>
      </w:r>
    </w:p>
    <w:p>
      <w:pPr>
        <w:pStyle w:val="BodyText"/>
      </w:pPr>
      <w:r>
        <w:t xml:space="preserve">The model follows a strictly layered architecture:</w:t>
      </w:r>
    </w:p>
    <w:p>
      <w:pPr>
        <w:pStyle w:val="SourceCode"/>
      </w:pPr>
      <w:r>
        <w:rPr>
          <w:rStyle w:val="VerbatimChar"/>
        </w:rPr>
        <w:t xml:space="preserve">parameters.csv  →  config.py  →  get_config()  →  model code</w:t>
      </w:r>
      <w:r>
        <w:br/>
      </w:r>
      <w:r>
        <w:rPr>
          <w:rStyle w:val="VerbatimChar"/>
        </w:rPr>
        <w:t xml:space="preserve">     ↓                                                ↓</w:t>
      </w:r>
      <w:r>
        <w:br/>
      </w:r>
      <w:r>
        <w:rPr>
          <w:rStyle w:val="VerbatimChar"/>
        </w:rPr>
        <w:t xml:space="preserve"> SINGLE SOURCE                                  scenarios/*.py</w:t>
      </w:r>
      <w:r>
        <w:br/>
      </w:r>
      <w:r>
        <w:rPr>
          <w:rStyle w:val="VerbatimChar"/>
        </w:rPr>
        <w:t xml:space="preserve"> OF TRUTH for                                   costs.py</w:t>
      </w:r>
      <w:r>
        <w:br/>
      </w:r>
      <w:r>
        <w:rPr>
          <w:rStyle w:val="VerbatimChar"/>
        </w:rPr>
        <w:t xml:space="preserve"> all numbers                                    demand.py</w:t>
      </w:r>
      <w:r>
        <w:br/>
      </w:r>
      <w:r>
        <w:rPr>
          <w:rStyle w:val="VerbatimChar"/>
        </w:rPr>
        <w:t xml:space="preserve">                                                cba/npv_calculator.py</w:t>
      </w:r>
      <w:r>
        <w:br/>
      </w:r>
      <w:r>
        <w:rPr>
          <w:rStyle w:val="VerbatimChar"/>
        </w:rPr>
        <w:t xml:space="preserve">                                                     ↓</w:t>
      </w:r>
      <w:r>
        <w:br/>
      </w:r>
      <w:r>
        <w:rPr>
          <w:rStyle w:val="VerbatimChar"/>
        </w:rPr>
        <w:t xml:space="preserve">                                                outputs/*.json</w:t>
      </w:r>
      <w:r>
        <w:br/>
      </w:r>
      <w:r>
        <w:rPr>
          <w:rStyle w:val="VerbatimChar"/>
        </w:rPr>
        <w:t xml:space="preserve">                                                     ↓</w:t>
      </w:r>
      <w:r>
        <w:br/>
      </w:r>
      <w:r>
        <w:rPr>
          <w:rStyle w:val="VerbatimChar"/>
        </w:rPr>
        <w:t xml:space="preserve">                                                This report</w:t>
      </w:r>
    </w:p>
    <w:p>
      <w:pPr>
        <w:pStyle w:val="FirstParagraph"/>
      </w:pPr>
      <w:r>
        <w:rPr>
          <w:b/>
          <w:bCs/>
        </w:rPr>
        <w:t xml:space="preserve">Key design principles:</w:t>
      </w:r>
    </w:p>
    <w:p>
      <w:pPr>
        <w:pStyle w:val="Compact"/>
        <w:numPr>
          <w:ilvl w:val="0"/>
          <w:numId w:val="1002"/>
        </w:numPr>
      </w:pPr>
      <w:r>
        <w:t xml:space="preserve">Every parameter lives in</w:t>
      </w:r>
      <w:r>
        <w:t xml:space="preserve"> </w:t>
      </w:r>
      <w:r>
        <w:rPr>
          <w:rStyle w:val="VerbatimChar"/>
        </w:rPr>
        <w:t xml:space="preserve">parameters.csv</w:t>
      </w:r>
      <w:r>
        <w:t xml:space="preserve"> </w:t>
      </w:r>
      <w:r>
        <w:t xml:space="preserve">with 7 columns: Category, Parameter, Value, Low, High, Unit, Source</w:t>
      </w:r>
    </w:p>
    <w:p>
      <w:pPr>
        <w:pStyle w:val="Compact"/>
        <w:numPr>
          <w:ilvl w:val="0"/>
          <w:numId w:val="1002"/>
        </w:numPr>
      </w:pPr>
      <w:r>
        <w:rPr>
          <w:rStyle w:val="VerbatimChar"/>
        </w:rPr>
        <w:t xml:space="preserve">config.py</w:t>
      </w:r>
      <w:r>
        <w:t xml:space="preserve"> </w:t>
      </w:r>
      <w:r>
        <w:t xml:space="preserve">loads the CSV into typed Python dataclasses via</w:t>
      </w:r>
      <w:r>
        <w:t xml:space="preserve"> </w:t>
      </w:r>
      <w:r>
        <w:rPr>
          <w:rStyle w:val="VerbatimChar"/>
        </w:rPr>
        <w:t xml:space="preserve">get_config()</w:t>
      </w:r>
    </w:p>
    <w:p>
      <w:pPr>
        <w:pStyle w:val="Compact"/>
        <w:numPr>
          <w:ilvl w:val="0"/>
          <w:numId w:val="1002"/>
        </w:numPr>
      </w:pPr>
      <w:r>
        <w:t xml:space="preserve">No numeric parameter appears as a literal in any</w:t>
      </w:r>
      <w:r>
        <w:t xml:space="preserve"> </w:t>
      </w:r>
      <w:r>
        <w:rPr>
          <w:rStyle w:val="VerbatimChar"/>
        </w:rPr>
        <w:t xml:space="preserve">.py</w:t>
      </w:r>
      <w:r>
        <w:t xml:space="preserve"> </w:t>
      </w:r>
      <w:r>
        <w:t xml:space="preserve">script — only mathematical constants (π, 8760 hours/year, unit conversions)</w:t>
      </w:r>
    </w:p>
    <w:p>
      <w:pPr>
        <w:pStyle w:val="Compact"/>
        <w:numPr>
          <w:ilvl w:val="0"/>
          <w:numId w:val="1002"/>
        </w:numPr>
      </w:pPr>
      <w:r>
        <w:t xml:space="preserve">Sensitivity analysis and Monte Carlo work by modifying the config object — the same parameter pipeline ensures consistency</w:t>
      </w:r>
    </w:p>
    <w:p>
      <w:pPr>
        <w:pStyle w:val="FirstParagraph"/>
      </w:pPr>
      <w:r>
        <w:t xml:space="preserve">This architecture enforces a zero-hardcoded-values discipline that prevents the silent divergence between parameter files and code that plagues many energy models. Every numeric value that enters any calculation can be traced back to a specific row in the CSV file, with its source citation, low and high bounds for sensitivity analysis, and unit specification.</w:t>
      </w:r>
    </w:p>
    <w:p>
      <w:pPr>
        <w:pStyle w:val="BodyText"/>
      </w:pPr>
      <w:r>
        <w:rPr>
          <w:b/>
          <w:bCs/>
        </w:rPr>
        <w:t xml:space="preserve">Horizons:</w:t>
      </w:r>
      <w:r>
        <w:t xml:space="preserve"> </w:t>
      </w:r>
      <w:r>
        <w:t xml:space="preserve">20 years (2026–2046), 30 years (2026–2056, default), 50 years (2026–2076)</w:t>
      </w:r>
    </w:p>
    <w:p>
      <w:pPr>
        <w:pStyle w:val="BodyText"/>
      </w:pPr>
      <w:r>
        <w:rPr>
          <w:b/>
          <w:bCs/>
        </w:rPr>
        <w:t xml:space="preserve">Scenarios:</w:t>
      </w:r>
      <w:r>
        <w:t xml:space="preserve"> </w:t>
      </w:r>
      <w:r>
        <w:t xml:space="preserve">S1–S7 as described in</w:t>
      </w:r>
      <w:r>
        <w:t xml:space="preserve"> </w:t>
      </w:r>
      <w:hyperlink w:anchor="sec-scenarios">
        <w:r>
          <w:rPr>
            <w:rStyle w:val="Hyperlink"/>
          </w:rPr>
          <w:t xml:space="preserve">Chapter 6</w:t>
        </w:r>
      </w:hyperlink>
    </w:p>
    <w:p>
      <w:pPr>
        <w:pStyle w:val="BodyText"/>
      </w:pPr>
      <w:r>
        <w:rPr>
          <w:b/>
          <w:bCs/>
        </w:rPr>
        <w:t xml:space="preserve">Discount rate:</w:t>
      </w:r>
      <w:r>
        <w:t xml:space="preserve"> </w:t>
      </w:r>
      <w:r>
        <w:t xml:space="preserve">6% real (ADB SIDS standard), with declining discount rate sensitivity (3.5% → 3.0% → 2.5%)</w:t>
      </w:r>
    </w:p>
    <w:p>
      <w:r>
        <w:pict>
          <v:rect style="width:0;height:1.5pt" o:hralign="center" o:hrstd="t" o:hr="t"/>
        </w:pict>
      </w:r>
    </w:p>
    <w:bookmarkEnd w:id="246"/>
    <w:bookmarkStart w:id="251" w:name="a.2-demand-module"/>
    <w:p>
      <w:pPr>
        <w:pStyle w:val="Heading2"/>
      </w:pPr>
      <w:r>
        <w:t xml:space="preserve">21.2 A.2 Demand Module</w:t>
      </w:r>
    </w:p>
    <w:p>
      <w:pPr>
        <w:pStyle w:val="FirstParagraph"/>
      </w:pPr>
      <w:r>
        <w:t xml:space="preserve">The demand module projects electricity consumption over the analysis horizon. The Maldives’ electricity demand has grown at approximately five percent per year over the past decade, driven by population growth, urbanisation, rising incomes, and expanding tourism infrastructure. The demand equations translate this historical pattern into forward projections that account for scenario-specific growth rates and price-induced demand effects.</w:t>
      </w:r>
    </w:p>
    <w:bookmarkStart w:id="247" w:name="eq-d1-compound-demand-growth"/>
    <w:p>
      <w:pPr>
        <w:pStyle w:val="Heading3"/>
      </w:pPr>
      <w:r>
        <w:t xml:space="preserve">21.2.1 EQ-D1: Compound Demand Growth</w:t>
      </w:r>
    </w:p>
    <w:p>
      <w:pPr>
        <w:pStyle w:val="FirstParagraph"/>
      </w:pPr>
      <m:oMathPara>
        <m:oMathParaPr>
          <m:jc m:val="center"/>
        </m:oMathParaPr>
        <m:oMath>
          <m:r>
            <m:t>D</m:t>
          </m:r>
          <m:d>
            <m:dPr>
              <m:begChr m:val="("/>
              <m:sepChr m:val=""/>
              <m:endChr m:val=")"/>
              <m:grow/>
            </m:dPr>
            <m:e>
              <m:r>
                <m:t>t</m:t>
              </m:r>
            </m:e>
          </m:d>
          <m:r>
            <m:rPr>
              <m:sty m:val="p"/>
            </m:rPr>
            <m:t>=</m:t>
          </m:r>
          <m:sSub>
            <m:e>
              <m:r>
                <m:t>D</m:t>
              </m:r>
            </m:e>
            <m:sub>
              <m:r>
                <m:t>0</m:t>
              </m:r>
            </m:sub>
          </m:sSub>
          <m:r>
            <m:rPr>
              <m:sty m:val="p"/>
            </m:rPr>
            <m:t>×</m:t>
          </m:r>
          <m:sSup>
            <m:e>
              <m:d>
                <m:dPr>
                  <m:begChr m:val="("/>
                  <m:sepChr m:val=""/>
                  <m:endChr m:val=")"/>
                  <m:grow/>
                </m:dPr>
                <m:e>
                  <m:r>
                    <m:t>1</m:t>
                  </m:r>
                  <m:r>
                    <m:rPr>
                      <m:sty m:val="p"/>
                    </m:rPr>
                    <m:t>+</m:t>
                  </m:r>
                  <m:r>
                    <m:t>g</m:t>
                  </m:r>
                </m:e>
              </m:d>
            </m:e>
            <m:sup>
              <m:r>
                <m:t>t</m:t>
              </m:r>
              <m:r>
                <m:rPr>
                  <m:sty m:val="p"/>
                </m:rPr>
                <m:t>−</m:t>
              </m:r>
              <m:sSub>
                <m:e>
                  <m:r>
                    <m:t>t</m:t>
                  </m:r>
                </m:e>
                <m:sub>
                  <m:r>
                    <m:t>0</m:t>
                  </m:r>
                </m:sub>
              </m:sSub>
            </m:sup>
          </m:sSup>
        </m:oMath>
      </m:oMathPara>
    </w:p>
    <w:p>
      <w:pPr>
        <w:pStyle w:val="FirstParagraph"/>
      </w:pPr>
      <w:r>
        <w:t xml:space="preserve">where</w:t>
      </w:r>
      <w:r>
        <w:t xml:space="preserve"> </w:t>
      </w:r>
      <m:oMath>
        <m:sSub>
          <m:e>
            <m:r>
              <m:t>D</m:t>
            </m:r>
          </m:e>
          <m:sub>
            <m:r>
              <m:t>0</m:t>
            </m:r>
          </m:sub>
        </m:sSub>
      </m:oMath>
      <w:r>
        <w:t xml:space="preserve"> </w:t>
      </w:r>
      <w:r>
        <w:t xml:space="preserve">= base demand in 2026 (1,200 GWh),</w:t>
      </w:r>
      <w:r>
        <w:t xml:space="preserve"> </w:t>
      </w:r>
      <m:oMath>
        <m:r>
          <m:t>g</m:t>
        </m:r>
      </m:oMath>
      <w:r>
        <w:t xml:space="preserve"> </w:t>
      </w:r>
      <w:r>
        <w:t xml:space="preserve">= scenario-specific growth rate, and</w:t>
      </w:r>
      <w:r>
        <w:t xml:space="preserve"> </w:t>
      </w:r>
      <m:oMath>
        <m:sSub>
          <m:e>
            <m:r>
              <m:t>t</m:t>
            </m:r>
          </m:e>
          <m:sub>
            <m:r>
              <m:t>0</m:t>
            </m:r>
          </m:sub>
        </m:sSub>
      </m:oMath>
      <w:r>
        <w:t xml:space="preserve"> </w:t>
      </w:r>
      <w:r>
        <w:t xml:space="preserve">= 2026.</w:t>
      </w:r>
    </w:p>
    <w:bookmarkEnd w:id="247"/>
    <w:bookmarkStart w:id="248" w:name="eq-d2-peak-demand-from-energy"/>
    <w:p>
      <w:pPr>
        <w:pStyle w:val="Heading3"/>
      </w:pPr>
      <w:r>
        <w:t xml:space="preserve">21.2.2 EQ-D2: Peak Demand from Energy</w:t>
      </w:r>
    </w:p>
    <w:p>
      <w:pPr>
        <w:pStyle w:val="FirstParagraph"/>
      </w:pPr>
      <m:oMathPara>
        <m:oMathParaPr>
          <m:jc m:val="center"/>
        </m:oMathParaPr>
        <m:oMath>
          <m:r>
            <m:t>P</m:t>
          </m:r>
          <m:d>
            <m:dPr>
              <m:begChr m:val="("/>
              <m:sepChr m:val=""/>
              <m:endChr m:val=")"/>
              <m:grow/>
            </m:dPr>
            <m:e>
              <m:r>
                <m:t>t</m:t>
              </m:r>
            </m:e>
          </m:d>
          <m:r>
            <m:rPr>
              <m:sty m:val="p"/>
            </m:rPr>
            <m:t>=</m:t>
          </m:r>
          <m:f>
            <m:fPr>
              <m:type m:val="bar"/>
            </m:fPr>
            <m:num>
              <m:r>
                <m:t>D</m:t>
              </m:r>
              <m:d>
                <m:dPr>
                  <m:begChr m:val="("/>
                  <m:sepChr m:val=""/>
                  <m:endChr m:val=")"/>
                  <m:grow/>
                </m:dPr>
                <m:e>
                  <m:r>
                    <m:t>t</m:t>
                  </m:r>
                </m:e>
              </m:d>
              <m:r>
                <m:rPr>
                  <m:sty m:val="p"/>
                </m:rPr>
                <m:t>×</m:t>
              </m:r>
              <m:r>
                <m:t>1000</m:t>
              </m:r>
            </m:num>
            <m:den>
              <m:r>
                <m:t>8760</m:t>
              </m:r>
              <m:r>
                <m:rPr>
                  <m:sty m:val="p"/>
                </m:rPr>
                <m:t>×</m:t>
              </m:r>
              <m:r>
                <m:t>L</m:t>
              </m:r>
              <m:r>
                <m:t>F</m:t>
              </m:r>
            </m:den>
          </m:f>
        </m:oMath>
      </m:oMathPara>
    </w:p>
    <w:p>
      <w:pPr>
        <w:pStyle w:val="FirstParagraph"/>
      </w:pPr>
      <w:r>
        <w:t xml:space="preserve">where</w:t>
      </w:r>
      <w:r>
        <w:t xml:space="preserve"> </w:t>
      </w:r>
      <m:oMath>
        <m:r>
          <m:t>L</m:t>
        </m:r>
        <m:r>
          <m:t>F</m:t>
        </m:r>
      </m:oMath>
      <w:r>
        <w:t xml:space="preserve"> </w:t>
      </w:r>
      <w:r>
        <w:t xml:space="preserve">= load factor (0.68, empirical from 2018 Island Electricity Data Book).</w:t>
      </w:r>
    </w:p>
    <w:bookmarkEnd w:id="248"/>
    <w:bookmarkStart w:id="249" w:name="eq-d3-induced-demand-price-elasticity"/>
    <w:p>
      <w:pPr>
        <w:pStyle w:val="Heading3"/>
      </w:pPr>
      <w:r>
        <w:t xml:space="preserve">21.2.3 EQ-D3: Induced Demand (Price Elasticity)</w:t>
      </w:r>
    </w:p>
    <w:p>
      <w:pPr>
        <w:pStyle w:val="FirstParagraph"/>
      </w:pPr>
      <w:r>
        <w:t xml:space="preserve">Applied in the Full Integration scenario (S2) only, where imported electricity reduces the effective price:</w:t>
      </w:r>
    </w:p>
    <w:p>
      <w:pPr>
        <w:pStyle w:val="BodyText"/>
      </w:pPr>
      <m:oMathPara>
        <m:oMathParaPr>
          <m:jc m:val="center"/>
        </m:oMathParaPr>
        <m:oMath>
          <m:r>
            <m:t>D</m:t>
          </m:r>
          <m:r>
            <m:rPr>
              <m:sty m:val="p"/>
            </m:rPr>
            <m:t>′</m:t>
          </m:r>
          <m:d>
            <m:dPr>
              <m:begChr m:val="("/>
              <m:sepChr m:val=""/>
              <m:endChr m:val=")"/>
              <m:grow/>
            </m:dPr>
            <m:e>
              <m:r>
                <m:t>t</m:t>
              </m:r>
            </m:e>
          </m:d>
          <m:r>
            <m:rPr>
              <m:sty m:val="p"/>
            </m:rPr>
            <m:t>=</m:t>
          </m:r>
          <m:r>
            <m:t>D</m:t>
          </m:r>
          <m:d>
            <m:dPr>
              <m:begChr m:val="("/>
              <m:sepChr m:val=""/>
              <m:endChr m:val=")"/>
              <m:grow/>
            </m:dPr>
            <m:e>
              <m:r>
                <m:t>t</m:t>
              </m:r>
            </m:e>
          </m:d>
          <m:r>
            <m:rPr>
              <m:sty m:val="p"/>
            </m:rPr>
            <m:t>×</m:t>
          </m:r>
          <m:d>
            <m:dPr>
              <m:begChr m:val="("/>
              <m:sepChr m:val=""/>
              <m:endChr m:val=")"/>
              <m:grow/>
            </m:dPr>
            <m:e>
              <m:r>
                <m:t>1</m:t>
              </m:r>
              <m:r>
                <m:rPr>
                  <m:sty m:val="p"/>
                </m:rPr>
                <m:t>+</m:t>
              </m:r>
              <m:r>
                <m:t>ε</m:t>
              </m:r>
              <m:r>
                <m:rPr>
                  <m:sty m:val="p"/>
                </m:rPr>
                <m:t>×</m:t>
              </m:r>
              <m:d>
                <m:dPr>
                  <m:begChr m:val="("/>
                  <m:sepChr m:val=""/>
                  <m:endChr m:val=")"/>
                  <m:grow/>
                </m:dPr>
                <m:e>
                  <m:r>
                    <m:rPr>
                      <m:sty m:val="p"/>
                    </m:rPr>
                    <m:t>−</m:t>
                  </m:r>
                  <m:r>
                    <m:t>Δ</m:t>
                  </m:r>
                  <m:r>
                    <m:t>p</m:t>
                  </m:r>
                </m:e>
              </m:d>
            </m:e>
          </m:d>
        </m:oMath>
      </m:oMathPara>
    </w:p>
    <w:p>
      <w:pPr>
        <w:pStyle w:val="FirstParagraph"/>
      </w:pPr>
      <w:r>
        <w:t xml:space="preserve">where</w:t>
      </w:r>
      <w:r>
        <w:t xml:space="preserve"> </w:t>
      </w:r>
      <m:oMath>
        <m:r>
          <m:t>ε</m:t>
        </m:r>
      </m:oMath>
      <w:r>
        <w:t xml:space="preserve"> </w:t>
      </w:r>
      <w:r>
        <w:t xml:space="preserve">= price elasticity of demand (−0.3, Wolfram et al. 2012; Burke et al. 2015), and</w:t>
      </w:r>
      <w:r>
        <w:t xml:space="preserve"> </w:t>
      </w:r>
      <m:oMath>
        <m:r>
          <m:t>Δ</m:t>
        </m:r>
        <m:r>
          <m:t>p</m:t>
        </m:r>
      </m:oMath>
      <w:r>
        <w:t xml:space="preserve"> </w:t>
      </w:r>
      <w:r>
        <w:t xml:space="preserve">= fractional price reduction from cable import.</w:t>
      </w:r>
    </w:p>
    <w:bookmarkEnd w:id="249"/>
    <w:bookmarkStart w:id="250" w:name="eq-d4-sectoral-demand-split"/>
    <w:p>
      <w:pPr>
        <w:pStyle w:val="Heading3"/>
      </w:pPr>
      <w:r>
        <w:t xml:space="preserve">21.2.4 EQ-D4: Sectoral Demand Split</w:t>
      </w:r>
    </w:p>
    <w:p>
      <w:pPr>
        <w:pStyle w:val="FirstParagraph"/>
      </w:pPr>
      <m:oMathPara>
        <m:oMathParaPr>
          <m:jc m:val="center"/>
        </m:oMathParaPr>
        <m:oMath>
          <m:sSub>
            <m:e>
              <m:r>
                <m:t>D</m:t>
              </m:r>
            </m:e>
            <m:sub>
              <m:r>
                <m:t>r</m:t>
              </m:r>
            </m:sub>
          </m:sSub>
          <m:d>
            <m:dPr>
              <m:begChr m:val="("/>
              <m:sepChr m:val=""/>
              <m:endChr m:val=")"/>
              <m:grow/>
            </m:dPr>
            <m:e>
              <m:r>
                <m:t>t</m:t>
              </m:r>
            </m:e>
          </m:d>
          <m:r>
            <m:rPr>
              <m:sty m:val="p"/>
            </m:rPr>
            <m:t>=</m:t>
          </m:r>
          <m:r>
            <m:t>D</m:t>
          </m:r>
          <m:d>
            <m:dPr>
              <m:begChr m:val="("/>
              <m:sepChr m:val=""/>
              <m:endChr m:val=")"/>
              <m:grow/>
            </m:dPr>
            <m:e>
              <m:r>
                <m:t>t</m:t>
              </m:r>
            </m:e>
          </m:d>
          <m:r>
            <m:rPr>
              <m:sty m:val="p"/>
            </m:rPr>
            <m:t>×</m:t>
          </m:r>
          <m:sSub>
            <m:e>
              <m:r>
                <m:t>s</m:t>
              </m:r>
            </m:e>
            <m:sub>
              <m:r>
                <m:t>r</m:t>
              </m:r>
            </m:sub>
          </m:sSub>
          <m:r>
            <m:rPr>
              <m:sty m:val="p"/>
            </m:rPr>
            <m:t>,</m:t>
          </m:r>
          <m:r>
            <m:t> </m:t>
          </m:r>
          <m:sSub>
            <m:e>
              <m:r>
                <m:t>D</m:t>
              </m:r>
            </m:e>
            <m:sub>
              <m:r>
                <m:t>c</m:t>
              </m:r>
            </m:sub>
          </m:sSub>
          <m:d>
            <m:dPr>
              <m:begChr m:val="("/>
              <m:sepChr m:val=""/>
              <m:endChr m:val=")"/>
              <m:grow/>
            </m:dPr>
            <m:e>
              <m:r>
                <m:t>t</m:t>
              </m:r>
            </m:e>
          </m:d>
          <m:r>
            <m:rPr>
              <m:sty m:val="p"/>
            </m:rPr>
            <m:t>=</m:t>
          </m:r>
          <m:r>
            <m:t>D</m:t>
          </m:r>
          <m:d>
            <m:dPr>
              <m:begChr m:val="("/>
              <m:sepChr m:val=""/>
              <m:endChr m:val=")"/>
              <m:grow/>
            </m:dPr>
            <m:e>
              <m:r>
                <m:t>t</m:t>
              </m:r>
            </m:e>
          </m:d>
          <m:r>
            <m:rPr>
              <m:sty m:val="p"/>
            </m:rPr>
            <m:t>×</m:t>
          </m:r>
          <m:sSub>
            <m:e>
              <m:r>
                <m:t>s</m:t>
              </m:r>
            </m:e>
            <m:sub>
              <m:r>
                <m:t>c</m:t>
              </m:r>
            </m:sub>
          </m:sSub>
          <m:r>
            <m:rPr>
              <m:sty m:val="p"/>
            </m:rPr>
            <m:t>,</m:t>
          </m:r>
          <m:r>
            <m:t> </m:t>
          </m:r>
          <m:sSub>
            <m:e>
              <m:r>
                <m:t>D</m:t>
              </m:r>
            </m:e>
            <m:sub>
              <m:r>
                <m:t>p</m:t>
              </m:r>
            </m:sub>
          </m:sSub>
          <m:d>
            <m:dPr>
              <m:begChr m:val="("/>
              <m:sepChr m:val=""/>
              <m:endChr m:val=")"/>
              <m:grow/>
            </m:dPr>
            <m:e>
              <m:r>
                <m:t>t</m:t>
              </m:r>
            </m:e>
          </m:d>
          <m:r>
            <m:rPr>
              <m:sty m:val="p"/>
            </m:rPr>
            <m:t>=</m:t>
          </m:r>
          <m:r>
            <m:t>D</m:t>
          </m:r>
          <m:d>
            <m:dPr>
              <m:begChr m:val="("/>
              <m:sepChr m:val=""/>
              <m:endChr m:val=")"/>
              <m:grow/>
            </m:dPr>
            <m:e>
              <m:r>
                <m:t>t</m:t>
              </m:r>
            </m:e>
          </m:d>
          <m:r>
            <m:rPr>
              <m:sty m:val="p"/>
            </m:rPr>
            <m:t>×</m:t>
          </m:r>
          <m:sSub>
            <m:e>
              <m:r>
                <m:t>s</m:t>
              </m:r>
            </m:e>
            <m:sub>
              <m:r>
                <m:t>p</m:t>
              </m:r>
            </m:sub>
          </m:sSub>
        </m:oMath>
      </m:oMathPara>
    </w:p>
    <w:p>
      <w:pPr>
        <w:pStyle w:val="FirstParagraph"/>
      </w:pPr>
      <w:r>
        <w:t xml:space="preserve">where</w:t>
      </w:r>
      <w:r>
        <w:t xml:space="preserve"> </w:t>
      </w:r>
      <m:oMath>
        <m:sSub>
          <m:e>
            <m:r>
              <m:t>s</m:t>
            </m:r>
          </m:e>
          <m:sub>
            <m:r>
              <m:t>r</m:t>
            </m:r>
          </m:sub>
        </m:sSub>
        <m:r>
          <m:rPr>
            <m:sty m:val="p"/>
          </m:rPr>
          <m:t>=</m:t>
        </m:r>
        <m:r>
          <m:t>0.52</m:t>
        </m:r>
      </m:oMath>
      <w:r>
        <w:t xml:space="preserve">,</w:t>
      </w:r>
      <w:r>
        <w:t xml:space="preserve"> </w:t>
      </w:r>
      <m:oMath>
        <m:sSub>
          <m:e>
            <m:r>
              <m:t>s</m:t>
            </m:r>
          </m:e>
          <m:sub>
            <m:r>
              <m:t>c</m:t>
            </m:r>
          </m:sub>
        </m:sSub>
        <m:r>
          <m:rPr>
            <m:sty m:val="p"/>
          </m:rPr>
          <m:t>=</m:t>
        </m:r>
        <m:r>
          <m:t>0.24</m:t>
        </m:r>
      </m:oMath>
      <w:r>
        <w:t xml:space="preserve">,</w:t>
      </w:r>
      <w:r>
        <w:t xml:space="preserve"> </w:t>
      </w:r>
      <m:oMath>
        <m:sSub>
          <m:e>
            <m:r>
              <m:t>s</m:t>
            </m:r>
          </m:e>
          <m:sub>
            <m:r>
              <m:t>p</m:t>
            </m:r>
          </m:sub>
        </m:sSub>
        <m:r>
          <m:rPr>
            <m:sty m:val="p"/>
          </m:rPr>
          <m:t>=</m:t>
        </m:r>
        <m:r>
          <m:t>0.24</m:t>
        </m:r>
      </m:oMath>
      <w:r>
        <w:t xml:space="preserve"> </w:t>
      </w:r>
      <w:r>
        <w:t xml:space="preserve">(SAARC 2005 Energy Balance for the Maldives).</w:t>
      </w:r>
    </w:p>
    <w:p>
      <w:r>
        <w:pict>
          <v:rect style="width:0;height:1.5pt" o:hralign="center" o:hrstd="t" o:hr="t"/>
        </w:pict>
      </w:r>
    </w:p>
    <w:bookmarkEnd w:id="250"/>
    <w:bookmarkEnd w:id="251"/>
    <w:bookmarkStart w:id="260" w:name="a.3-cost-module"/>
    <w:p>
      <w:pPr>
        <w:pStyle w:val="Heading2"/>
      </w:pPr>
      <w:r>
        <w:t xml:space="preserve">21.3 A.3 Cost Module</w:t>
      </w:r>
    </w:p>
    <w:p>
      <w:pPr>
        <w:pStyle w:val="FirstParagraph"/>
      </w:pPr>
      <w:r>
        <w:t xml:space="preserve">The cost module computes capital expenditure, operating expenditure, fuel costs, and generation output for each technology across the analysis horizon. Solar PV and battery costs incorporate both learning-curve-driven cost declines and climate adaptation premiums, while diesel costs incorporate the two-part fuel consumption curve validated against island-level operational data. The equations below specify each cost component with its full parameter set.</w:t>
      </w:r>
    </w:p>
    <w:bookmarkStart w:id="252" w:name="eq-c1-solar-pv-capex"/>
    <w:p>
      <w:pPr>
        <w:pStyle w:val="Heading3"/>
      </w:pPr>
      <w:r>
        <w:t xml:space="preserve">21.3.1 EQ-C1: Solar PV CAPEX</w:t>
      </w:r>
    </w:p>
    <w:p>
      <w:pPr>
        <w:pStyle w:val="FirstParagraph"/>
      </w:pPr>
      <m:oMathPara>
        <m:oMathParaPr>
          <m:jc m:val="center"/>
        </m:oMathParaPr>
        <m:oMath>
          <m:sSub>
            <m:e>
              <m:r>
                <m:rPr>
                  <m:nor/>
                  <m:sty m:val="p"/>
                </m:rPr>
                <m:t>CAPEX</m:t>
              </m:r>
            </m:e>
            <m:sub>
              <m:r>
                <m:rPr>
                  <m:nor/>
                  <m:sty m:val="p"/>
                </m:rPr>
                <m:t>solar</m:t>
              </m:r>
            </m:sub>
          </m:sSub>
          <m:d>
            <m:dPr>
              <m:begChr m:val="("/>
              <m:sepChr m:val=""/>
              <m:endChr m:val=")"/>
              <m:grow/>
            </m:dPr>
            <m:e>
              <m:r>
                <m:t>t</m:t>
              </m:r>
            </m:e>
          </m:d>
          <m:r>
            <m:rPr>
              <m:sty m:val="p"/>
            </m:rPr>
            <m:t>=</m:t>
          </m:r>
          <m:sSub>
            <m:e>
              <m:r>
                <m:t>C</m:t>
              </m:r>
            </m:e>
            <m:sub>
              <m:r>
                <m:rPr>
                  <m:nor/>
                  <m:sty m:val="p"/>
                </m:rPr>
                <m:t>solar</m:t>
              </m:r>
            </m:sub>
          </m:sSub>
          <m:r>
            <m:rPr>
              <m:sty m:val="p"/>
            </m:rPr>
            <m:t>×</m:t>
          </m:r>
          <m:sSup>
            <m:e>
              <m:d>
                <m:dPr>
                  <m:begChr m:val="("/>
                  <m:sepChr m:val=""/>
                  <m:endChr m:val=")"/>
                  <m:grow/>
                </m:dPr>
                <m:e>
                  <m:r>
                    <m:t>1</m:t>
                  </m:r>
                  <m:r>
                    <m:rPr>
                      <m:sty m:val="p"/>
                    </m:rPr>
                    <m:t>−</m:t>
                  </m:r>
                  <m:sSub>
                    <m:e>
                      <m:r>
                        <m:t>δ</m:t>
                      </m:r>
                    </m:e>
                    <m:sub>
                      <m:r>
                        <m:t>s</m:t>
                      </m:r>
                    </m:sub>
                  </m:sSub>
                </m:e>
              </m:d>
            </m:e>
            <m:sup>
              <m:r>
                <m:t>t</m:t>
              </m:r>
              <m:r>
                <m:rPr>
                  <m:sty m:val="p"/>
                </m:rPr>
                <m:t>−</m:t>
              </m:r>
              <m:sSub>
                <m:e>
                  <m:r>
                    <m:t>t</m:t>
                  </m:r>
                </m:e>
                <m:sub>
                  <m:r>
                    <m:t>0</m:t>
                  </m:r>
                </m:sub>
              </m:sSub>
            </m:sup>
          </m:sSup>
          <m:r>
            <m:rPr>
              <m:sty m:val="p"/>
            </m:rPr>
            <m:t>×</m:t>
          </m:r>
          <m:sSub>
            <m:e>
              <m:r>
                <m:t>Q</m:t>
              </m:r>
            </m:e>
            <m:sub>
              <m:r>
                <m:rPr>
                  <m:nor/>
                  <m:sty m:val="p"/>
                </m:rPr>
                <m:t>kW</m:t>
              </m:r>
            </m:sub>
          </m:sSub>
          <m:r>
            <m:rPr>
              <m:sty m:val="p"/>
            </m:rPr>
            <m:t>×</m:t>
          </m:r>
          <m:d>
            <m:dPr>
              <m:begChr m:val="("/>
              <m:sepChr m:val=""/>
              <m:endChr m:val=")"/>
              <m:grow/>
            </m:dPr>
            <m:e>
              <m:r>
                <m:t>1</m:t>
              </m:r>
              <m:r>
                <m:rPr>
                  <m:sty m:val="p"/>
                </m:rPr>
                <m:t>+</m:t>
              </m:r>
              <m:r>
                <m:t>α</m:t>
              </m:r>
            </m:e>
          </m:d>
        </m:oMath>
      </m:oMathPara>
    </w:p>
    <w:p>
      <w:pPr>
        <w:pStyle w:val="FirstParagraph"/>
      </w:pPr>
      <w:r>
        <w:t xml:space="preserve">where</w:t>
      </w:r>
      <w:r>
        <w:t xml:space="preserve"> </w:t>
      </w:r>
      <m:oMath>
        <m:sSub>
          <m:e>
            <m:r>
              <m:t>C</m:t>
            </m:r>
          </m:e>
          <m:sub>
            <m:r>
              <m:rPr>
                <m:nor/>
                <m:sty m:val="p"/>
              </m:rPr>
              <m:t>solar</m:t>
            </m:r>
          </m:sub>
        </m:sSub>
      </m:oMath>
      <w:r>
        <w:t xml:space="preserve"> </w:t>
      </w:r>
      <w:r>
        <w:t xml:space="preserve">= initial CAPEX ($/kW),</w:t>
      </w:r>
      <w:r>
        <w:t xml:space="preserve"> </w:t>
      </w:r>
      <m:oMath>
        <m:sSub>
          <m:e>
            <m:r>
              <m:t>δ</m:t>
            </m:r>
          </m:e>
          <m:sub>
            <m:r>
              <m:t>s</m:t>
            </m:r>
          </m:sub>
        </m:sSub>
      </m:oMath>
      <w:r>
        <w:t xml:space="preserve"> </w:t>
      </w:r>
      <w:r>
        <w:t xml:space="preserve">= annual cost decline rate, and</w:t>
      </w:r>
      <w:r>
        <w:t xml:space="preserve"> </w:t>
      </w:r>
      <m:oMath>
        <m:r>
          <m:t>α</m:t>
        </m:r>
      </m:oMath>
      <w:r>
        <w:t xml:space="preserve"> </w:t>
      </w:r>
      <w:r>
        <w:t xml:space="preserve">= climate adaptation premium (7.5%).</w:t>
      </w:r>
    </w:p>
    <w:bookmarkEnd w:id="252"/>
    <w:bookmarkStart w:id="253" w:name="Xcf10dc66280de4bf2de66936e56c084b3660bf0"/>
    <w:p>
      <w:pPr>
        <w:pStyle w:val="Heading3"/>
      </w:pPr>
      <w:r>
        <w:t xml:space="preserve">21.3.2 EQ-C2: Solar PV Generation (Temperature Derating + Degradation)</w:t>
      </w:r>
    </w:p>
    <w:p>
      <w:pPr>
        <w:pStyle w:val="FirstParagraph"/>
      </w:pPr>
      <m:oMathPara>
        <m:oMathParaPr>
          <m:jc m:val="center"/>
        </m:oMathParaPr>
        <m:oMath>
          <m:sSub>
            <m:e>
              <m:r>
                <m:t>G</m:t>
              </m:r>
            </m:e>
            <m:sub>
              <m:r>
                <m:rPr>
                  <m:nor/>
                  <m:sty m:val="p"/>
                </m:rPr>
                <m:t>solar</m:t>
              </m:r>
            </m:sub>
          </m:sSub>
          <m:d>
            <m:dPr>
              <m:begChr m:val="("/>
              <m:sepChr m:val=""/>
              <m:endChr m:val=")"/>
              <m:grow/>
            </m:dPr>
            <m:e>
              <m:r>
                <m:t>t</m:t>
              </m:r>
            </m:e>
          </m:d>
          <m:r>
            <m:rPr>
              <m:sty m:val="p"/>
            </m:rPr>
            <m:t>=</m:t>
          </m:r>
          <m:sSub>
            <m:e>
              <m:r>
                <m:t>Q</m:t>
              </m:r>
            </m:e>
            <m:sub>
              <m:r>
                <m:rPr>
                  <m:nor/>
                  <m:sty m:val="p"/>
                </m:rPr>
                <m:t>MW</m:t>
              </m:r>
            </m:sub>
          </m:sSub>
          <m:r>
            <m:rPr>
              <m:sty m:val="p"/>
            </m:rPr>
            <m:t>×</m:t>
          </m:r>
          <m:r>
            <m:t>8760</m:t>
          </m:r>
          <m:r>
            <m:rPr>
              <m:sty m:val="p"/>
            </m:rPr>
            <m:t>×</m:t>
          </m:r>
          <m:r>
            <m:t>C</m:t>
          </m:r>
          <m:r>
            <m:t>F</m:t>
          </m:r>
          <m:r>
            <m:rPr>
              <m:sty m:val="p"/>
            </m:rPr>
            <m:t>×</m:t>
          </m:r>
          <m:sSub>
            <m:e>
              <m:r>
                <m:t>f</m:t>
              </m:r>
            </m:e>
            <m:sub>
              <m:r>
                <m:t>T</m:t>
              </m:r>
            </m:sub>
          </m:sSub>
          <m:r>
            <m:rPr>
              <m:sty m:val="p"/>
            </m:rPr>
            <m:t>×</m:t>
          </m:r>
          <m:sSub>
            <m:e>
              <m:r>
                <m:t>f</m:t>
              </m:r>
            </m:e>
            <m:sub>
              <m:r>
                <m:t>D</m:t>
              </m:r>
            </m:sub>
          </m:sSub>
          <m:d>
            <m:dPr>
              <m:begChr m:val="("/>
              <m:sepChr m:val=""/>
              <m:endChr m:val=")"/>
              <m:grow/>
            </m:dPr>
            <m:e>
              <m:r>
                <m:t>t</m:t>
              </m:r>
            </m:e>
          </m:d>
        </m:oMath>
      </m:oMathPara>
    </w:p>
    <w:p>
      <w:pPr>
        <w:pStyle w:val="FirstParagraph"/>
      </w:pPr>
      <w:r>
        <w:t xml:space="preserve">Temperature derating:</w:t>
      </w:r>
    </w:p>
    <w:p>
      <w:pPr>
        <w:pStyle w:val="BodyText"/>
      </w:pPr>
      <m:oMathPara>
        <m:oMathParaPr>
          <m:jc m:val="center"/>
        </m:oMathParaPr>
        <m:oMath>
          <m:sSub>
            <m:e>
              <m:r>
                <m:t>T</m:t>
              </m:r>
            </m:e>
            <m:sub>
              <m:r>
                <m:rPr>
                  <m:nor/>
                  <m:sty m:val="p"/>
                </m:rPr>
                <m:t>cell</m:t>
              </m:r>
            </m:sub>
          </m:sSub>
          <m:r>
            <m:rPr>
              <m:sty m:val="p"/>
            </m:rPr>
            <m:t>=</m:t>
          </m:r>
          <m:sSub>
            <m:e>
              <m:r>
                <m:t>T</m:t>
              </m:r>
            </m:e>
            <m:sub>
              <m:r>
                <m:rPr>
                  <m:nor/>
                  <m:sty m:val="p"/>
                </m:rPr>
                <m:t>amb</m:t>
              </m:r>
            </m:sub>
          </m:sSub>
          <m:r>
            <m:rPr>
              <m:sty m:val="p"/>
            </m:rPr>
            <m:t>+</m:t>
          </m:r>
          <m:sSub>
            <m:e>
              <m:r>
                <m:t>k</m:t>
              </m:r>
            </m:e>
            <m:sub>
              <m:r>
                <m:rPr>
                  <m:nor/>
                  <m:sty m:val="p"/>
                </m:rPr>
                <m:t>NOCT</m:t>
              </m:r>
            </m:sub>
          </m:sSub>
          <m:r>
            <m:rPr>
              <m:sty m:val="p"/>
            </m:rPr>
            <m:t>×</m:t>
          </m:r>
          <m:f>
            <m:fPr>
              <m:type m:val="bar"/>
            </m:fPr>
            <m:num>
              <m:r>
                <m:t>G</m:t>
              </m:r>
              <m:r>
                <m:t>H</m:t>
              </m:r>
              <m:r>
                <m:t>I</m:t>
              </m:r>
            </m:num>
            <m:den>
              <m:r>
                <m:t>24</m:t>
              </m:r>
            </m:den>
          </m:f>
        </m:oMath>
      </m:oMathPara>
    </w:p>
    <w:p>
      <w:pPr>
        <w:pStyle w:val="FirstParagraph"/>
      </w:pPr>
      <m:oMathPara>
        <m:oMathParaPr>
          <m:jc m:val="center"/>
        </m:oMathParaPr>
        <m:oMath>
          <m:sSub>
            <m:e>
              <m:r>
                <m:t>f</m:t>
              </m:r>
            </m:e>
            <m:sub>
              <m:r>
                <m:t>T</m:t>
              </m:r>
            </m:sub>
          </m:sSub>
          <m:r>
            <m:rPr>
              <m:sty m:val="p"/>
            </m:rPr>
            <m:t>=</m:t>
          </m:r>
          <m:r>
            <m:rPr>
              <m:sty m:val="p"/>
            </m:rPr>
            <m:t>max</m:t>
          </m:r>
          <m:d>
            <m:dPr>
              <m:begChr m:val="("/>
              <m:sepChr m:val=""/>
              <m:endChr m:val=")"/>
              <m:grow/>
            </m:dPr>
            <m:e>
              <m:r>
                <m:t>0</m:t>
              </m:r>
              <m:r>
                <m:rPr>
                  <m:sty m:val="p"/>
                </m:rPr>
                <m:t>,</m:t>
              </m:r>
              <m:r>
                <m:t> </m:t>
              </m:r>
              <m:r>
                <m:t>1</m:t>
              </m:r>
              <m:r>
                <m:rPr>
                  <m:sty m:val="p"/>
                </m:rPr>
                <m:t>−</m:t>
              </m:r>
              <m:sSub>
                <m:e>
                  <m:r>
                    <m:t>k</m:t>
                  </m:r>
                </m:e>
                <m:sub>
                  <m:r>
                    <m:t>t</m:t>
                  </m:r>
                </m:sub>
              </m:sSub>
              <m:r>
                <m:rPr>
                  <m:sty m:val="p"/>
                </m:rPr>
                <m:t>×</m:t>
              </m:r>
              <m:d>
                <m:dPr>
                  <m:begChr m:val="("/>
                  <m:sepChr m:val=""/>
                  <m:endChr m:val=")"/>
                  <m:grow/>
                </m:dPr>
                <m:e>
                  <m:sSub>
                    <m:e>
                      <m:r>
                        <m:t>T</m:t>
                      </m:r>
                    </m:e>
                    <m:sub>
                      <m:r>
                        <m:rPr>
                          <m:nor/>
                          <m:sty m:val="p"/>
                        </m:rPr>
                        <m:t>cell</m:t>
                      </m:r>
                    </m:sub>
                  </m:sSub>
                  <m:r>
                    <m:rPr>
                      <m:sty m:val="p"/>
                    </m:rPr>
                    <m:t>−</m:t>
                  </m:r>
                  <m:r>
                    <m:t>25</m:t>
                  </m:r>
                </m:e>
              </m:d>
            </m:e>
          </m:d>
        </m:oMath>
      </m:oMathPara>
    </w:p>
    <w:p>
      <w:pPr>
        <w:pStyle w:val="FirstParagraph"/>
      </w:pPr>
      <w:r>
        <w:t xml:space="preserve">Annual degradation:</w:t>
      </w:r>
    </w:p>
    <w:p>
      <w:pPr>
        <w:pStyle w:val="BodyText"/>
      </w:pPr>
      <m:oMathPara>
        <m:oMathParaPr>
          <m:jc m:val="center"/>
        </m:oMathParaPr>
        <m:oMath>
          <m:sSub>
            <m:e>
              <m:r>
                <m:t>f</m:t>
              </m:r>
            </m:e>
            <m:sub>
              <m:r>
                <m:t>D</m:t>
              </m:r>
            </m:sub>
          </m:sSub>
          <m:d>
            <m:dPr>
              <m:begChr m:val="("/>
              <m:sepChr m:val=""/>
              <m:endChr m:val=")"/>
              <m:grow/>
            </m:dPr>
            <m:e>
              <m:r>
                <m:t>t</m:t>
              </m:r>
            </m:e>
          </m:d>
          <m:r>
            <m:rPr>
              <m:sty m:val="p"/>
            </m:rPr>
            <m:t>=</m:t>
          </m:r>
          <m:sSup>
            <m:e>
              <m:d>
                <m:dPr>
                  <m:begChr m:val="("/>
                  <m:sepChr m:val=""/>
                  <m:endChr m:val=")"/>
                  <m:grow/>
                </m:dPr>
                <m:e>
                  <m:r>
                    <m:t>1</m:t>
                  </m:r>
                  <m:r>
                    <m:rPr>
                      <m:sty m:val="p"/>
                    </m:rPr>
                    <m:t>−</m:t>
                  </m:r>
                  <m:r>
                    <m:t>d</m:t>
                  </m:r>
                </m:e>
              </m:d>
            </m:e>
            <m:sup>
              <m:r>
                <m:t>t</m:t>
              </m:r>
              <m:r>
                <m:rPr>
                  <m:sty m:val="p"/>
                </m:rPr>
                <m:t>−</m:t>
              </m:r>
              <m:sSub>
                <m:e>
                  <m:r>
                    <m:t>t</m:t>
                  </m:r>
                </m:e>
                <m:sub>
                  <m:r>
                    <m:rPr>
                      <m:nor/>
                      <m:sty m:val="p"/>
                    </m:rPr>
                    <m:t>install</m:t>
                  </m:r>
                </m:sub>
              </m:sSub>
            </m:sup>
          </m:sSup>
        </m:oMath>
      </m:oMathPara>
    </w:p>
    <w:p>
      <w:pPr>
        <w:pStyle w:val="FirstParagraph"/>
      </w:pPr>
      <w:r>
        <w:t xml:space="preserve">where</w:t>
      </w:r>
      <w:r>
        <w:t xml:space="preserve"> </w:t>
      </w:r>
      <m:oMath>
        <m:sSub>
          <m:e>
            <m:r>
              <m:t>k</m:t>
            </m:r>
          </m:e>
          <m:sub>
            <m:r>
              <m:t>t</m:t>
            </m:r>
          </m:sub>
        </m:sSub>
        <m:r>
          <m:rPr>
            <m:sty m:val="p"/>
          </m:rPr>
          <m:t>=</m:t>
        </m:r>
        <m:r>
          <m:t>0.005</m:t>
        </m:r>
      </m:oMath>
      <w:r>
        <w:t xml:space="preserve"> </w:t>
      </w:r>
      <w:r>
        <w:t xml:space="preserve">$/°C (IEC 61215),</w:t>
      </w:r>
      <w:r>
        <w:t xml:space="preserve"> </w:t>
      </w:r>
      <m:oMath>
        <m:sSub>
          <m:e>
            <m:r>
              <m:t>k</m:t>
            </m:r>
          </m:e>
          <m:sub>
            <m:r>
              <m:rPr>
                <m:nor/>
                <m:sty m:val="p"/>
              </m:rPr>
              <m:t>NOCT</m:t>
            </m:r>
          </m:sub>
        </m:sSub>
        <m:r>
          <m:rPr>
            <m:sty m:val="p"/>
          </m:rPr>
          <m:t>=</m:t>
        </m:r>
        <m:r>
          <m:t>25.6</m:t>
        </m:r>
      </m:oMath>
      <w:r>
        <w:t xml:space="preserve"> </w:t>
      </w:r>
      <w:r>
        <w:t xml:space="preserve">(OnSSET), and</w:t>
      </w:r>
      <w:r>
        <w:t xml:space="preserve"> </w:t>
      </w:r>
      <m:oMath>
        <m:r>
          <m:t>d</m:t>
        </m:r>
        <m:r>
          <m:rPr>
            <m:sty m:val="p"/>
          </m:rPr>
          <m:t>=</m:t>
        </m:r>
        <m:r>
          <m:t>0.005</m:t>
        </m:r>
      </m:oMath>
      <w:r>
        <w:t xml:space="preserve">/yr (Jordan &amp; Kurtz 2013).</w:t>
      </w:r>
    </w:p>
    <w:bookmarkEnd w:id="253"/>
    <w:bookmarkStart w:id="254" w:name="eq-c3-battery-capex"/>
    <w:p>
      <w:pPr>
        <w:pStyle w:val="Heading3"/>
      </w:pPr>
      <w:r>
        <w:t xml:space="preserve">21.3.3 EQ-C3: Battery CAPEX</w:t>
      </w:r>
    </w:p>
    <w:p>
      <w:pPr>
        <w:pStyle w:val="FirstParagraph"/>
      </w:pPr>
      <m:oMathPara>
        <m:oMathParaPr>
          <m:jc m:val="center"/>
        </m:oMathParaPr>
        <m:oMath>
          <m:sSub>
            <m:e>
              <m:r>
                <m:rPr>
                  <m:nor/>
                  <m:sty m:val="p"/>
                </m:rPr>
                <m:t>CAPEX</m:t>
              </m:r>
            </m:e>
            <m:sub>
              <m:r>
                <m:rPr>
                  <m:nor/>
                  <m:sty m:val="p"/>
                </m:rPr>
                <m:t>batt</m:t>
              </m:r>
            </m:sub>
          </m:sSub>
          <m:d>
            <m:dPr>
              <m:begChr m:val="("/>
              <m:sepChr m:val=""/>
              <m:endChr m:val=")"/>
              <m:grow/>
            </m:dPr>
            <m:e>
              <m:r>
                <m:t>t</m:t>
              </m:r>
            </m:e>
          </m:d>
          <m:r>
            <m:rPr>
              <m:sty m:val="p"/>
            </m:rPr>
            <m:t>=</m:t>
          </m:r>
          <m:sSub>
            <m:e>
              <m:r>
                <m:t>C</m:t>
              </m:r>
            </m:e>
            <m:sub>
              <m:r>
                <m:rPr>
                  <m:nor/>
                  <m:sty m:val="p"/>
                </m:rPr>
                <m:t>batt</m:t>
              </m:r>
            </m:sub>
          </m:sSub>
          <m:r>
            <m:rPr>
              <m:sty m:val="p"/>
            </m:rPr>
            <m:t>×</m:t>
          </m:r>
          <m:sSup>
            <m:e>
              <m:d>
                <m:dPr>
                  <m:begChr m:val="("/>
                  <m:sepChr m:val=""/>
                  <m:endChr m:val=")"/>
                  <m:grow/>
                </m:dPr>
                <m:e>
                  <m:r>
                    <m:t>1</m:t>
                  </m:r>
                  <m:r>
                    <m:rPr>
                      <m:sty m:val="p"/>
                    </m:rPr>
                    <m:t>−</m:t>
                  </m:r>
                  <m:sSub>
                    <m:e>
                      <m:r>
                        <m:t>δ</m:t>
                      </m:r>
                    </m:e>
                    <m:sub>
                      <m:r>
                        <m:t>b</m:t>
                      </m:r>
                    </m:sub>
                  </m:sSub>
                </m:e>
              </m:d>
            </m:e>
            <m:sup>
              <m:r>
                <m:t>t</m:t>
              </m:r>
              <m:r>
                <m:rPr>
                  <m:sty m:val="p"/>
                </m:rPr>
                <m:t>−</m:t>
              </m:r>
              <m:sSub>
                <m:e>
                  <m:r>
                    <m:t>t</m:t>
                  </m:r>
                </m:e>
                <m:sub>
                  <m:r>
                    <m:t>0</m:t>
                  </m:r>
                </m:sub>
              </m:sSub>
            </m:sup>
          </m:sSup>
          <m:r>
            <m:rPr>
              <m:sty m:val="p"/>
            </m:rPr>
            <m:t>×</m:t>
          </m:r>
          <m:sSub>
            <m:e>
              <m:r>
                <m:t>Q</m:t>
              </m:r>
            </m:e>
            <m:sub>
              <m:r>
                <m:rPr>
                  <m:nor/>
                  <m:sty m:val="p"/>
                </m:rPr>
                <m:t>kWh</m:t>
              </m:r>
            </m:sub>
          </m:sSub>
          <m:r>
            <m:rPr>
              <m:sty m:val="p"/>
            </m:rPr>
            <m:t>×</m:t>
          </m:r>
          <m:d>
            <m:dPr>
              <m:begChr m:val="("/>
              <m:sepChr m:val=""/>
              <m:endChr m:val=")"/>
              <m:grow/>
            </m:dPr>
            <m:e>
              <m:r>
                <m:t>1</m:t>
              </m:r>
              <m:r>
                <m:rPr>
                  <m:sty m:val="p"/>
                </m:rPr>
                <m:t>+</m:t>
              </m:r>
              <m:r>
                <m:t>α</m:t>
              </m:r>
            </m:e>
          </m:d>
        </m:oMath>
      </m:oMathPara>
    </w:p>
    <w:p>
      <w:pPr>
        <w:pStyle w:val="FirstParagraph"/>
      </w:pPr>
      <w:r>
        <w:t xml:space="preserve">where</w:t>
      </w:r>
      <w:r>
        <w:t xml:space="preserve"> </w:t>
      </w:r>
      <m:oMath>
        <m:sSub>
          <m:e>
            <m:r>
              <m:t>C</m:t>
            </m:r>
          </m:e>
          <m:sub>
            <m:r>
              <m:rPr>
                <m:nor/>
                <m:sty m:val="p"/>
              </m:rPr>
              <m:t>batt</m:t>
            </m:r>
          </m:sub>
        </m:sSub>
      </m:oMath>
      <w:r>
        <w:t xml:space="preserve"> </w:t>
      </w:r>
      <w:r>
        <w:t xml:space="preserve">= battery CAPEX ($/kWh),</w:t>
      </w:r>
      <w:r>
        <w:t xml:space="preserve"> </w:t>
      </w:r>
      <m:oMath>
        <m:sSub>
          <m:e>
            <m:r>
              <m:t>δ</m:t>
            </m:r>
          </m:e>
          <m:sub>
            <m:r>
              <m:t>b</m:t>
            </m:r>
          </m:sub>
        </m:sSub>
      </m:oMath>
      <w:r>
        <w:t xml:space="preserve"> </w:t>
      </w:r>
      <w:r>
        <w:t xml:space="preserve">= annual cost decline rate.</w:t>
      </w:r>
    </w:p>
    <w:bookmarkEnd w:id="254"/>
    <w:bookmarkStart w:id="255" w:name="eq-c4-diesel-fuel-cost-two-part-curve"/>
    <w:p>
      <w:pPr>
        <w:pStyle w:val="Heading3"/>
      </w:pPr>
      <w:r>
        <w:t xml:space="preserve">21.3.4 EQ-C4: Diesel Fuel Cost (Two-Part Curve)</w:t>
      </w:r>
    </w:p>
    <w:p>
      <w:pPr>
        <w:pStyle w:val="FirstParagraph"/>
      </w:pPr>
      <m:oMathPara>
        <m:oMathParaPr>
          <m:jc m:val="center"/>
        </m:oMathParaPr>
        <m:oMath>
          <m:r>
            <m:t>F</m:t>
          </m:r>
          <m:d>
            <m:dPr>
              <m:begChr m:val="("/>
              <m:sepChr m:val=""/>
              <m:endChr m:val=")"/>
              <m:grow/>
            </m:dPr>
            <m:e>
              <m:r>
                <m:t>t</m:t>
              </m:r>
            </m:e>
          </m:d>
          <m:r>
            <m:rPr>
              <m:sty m:val="p"/>
            </m:rPr>
            <m:t>=</m:t>
          </m:r>
          <m:r>
            <m:t>L</m:t>
          </m:r>
          <m:d>
            <m:dPr>
              <m:begChr m:val="("/>
              <m:sepChr m:val=""/>
              <m:endChr m:val=")"/>
              <m:grow/>
            </m:dPr>
            <m:e>
              <m:r>
                <m:t>t</m:t>
              </m:r>
            </m:e>
          </m:d>
          <m:r>
            <m:rPr>
              <m:sty m:val="p"/>
            </m:rPr>
            <m:t>×</m:t>
          </m:r>
          <m:sSub>
            <m:e>
              <m:r>
                <m:t>P</m:t>
              </m:r>
            </m:e>
            <m:sub>
              <m:r>
                <m:t>f</m:t>
              </m:r>
            </m:sub>
          </m:sSub>
          <m:d>
            <m:dPr>
              <m:begChr m:val="("/>
              <m:sepChr m:val=""/>
              <m:endChr m:val=")"/>
              <m:grow/>
            </m:dPr>
            <m:e>
              <m:r>
                <m:t>t</m:t>
              </m:r>
            </m:e>
          </m:d>
        </m:oMath>
      </m:oMathPara>
    </w:p>
    <w:p>
      <w:pPr>
        <w:pStyle w:val="FirstParagraph"/>
      </w:pPr>
      <w:r>
        <w:t xml:space="preserve">Fuel consumption uses the two-part Mandelli (2016) fuel curve:</w:t>
      </w:r>
    </w:p>
    <w:p>
      <w:pPr>
        <w:pStyle w:val="BodyText"/>
      </w:pPr>
      <m:oMathPara>
        <m:oMathParaPr>
          <m:jc m:val="center"/>
        </m:oMathParaPr>
        <m:oMath>
          <m:r>
            <m:t>L</m:t>
          </m:r>
          <m:d>
            <m:dPr>
              <m:begChr m:val="("/>
              <m:sepChr m:val=""/>
              <m:endChr m:val=")"/>
              <m:grow/>
            </m:dPr>
            <m:e>
              <m:r>
                <m:t>t</m:t>
              </m:r>
            </m:e>
          </m:d>
          <m:r>
            <m:rPr>
              <m:sty m:val="p"/>
            </m:rPr>
            <m:t>=</m:t>
          </m:r>
          <m:sSub>
            <m:e>
              <m:r>
                <m:t>Q</m:t>
              </m:r>
            </m:e>
            <m:sub>
              <m:r>
                <m:rPr>
                  <m:nor/>
                  <m:sty m:val="p"/>
                </m:rPr>
                <m:t>kW</m:t>
              </m:r>
            </m:sub>
          </m:sSub>
          <m:r>
            <m:rPr>
              <m:sty m:val="p"/>
            </m:rPr>
            <m:t>×</m:t>
          </m:r>
          <m:sSub>
            <m:e>
              <m:r>
                <m:t>c</m:t>
              </m:r>
            </m:e>
            <m:sub>
              <m:r>
                <m:rPr>
                  <m:nor/>
                  <m:sty m:val="p"/>
                </m:rPr>
                <m:t>idle</m:t>
              </m:r>
            </m:sub>
          </m:sSub>
          <m:r>
            <m:rPr>
              <m:sty m:val="p"/>
            </m:rPr>
            <m:t>×</m:t>
          </m:r>
          <m:r>
            <m:t>h</m:t>
          </m:r>
          <m:r>
            <m:rPr>
              <m:sty m:val="p"/>
            </m:rPr>
            <m:t>+</m:t>
          </m:r>
          <m:sSub>
            <m:e>
              <m:r>
                <m:t>G</m:t>
              </m:r>
            </m:e>
            <m:sub>
              <m:r>
                <m:rPr>
                  <m:nor/>
                  <m:sty m:val="p"/>
                </m:rPr>
                <m:t>kWh</m:t>
              </m:r>
            </m:sub>
          </m:sSub>
          <m:r>
            <m:rPr>
              <m:sty m:val="p"/>
            </m:rPr>
            <m:t>×</m:t>
          </m:r>
          <m:sSub>
            <m:e>
              <m:r>
                <m:t>c</m:t>
              </m:r>
            </m:e>
            <m:sub>
              <m:r>
                <m:rPr>
                  <m:nor/>
                  <m:sty m:val="p"/>
                </m:rPr>
                <m:t>prop</m:t>
              </m:r>
            </m:sub>
          </m:sSub>
        </m:oMath>
      </m:oMathPara>
    </w:p>
    <w:p>
      <w:pPr>
        <w:pStyle w:val="FirstParagraph"/>
      </w:pPr>
      <w:r>
        <w:t xml:space="preserve">where</w:t>
      </w:r>
      <w:r>
        <w:t xml:space="preserve"> </w:t>
      </w:r>
      <m:oMath>
        <m:sSub>
          <m:e>
            <m:r>
              <m:t>c</m:t>
            </m:r>
          </m:e>
          <m:sub>
            <m:r>
              <m:rPr>
                <m:nor/>
                <m:sty m:val="p"/>
              </m:rPr>
              <m:t>idle</m:t>
            </m:r>
          </m:sub>
        </m:sSub>
        <m:r>
          <m:rPr>
            <m:sty m:val="p"/>
          </m:rPr>
          <m:t>=</m:t>
        </m:r>
        <m:r>
          <m:t>0.08145</m:t>
        </m:r>
      </m:oMath>
      <w:r>
        <w:t xml:space="preserve"> </w:t>
      </w:r>
      <w:r>
        <w:t xml:space="preserve">L/hr/kW (idle/no-load coefficient) and</w:t>
      </w:r>
      <w:r>
        <w:t xml:space="preserve"> </w:t>
      </w:r>
      <m:oMath>
        <m:sSub>
          <m:e>
            <m:r>
              <m:t>c</m:t>
            </m:r>
          </m:e>
          <m:sub>
            <m:r>
              <m:rPr>
                <m:nor/>
                <m:sty m:val="p"/>
              </m:rPr>
              <m:t>prop</m:t>
            </m:r>
          </m:sub>
        </m:sSub>
        <m:r>
          <m:rPr>
            <m:sty m:val="p"/>
          </m:rPr>
          <m:t>=</m:t>
        </m:r>
        <m:r>
          <m:t>0.246</m:t>
        </m:r>
      </m:oMath>
      <w:r>
        <w:t xml:space="preserve"> </w:t>
      </w:r>
      <w:r>
        <w:t xml:space="preserve">L/kWh (proportional coefficient), following OnSSET L266 (Mandelli 2016).</w:t>
      </w:r>
    </w:p>
    <w:p>
      <w:pPr>
        <w:pStyle w:val="BodyText"/>
      </w:pPr>
      <w:r>
        <w:t xml:space="preserve">Fuel price escalation:</w:t>
      </w:r>
    </w:p>
    <w:p>
      <w:pPr>
        <w:pStyle w:val="BodyText"/>
      </w:pPr>
      <m:oMathPara>
        <m:oMathParaPr>
          <m:jc m:val="center"/>
        </m:oMathParaPr>
        <m:oMath>
          <m:sSub>
            <m:e>
              <m:r>
                <m:t>P</m:t>
              </m:r>
            </m:e>
            <m:sub>
              <m:r>
                <m:t>f</m:t>
              </m:r>
            </m:sub>
          </m:sSub>
          <m:d>
            <m:dPr>
              <m:begChr m:val="("/>
              <m:sepChr m:val=""/>
              <m:endChr m:val=")"/>
              <m:grow/>
            </m:dPr>
            <m:e>
              <m:r>
                <m:t>t</m:t>
              </m:r>
            </m:e>
          </m:d>
          <m:r>
            <m:rPr>
              <m:sty m:val="p"/>
            </m:rPr>
            <m:t>=</m:t>
          </m:r>
          <m:sSub>
            <m:e>
              <m:r>
                <m:t>P</m:t>
              </m:r>
            </m:e>
            <m:sub>
              <m:r>
                <m:t>0</m:t>
              </m:r>
            </m:sub>
          </m:sSub>
          <m:r>
            <m:rPr>
              <m:sty m:val="p"/>
            </m:rPr>
            <m:t>×</m:t>
          </m:r>
          <m:sSup>
            <m:e>
              <m:d>
                <m:dPr>
                  <m:begChr m:val="("/>
                  <m:sepChr m:val=""/>
                  <m:endChr m:val=")"/>
                  <m:grow/>
                </m:dPr>
                <m:e>
                  <m:r>
                    <m:t>1</m:t>
                  </m:r>
                  <m:r>
                    <m:rPr>
                      <m:sty m:val="p"/>
                    </m:rPr>
                    <m:t>+</m:t>
                  </m:r>
                  <m:sSub>
                    <m:e>
                      <m:r>
                        <m:t>e</m:t>
                      </m:r>
                    </m:e>
                    <m:sub>
                      <m:r>
                        <m:t>f</m:t>
                      </m:r>
                    </m:sub>
                  </m:sSub>
                </m:e>
              </m:d>
            </m:e>
            <m:sup>
              <m:r>
                <m:t>t</m:t>
              </m:r>
              <m:r>
                <m:rPr>
                  <m:sty m:val="p"/>
                </m:rPr>
                <m:t>−</m:t>
              </m:r>
              <m:sSub>
                <m:e>
                  <m:r>
                    <m:t>t</m:t>
                  </m:r>
                </m:e>
                <m:sub>
                  <m:r>
                    <m:t>0</m:t>
                  </m:r>
                </m:sub>
              </m:sSub>
            </m:sup>
          </m:sSup>
        </m:oMath>
      </m:oMathPara>
    </w:p>
    <w:p>
      <w:pPr>
        <w:pStyle w:val="FirstParagraph"/>
      </w:pPr>
      <w:r>
        <w:t xml:space="preserve">Operating hours:</w:t>
      </w:r>
    </w:p>
    <w:p>
      <w:pPr>
        <w:pStyle w:val="BodyText"/>
      </w:pPr>
      <m:oMathPara>
        <m:oMathParaPr>
          <m:jc m:val="center"/>
        </m:oMathParaPr>
        <m:oMath>
          <m:r>
            <m:t>h</m:t>
          </m:r>
          <m:r>
            <m:rPr>
              <m:sty m:val="p"/>
            </m:rPr>
            <m:t>=</m:t>
          </m:r>
          <m:r>
            <m:rPr>
              <m:sty m:val="p"/>
            </m:rPr>
            <m:t>min</m:t>
          </m:r>
          <m:d>
            <m:dPr>
              <m:begChr m:val="("/>
              <m:sepChr m:val=""/>
              <m:endChr m:val=")"/>
              <m:grow/>
            </m:dPr>
            <m:e>
              <m:r>
                <m:t>8760</m:t>
              </m:r>
              <m:r>
                <m:rPr>
                  <m:sty m:val="p"/>
                </m:rPr>
                <m:t>,</m:t>
              </m:r>
              <m:r>
                <m:t> </m:t>
              </m:r>
              <m:f>
                <m:fPr>
                  <m:type m:val="bar"/>
                </m:fPr>
                <m:num>
                  <m:sSub>
                    <m:e>
                      <m:r>
                        <m:t>G</m:t>
                      </m:r>
                    </m:e>
                    <m:sub>
                      <m:r>
                        <m:rPr>
                          <m:nor/>
                          <m:sty m:val="p"/>
                        </m:rPr>
                        <m:t>kWh</m:t>
                      </m:r>
                    </m:sub>
                  </m:sSub>
                </m:num>
                <m:den>
                  <m:sSub>
                    <m:e>
                      <m:r>
                        <m:t>Q</m:t>
                      </m:r>
                    </m:e>
                    <m:sub>
                      <m:r>
                        <m:rPr>
                          <m:nor/>
                          <m:sty m:val="p"/>
                        </m:rPr>
                        <m:t>kW</m:t>
                      </m:r>
                    </m:sub>
                  </m:sSub>
                  <m:r>
                    <m:rPr>
                      <m:sty m:val="p"/>
                    </m:rPr>
                    <m:t>×</m:t>
                  </m:r>
                  <m:acc>
                    <m:accPr>
                      <m:chr m:val="‾"/>
                    </m:accPr>
                    <m:e>
                      <m:r>
                        <m:t>l</m:t>
                      </m:r>
                    </m:e>
                  </m:acc>
                </m:den>
              </m:f>
            </m:e>
          </m:d>
          <m:r>
            <m:rPr>
              <m:sty m:val="p"/>
            </m:rPr>
            <m:t>,</m:t>
          </m:r>
          <m:r>
            <m:t> </m:t>
          </m:r>
          <m:acc>
            <m:accPr>
              <m:chr m:val="‾"/>
            </m:accPr>
            <m:e>
              <m:r>
                <m:t>l</m:t>
              </m:r>
            </m:e>
          </m:acc>
          <m:r>
            <m:rPr>
              <m:sty m:val="p"/>
            </m:rPr>
            <m:t>=</m:t>
          </m:r>
          <m:f>
            <m:fPr>
              <m:type m:val="bar"/>
            </m:fPr>
            <m:num>
              <m:sSub>
                <m:e>
                  <m:r>
                    <m:t>l</m:t>
                  </m:r>
                </m:e>
                <m:sub>
                  <m:r>
                    <m:rPr>
                      <m:sty m:val="p"/>
                    </m:rPr>
                    <m:t>min</m:t>
                  </m:r>
                </m:sub>
              </m:sSub>
              <m:r>
                <m:rPr>
                  <m:sty m:val="p"/>
                </m:rPr>
                <m:t>+</m:t>
              </m:r>
              <m:r>
                <m:t>1</m:t>
              </m:r>
            </m:num>
            <m:den>
              <m:r>
                <m:t>2</m:t>
              </m:r>
            </m:den>
          </m:f>
        </m:oMath>
      </m:oMathPara>
    </w:p>
    <w:bookmarkEnd w:id="255"/>
    <w:bookmarkStart w:id="256" w:name="eq-c5-td-loss-gross-up"/>
    <w:p>
      <w:pPr>
        <w:pStyle w:val="Heading3"/>
      </w:pPr>
      <w:r>
        <w:t xml:space="preserve">21.3.5 EQ-C5: T&amp;D Loss Gross-Up</w:t>
      </w:r>
    </w:p>
    <w:p>
      <w:pPr>
        <w:pStyle w:val="FirstParagraph"/>
      </w:pPr>
      <m:oMathPara>
        <m:oMathParaPr>
          <m:jc m:val="center"/>
        </m:oMathParaPr>
        <m:oMath>
          <m:sSub>
            <m:e>
              <m:r>
                <m:t>G</m:t>
              </m:r>
            </m:e>
            <m:sub>
              <m:r>
                <m:rPr>
                  <m:nor/>
                  <m:sty m:val="p"/>
                </m:rPr>
                <m:t>gross</m:t>
              </m:r>
            </m:sub>
          </m:sSub>
          <m:r>
            <m:rPr>
              <m:sty m:val="p"/>
            </m:rPr>
            <m:t>=</m:t>
          </m:r>
          <m:f>
            <m:fPr>
              <m:type m:val="bar"/>
            </m:fPr>
            <m:num>
              <m:sSub>
                <m:e>
                  <m:r>
                    <m:t>D</m:t>
                  </m:r>
                </m:e>
                <m:sub>
                  <m:r>
                    <m:rPr>
                      <m:nor/>
                      <m:sty m:val="p"/>
                    </m:rPr>
                    <m:t>net</m:t>
                  </m:r>
                </m:sub>
              </m:sSub>
            </m:num>
            <m:den>
              <m:d>
                <m:dPr>
                  <m:begChr m:val="("/>
                  <m:sepChr m:val=""/>
                  <m:endChr m:val=")"/>
                  <m:grow/>
                </m:dPr>
                <m:e>
                  <m:r>
                    <m:t>1</m:t>
                  </m:r>
                  <m:r>
                    <m:rPr>
                      <m:sty m:val="p"/>
                    </m:rPr>
                    <m:t>−</m:t>
                  </m:r>
                  <m:sSub>
                    <m:e>
                      <m:r>
                        <m:t>l</m:t>
                      </m:r>
                    </m:e>
                    <m:sub>
                      <m:r>
                        <m:t>d</m:t>
                      </m:r>
                    </m:sub>
                  </m:sSub>
                </m:e>
              </m:d>
              <m:r>
                <m:rPr>
                  <m:sty m:val="p"/>
                </m:rPr>
                <m:t>×</m:t>
              </m:r>
              <m:d>
                <m:dPr>
                  <m:begChr m:val="("/>
                  <m:sepChr m:val=""/>
                  <m:endChr m:val=")"/>
                  <m:grow/>
                </m:dPr>
                <m:e>
                  <m:r>
                    <m:t>1</m:t>
                  </m:r>
                  <m:r>
                    <m:rPr>
                      <m:sty m:val="p"/>
                    </m:rPr>
                    <m:t>−</m:t>
                  </m:r>
                  <m:sSub>
                    <m:e>
                      <m:r>
                        <m:t>l</m:t>
                      </m:r>
                    </m:e>
                    <m:sub>
                      <m:r>
                        <m:t>c</m:t>
                      </m:r>
                    </m:sub>
                  </m:sSub>
                </m:e>
              </m:d>
            </m:den>
          </m:f>
        </m:oMath>
      </m:oMathPara>
    </w:p>
    <w:p>
      <w:pPr>
        <w:pStyle w:val="FirstParagraph"/>
      </w:pPr>
      <w:r>
        <w:t xml:space="preserve">where</w:t>
      </w:r>
      <w:r>
        <w:t xml:space="preserve"> </w:t>
      </w:r>
      <m:oMath>
        <m:sSub>
          <m:e>
            <m:r>
              <m:t>l</m:t>
            </m:r>
          </m:e>
          <m:sub>
            <m:r>
              <m:t>d</m:t>
            </m:r>
          </m:sub>
        </m:sSub>
        <m:r>
          <m:rPr>
            <m:sty m:val="p"/>
          </m:rPr>
          <m:t>=</m:t>
        </m:r>
        <m:r>
          <m:t>0.11</m:t>
        </m:r>
      </m:oMath>
      <w:r>
        <w:t xml:space="preserve"> </w:t>
      </w:r>
      <w:r>
        <w:t xml:space="preserve">(distribution loss, World Bank WDI) and</w:t>
      </w:r>
      <w:r>
        <w:t xml:space="preserve"> </w:t>
      </w:r>
      <m:oMath>
        <m:sSub>
          <m:e>
            <m:r>
              <m:t>l</m:t>
            </m:r>
          </m:e>
          <m:sub>
            <m:r>
              <m:t>c</m:t>
            </m:r>
          </m:sub>
        </m:sSub>
        <m:r>
          <m:rPr>
            <m:sty m:val="p"/>
          </m:rPr>
          <m:t>=</m:t>
        </m:r>
        <m:r>
          <m:t>0.04</m:t>
        </m:r>
      </m:oMath>
      <w:r>
        <w:t xml:space="preserve"> </w:t>
      </w:r>
      <w:r>
        <w:t xml:space="preserve">(HVDC cable loss, Skog et al. CIGRÉ 2010 B1-106). Multiplicative formulation (not additive).</w:t>
      </w:r>
    </w:p>
    <w:bookmarkEnd w:id="256"/>
    <w:bookmarkStart w:id="257" w:name="eq-c6-cable-capex-full-breakdown"/>
    <w:p>
      <w:pPr>
        <w:pStyle w:val="Heading3"/>
      </w:pPr>
      <w:r>
        <w:t xml:space="preserve">21.3.6 EQ-C6: Cable CAPEX (Full Breakdown)</w:t>
      </w:r>
    </w:p>
    <w:p>
      <w:pPr>
        <w:pStyle w:val="FirstParagraph"/>
      </w:pPr>
      <m:oMathPara>
        <m:oMathParaPr>
          <m:jc m:val="center"/>
        </m:oMathParaPr>
        <m:oMath>
          <m:sSub>
            <m:e>
              <m:r>
                <m:rPr>
                  <m:nor/>
                  <m:sty m:val="p"/>
                </m:rPr>
                <m:t>CAPEX</m:t>
              </m:r>
            </m:e>
            <m:sub>
              <m:r>
                <m:rPr>
                  <m:nor/>
                  <m:sty m:val="p"/>
                </m:rPr>
                <m:t>cable</m:t>
              </m:r>
            </m:sub>
          </m:sSub>
          <m:r>
            <m:rPr>
              <m:sty m:val="p"/>
            </m:rPr>
            <m:t>=</m:t>
          </m:r>
          <m:d>
            <m:dPr>
              <m:begChr m:val="["/>
              <m:sepChr m:val=""/>
              <m:endChr m:val="]"/>
              <m:grow/>
            </m:dPr>
            <m:e>
              <m:sSub>
                <m:e>
                  <m:r>
                    <m:t>L</m:t>
                  </m:r>
                </m:e>
                <m:sub>
                  <m:r>
                    <m:rPr>
                      <m:nor/>
                      <m:sty m:val="p"/>
                    </m:rPr>
                    <m:t>km</m:t>
                  </m:r>
                </m:sub>
              </m:sSub>
              <m:r>
                <m:rPr>
                  <m:sty m:val="p"/>
                </m:rPr>
                <m:t>×</m:t>
              </m:r>
              <m:sSub>
                <m:e>
                  <m:r>
                    <m:t>C</m:t>
                  </m:r>
                </m:e>
                <m:sub>
                  <m:r>
                    <m:rPr>
                      <m:nor/>
                      <m:sty m:val="p"/>
                    </m:rPr>
                    <m:t>cable/km</m:t>
                  </m:r>
                </m:sub>
              </m:sSub>
              <m:r>
                <m:rPr>
                  <m:sty m:val="p"/>
                </m:rPr>
                <m:t>+</m:t>
              </m:r>
              <m:sSub>
                <m:e>
                  <m:r>
                    <m:t>C</m:t>
                  </m:r>
                </m:e>
                <m:sub>
                  <m:r>
                    <m:rPr>
                      <m:nor/>
                      <m:sty m:val="p"/>
                    </m:rPr>
                    <m:t>conv/MW</m:t>
                  </m:r>
                </m:sub>
              </m:sSub>
              <m:r>
                <m:rPr>
                  <m:sty m:val="p"/>
                </m:rPr>
                <m:t>×</m:t>
              </m:r>
              <m:sSub>
                <m:e>
                  <m:r>
                    <m:t>P</m:t>
                  </m:r>
                </m:e>
                <m:sub>
                  <m:r>
                    <m:rPr>
                      <m:nor/>
                      <m:sty m:val="p"/>
                    </m:rPr>
                    <m:t>cap</m:t>
                  </m:r>
                </m:sub>
              </m:sSub>
              <m:r>
                <m:rPr>
                  <m:sty m:val="p"/>
                </m:rPr>
                <m:t>+</m:t>
              </m:r>
              <m:sSub>
                <m:e>
                  <m:r>
                    <m:t>C</m:t>
                  </m:r>
                </m:e>
                <m:sub>
                  <m:r>
                    <m:rPr>
                      <m:nor/>
                      <m:sty m:val="p"/>
                    </m:rPr>
                    <m:t>land</m:t>
                  </m:r>
                </m:sub>
              </m:sSub>
              <m:r>
                <m:rPr>
                  <m:sty m:val="p"/>
                </m:rPr>
                <m:t>×</m:t>
              </m:r>
              <m:sSub>
                <m:e>
                  <m:r>
                    <m:t>N</m:t>
                  </m:r>
                </m:e>
                <m:sub>
                  <m:r>
                    <m:rPr>
                      <m:nor/>
                      <m:sty m:val="p"/>
                    </m:rPr>
                    <m:t>land</m:t>
                  </m:r>
                </m:sub>
              </m:sSub>
            </m:e>
          </m:d>
          <m:r>
            <m:rPr>
              <m:sty m:val="p"/>
            </m:rPr>
            <m:t>×</m:t>
          </m:r>
          <m:d>
            <m:dPr>
              <m:begChr m:val="("/>
              <m:sepChr m:val=""/>
              <m:endChr m:val=")"/>
              <m:grow/>
            </m:dPr>
            <m:e>
              <m:r>
                <m:t>1</m:t>
              </m:r>
              <m:r>
                <m:rPr>
                  <m:sty m:val="p"/>
                </m:rPr>
                <m:t>+</m:t>
              </m:r>
              <m:sSub>
                <m:e>
                  <m:r>
                    <m:t>r</m:t>
                  </m:r>
                </m:e>
                <m:sub>
                  <m:r>
                    <m:rPr>
                      <m:nor/>
                      <m:sty m:val="p"/>
                    </m:rPr>
                    <m:t>IDC</m:t>
                  </m:r>
                </m:sub>
              </m:sSub>
            </m:e>
          </m:d>
          <m:r>
            <m:rPr>
              <m:sty m:val="p"/>
            </m:rPr>
            <m:t>+</m:t>
          </m:r>
          <m:sSub>
            <m:e>
              <m:r>
                <m:t>C</m:t>
              </m:r>
            </m:e>
            <m:sub>
              <m:r>
                <m:rPr>
                  <m:nor/>
                  <m:sty m:val="p"/>
                </m:rPr>
                <m:t>grid</m:t>
              </m:r>
            </m:sub>
          </m:sSub>
          <m:r>
            <m:rPr>
              <m:sty m:val="p"/>
            </m:rPr>
            <m:t>×</m:t>
          </m:r>
          <m:d>
            <m:dPr>
              <m:begChr m:val="("/>
              <m:sepChr m:val=""/>
              <m:endChr m:val=")"/>
              <m:grow/>
            </m:dPr>
            <m:e>
              <m:r>
                <m:t>1</m:t>
              </m:r>
              <m:r>
                <m:rPr>
                  <m:sty m:val="p"/>
                </m:rPr>
                <m:t>+</m:t>
              </m:r>
              <m:r>
                <m:t>α</m:t>
              </m:r>
            </m:e>
          </m:d>
        </m:oMath>
      </m:oMathPara>
    </w:p>
    <w:bookmarkEnd w:id="257"/>
    <w:bookmarkStart w:id="258" w:name="eq-c7-ppa-import-cost"/>
    <w:p>
      <w:pPr>
        <w:pStyle w:val="Heading3"/>
      </w:pPr>
      <w:r>
        <w:t xml:space="preserve">21.3.7 EQ-C7: PPA Import Cost</w:t>
      </w:r>
    </w:p>
    <w:p>
      <w:pPr>
        <w:pStyle w:val="FirstParagraph"/>
      </w:pPr>
      <m:oMathPara>
        <m:oMathParaPr>
          <m:jc m:val="center"/>
        </m:oMathParaPr>
        <m:oMath>
          <m:r>
            <m:rPr>
              <m:nor/>
              <m:sty m:val="p"/>
            </m:rPr>
            <m:t>PPA</m:t>
          </m:r>
          <m:d>
            <m:dPr>
              <m:begChr m:val="("/>
              <m:sepChr m:val=""/>
              <m:endChr m:val=")"/>
              <m:grow/>
            </m:dPr>
            <m:e>
              <m:r>
                <m:t>t</m:t>
              </m:r>
            </m:e>
          </m:d>
          <m:r>
            <m:rPr>
              <m:sty m:val="p"/>
            </m:rPr>
            <m:t>=</m:t>
          </m:r>
          <m:sSub>
            <m:e>
              <m:r>
                <m:t>G</m:t>
              </m:r>
            </m:e>
            <m:sub>
              <m:r>
                <m:rPr>
                  <m:nor/>
                  <m:sty m:val="p"/>
                </m:rPr>
                <m:t>import</m:t>
              </m:r>
            </m:sub>
          </m:sSub>
          <m:r>
            <m:rPr>
              <m:sty m:val="p"/>
            </m:rPr>
            <m:t>×</m:t>
          </m:r>
          <m:d>
            <m:dPr>
              <m:begChr m:val="("/>
              <m:sepChr m:val=""/>
              <m:endChr m:val=")"/>
              <m:grow/>
            </m:dPr>
            <m:e>
              <m:sSub>
                <m:e>
                  <m:r>
                    <m:t>P</m:t>
                  </m:r>
                </m:e>
                <m:sub>
                  <m:r>
                    <m:rPr>
                      <m:nor/>
                      <m:sty m:val="p"/>
                    </m:rPr>
                    <m:t>PPA</m:t>
                  </m:r>
                </m:sub>
              </m:sSub>
              <m:r>
                <m:rPr>
                  <m:sty m:val="p"/>
                </m:rPr>
                <m:t>+</m:t>
              </m:r>
              <m:sSub>
                <m:e>
                  <m:r>
                    <m:t>P</m:t>
                  </m:r>
                </m:e>
                <m:sub>
                  <m:r>
                    <m:rPr>
                      <m:nor/>
                      <m:sty m:val="p"/>
                    </m:rPr>
                    <m:t>tx</m:t>
                  </m:r>
                </m:sub>
              </m:sSub>
            </m:e>
          </m:d>
          <m:r>
            <m:rPr>
              <m:sty m:val="p"/>
            </m:rPr>
            <m:t>×</m:t>
          </m:r>
          <m:sSup>
            <m:e>
              <m:d>
                <m:dPr>
                  <m:begChr m:val="("/>
                  <m:sepChr m:val=""/>
                  <m:endChr m:val=")"/>
                  <m:grow/>
                </m:dPr>
                <m:e>
                  <m:r>
                    <m:t>1</m:t>
                  </m:r>
                  <m:r>
                    <m:rPr>
                      <m:sty m:val="p"/>
                    </m:rPr>
                    <m:t>+</m:t>
                  </m:r>
                  <m:sSub>
                    <m:e>
                      <m:r>
                        <m:t>e</m:t>
                      </m:r>
                    </m:e>
                    <m:sub>
                      <m:r>
                        <m:rPr>
                          <m:nor/>
                          <m:sty m:val="p"/>
                        </m:rPr>
                        <m:t>PPA</m:t>
                      </m:r>
                    </m:sub>
                  </m:sSub>
                </m:e>
              </m:d>
            </m:e>
            <m:sup>
              <m:r>
                <m:t>t</m:t>
              </m:r>
              <m:r>
                <m:rPr>
                  <m:sty m:val="p"/>
                </m:rPr>
                <m:t>−</m:t>
              </m:r>
              <m:sSub>
                <m:e>
                  <m:r>
                    <m:t>t</m:t>
                  </m:r>
                </m:e>
                <m:sub>
                  <m:r>
                    <m:rPr>
                      <m:nor/>
                      <m:sty m:val="p"/>
                    </m:rPr>
                    <m:t>online</m:t>
                  </m:r>
                </m:sub>
              </m:sSub>
            </m:sup>
          </m:sSup>
        </m:oMath>
      </m:oMathPara>
    </w:p>
    <w:bookmarkEnd w:id="258"/>
    <w:bookmarkStart w:id="259" w:name="eq-c8-connection-cost-per-household"/>
    <w:p>
      <w:pPr>
        <w:pStyle w:val="Heading3"/>
      </w:pPr>
      <w:r>
        <w:t xml:space="preserve">21.3.8 EQ-C8: Connection Cost per Household</w:t>
      </w:r>
    </w:p>
    <w:p>
      <w:pPr>
        <w:pStyle w:val="FirstParagraph"/>
      </w:pPr>
      <m:oMathPara>
        <m:oMathParaPr>
          <m:jc m:val="center"/>
        </m:oMathParaPr>
        <m:oMath>
          <m:sSub>
            <m:e>
              <m:r>
                <m:rPr>
                  <m:nor/>
                  <m:sty m:val="p"/>
                </m:rPr>
                <m:t>CAPEX</m:t>
              </m:r>
            </m:e>
            <m:sub>
              <m:r>
                <m:rPr>
                  <m:nor/>
                  <m:sty m:val="p"/>
                </m:rPr>
                <m:t>connection</m:t>
              </m:r>
            </m:sub>
          </m:sSub>
          <m:d>
            <m:dPr>
              <m:begChr m:val="("/>
              <m:sepChr m:val=""/>
              <m:endChr m:val=")"/>
              <m:grow/>
            </m:dPr>
            <m:e>
              <m:r>
                <m:t>t</m:t>
              </m:r>
            </m:e>
          </m:d>
          <m:r>
            <m:rPr>
              <m:sty m:val="p"/>
            </m:rPr>
            <m:t>=</m:t>
          </m:r>
          <m:d>
            <m:dPr>
              <m:begChr m:val="{"/>
              <m:sepChr m:val=""/>
              <m:endChr m:val=""/>
              <m:grow/>
            </m:dPr>
            <m:e>
              <m:m>
                <m:mPr>
                  <m:baseJc m:val="center"/>
                  <m:plcHide m:val="on"/>
                  <m:mcs>
                    <m:mc>
                      <m:mcPr>
                        <m:mcJc m:val="left"/>
                        <m:count m:val="1"/>
                      </m:mcPr>
                    </m:mc>
                    <m:mc>
                      <m:mcPr>
                        <m:mcJc m:val="left"/>
                        <m:count m:val="1"/>
                      </m:mcPr>
                    </m:mc>
                  </m:mcs>
                </m:mPr>
                <m:mr>
                  <m:e>
                    <m:sSub>
                      <m:e>
                        <m:r>
                          <m:t>C</m:t>
                        </m:r>
                      </m:e>
                      <m:sub>
                        <m:r>
                          <m:rPr>
                            <m:nor/>
                            <m:sty m:val="p"/>
                          </m:rPr>
                          <m:t>HH</m:t>
                        </m:r>
                      </m:sub>
                    </m:sSub>
                    <m:r>
                      <m:rPr>
                        <m:sty m:val="p"/>
                      </m:rPr>
                      <m:t>×</m:t>
                    </m:r>
                    <m:sSub>
                      <m:e>
                        <m:r>
                          <m:t>N</m:t>
                        </m:r>
                      </m:e>
                      <m:sub>
                        <m:r>
                          <m:rPr>
                            <m:nor/>
                            <m:sty m:val="p"/>
                          </m:rPr>
                          <m:t>HH</m:t>
                        </m:r>
                      </m:sub>
                    </m:sSub>
                    <m:r>
                      <m:rPr>
                        <m:sty m:val="p"/>
                      </m:rPr>
                      <m:t>/</m:t>
                    </m:r>
                    <m:sSub>
                      <m:e>
                        <m:r>
                          <m:t>Y</m:t>
                        </m:r>
                      </m:e>
                      <m:sub>
                        <m:r>
                          <m:rPr>
                            <m:nor/>
                            <m:sty m:val="p"/>
                          </m:rPr>
                          <m:t>rollout</m:t>
                        </m:r>
                      </m:sub>
                    </m:sSub>
                  </m:e>
                  <m:e>
                    <m:r>
                      <m:rPr>
                        <m:nor/>
                        <m:sty m:val="p"/>
                      </m:rPr>
                      <m:t>if </m:t>
                    </m:r>
                    <m:r>
                      <m:t>t</m:t>
                    </m:r>
                    <m:r>
                      <m:rPr>
                        <m:sty m:val="p"/>
                      </m:rPr>
                      <m:t>≤</m:t>
                    </m:r>
                    <m:sSub>
                      <m:e>
                        <m:r>
                          <m:t>t</m:t>
                        </m:r>
                      </m:e>
                      <m:sub>
                        <m:r>
                          <m:t>0</m:t>
                        </m:r>
                      </m:sub>
                    </m:sSub>
                    <m:r>
                      <m:rPr>
                        <m:sty m:val="p"/>
                      </m:rPr>
                      <m:t>+</m:t>
                    </m:r>
                    <m:sSub>
                      <m:e>
                        <m:r>
                          <m:t>Y</m:t>
                        </m:r>
                      </m:e>
                      <m:sub>
                        <m:r>
                          <m:rPr>
                            <m:nor/>
                            <m:sty m:val="p"/>
                          </m:rPr>
                          <m:t>rollout</m:t>
                        </m:r>
                      </m:sub>
                    </m:sSub>
                  </m:e>
                </m:mr>
                <m:mr>
                  <m:e>
                    <m:r>
                      <m:t>0</m:t>
                    </m:r>
                  </m:e>
                  <m:e>
                    <m:r>
                      <m:rPr>
                        <m:nor/>
                        <m:sty m:val="p"/>
                      </m:rPr>
                      <m:t>otherwise</m:t>
                    </m:r>
                  </m:e>
                </m:mr>
              </m:m>
            </m:e>
          </m:d>
        </m:oMath>
      </m:oMathPara>
    </w:p>
    <w:p>
      <w:pPr>
        <w:pStyle w:val="FirstParagraph"/>
      </w:pPr>
      <w:r>
        <w:t xml:space="preserve">where</w:t>
      </w:r>
      <w:r>
        <w:t xml:space="preserve"> </w:t>
      </w:r>
      <m:oMath>
        <m:sSub>
          <m:e>
            <m:r>
              <m:t>C</m:t>
            </m:r>
          </m:e>
          <m:sub>
            <m:r>
              <m:rPr>
                <m:nor/>
                <m:sty m:val="p"/>
              </m:rPr>
              <m:t>HH</m:t>
            </m:r>
          </m:sub>
        </m:sSub>
        <m:r>
          <m:rPr>
            <m:sty m:val="p"/>
          </m:rPr>
          <m:t>=</m:t>
        </m:r>
        <m:r>
          <m:rPr>
            <m:sty m:val="p"/>
          </m:rPr>
          <m:t>$</m:t>
        </m:r>
        <m:r>
          <m:t>200</m:t>
        </m:r>
      </m:oMath>
      <w:r>
        <w:t xml:space="preserve">/household,</w:t>
      </w:r>
      <w:r>
        <w:t xml:space="preserve"> </w:t>
      </w:r>
      <m:oMath>
        <m:sSub>
          <m:e>
            <m:r>
              <m:t>N</m:t>
            </m:r>
          </m:e>
          <m:sub>
            <m:r>
              <m:rPr>
                <m:nor/>
                <m:sty m:val="p"/>
              </m:rPr>
              <m:t>HH</m:t>
            </m:r>
          </m:sub>
        </m:sSub>
        <m:r>
          <m:rPr>
            <m:sty m:val="p"/>
          </m:rPr>
          <m:t>=</m:t>
        </m:r>
        <m:r>
          <m:t>100</m:t>
        </m:r>
        <m:r>
          <m:rPr>
            <m:sty m:val="p"/>
          </m:rPr>
          <m:t>,</m:t>
        </m:r>
        <m:r>
          <m:t>000</m:t>
        </m:r>
      </m:oMath>
      <w:r>
        <w:t xml:space="preserve">,</w:t>
      </w:r>
      <w:r>
        <w:t xml:space="preserve"> </w:t>
      </w:r>
      <m:oMath>
        <m:sSub>
          <m:e>
            <m:r>
              <m:t>Y</m:t>
            </m:r>
          </m:e>
          <m:sub>
            <m:r>
              <m:rPr>
                <m:nor/>
                <m:sty m:val="p"/>
              </m:rPr>
              <m:t>rollout</m:t>
            </m:r>
          </m:sub>
        </m:sSub>
        <m:r>
          <m:rPr>
            <m:sty m:val="p"/>
          </m:rPr>
          <m:t>=</m:t>
        </m:r>
        <m:r>
          <m:t>5</m:t>
        </m:r>
      </m:oMath>
      <w:r>
        <w:t xml:space="preserve"> </w:t>
      </w:r>
      <w:r>
        <w:t xml:space="preserve">years.</w:t>
      </w:r>
    </w:p>
    <w:p>
      <w:r>
        <w:pict>
          <v:rect style="width:0;height:1.5pt" o:hralign="center" o:hrstd="t" o:hr="t"/>
        </w:pict>
      </w:r>
    </w:p>
    <w:bookmarkEnd w:id="259"/>
    <w:bookmarkEnd w:id="260"/>
    <w:bookmarkStart w:id="265" w:name="a.4-emissions-module"/>
    <w:p>
      <w:pPr>
        <w:pStyle w:val="Heading2"/>
      </w:pPr>
      <w:r>
        <w:t xml:space="preserve">21.4 A.4 Emissions Module</w:t>
      </w:r>
    </w:p>
    <w:p>
      <w:pPr>
        <w:pStyle w:val="FirstParagraph"/>
      </w:pPr>
      <w:r>
        <w:t xml:space="preserve">The emissions module quantifies the environmental impact of each scenario in terms of carbon dioxide emissions and their monetised social cost. Diesel generation produces direct emissions at a rate determined by the IPCC Tier 1 emission factor, while imported electricity from the Indian grid carries an attributed emission factor that declines over time as India decarbonises its power sector. The social cost of carbon follows the US EPA’s interim schedule, growing over time to reflect increasing marginal climate damages.</w:t>
      </w:r>
    </w:p>
    <w:bookmarkStart w:id="261" w:name="eq-e1-diesel-co₂-emissions"/>
    <w:p>
      <w:pPr>
        <w:pStyle w:val="Heading3"/>
      </w:pPr>
      <w:r>
        <w:t xml:space="preserve">21.4.1 EQ-E1: Diesel CO₂ Emissions</w:t>
      </w:r>
    </w:p>
    <w:p>
      <w:pPr>
        <w:pStyle w:val="FirstParagraph"/>
      </w:pPr>
      <m:oMathPara>
        <m:oMathParaPr>
          <m:jc m:val="center"/>
        </m:oMathParaPr>
        <m:oMath>
          <m:sSub>
            <m:e>
              <m:r>
                <m:t>E</m:t>
              </m:r>
            </m:e>
            <m:sub>
              <m:r>
                <m:rPr>
                  <m:nor/>
                  <m:sty m:val="p"/>
                </m:rPr>
                <m:t>diesel</m:t>
              </m:r>
            </m:sub>
          </m:sSub>
          <m:r>
            <m:rPr>
              <m:sty m:val="p"/>
            </m:rPr>
            <m:t>=</m:t>
          </m:r>
          <m:sSub>
            <m:e>
              <m:r>
                <m:t>G</m:t>
              </m:r>
            </m:e>
            <m:sub>
              <m:r>
                <m:rPr>
                  <m:nor/>
                  <m:sty m:val="p"/>
                </m:rPr>
                <m:t>kWh</m:t>
              </m:r>
            </m:sub>
          </m:sSub>
          <m:r>
            <m:rPr>
              <m:sty m:val="p"/>
            </m:rPr>
            <m:t>×</m:t>
          </m:r>
          <m:r>
            <m:t>E</m:t>
          </m:r>
          <m:sSub>
            <m:e>
              <m:r>
                <m:t>F</m:t>
              </m:r>
            </m:e>
            <m:sub>
              <m:sSub>
                <m:e>
                  <m:r>
                    <m:rPr>
                      <m:nor/>
                      <m:sty m:val="p"/>
                    </m:rPr>
                    <m:t>CO</m:t>
                  </m:r>
                </m:e>
                <m:sub>
                  <m:r>
                    <m:t>2</m:t>
                  </m:r>
                </m:sub>
              </m:sSub>
            </m:sub>
          </m:sSub>
        </m:oMath>
      </m:oMathPara>
    </w:p>
    <w:p>
      <w:pPr>
        <w:pStyle w:val="FirstParagraph"/>
      </w:pPr>
      <w:r>
        <w:t xml:space="preserve">where</w:t>
      </w:r>
      <w:r>
        <w:t xml:space="preserve"> </w:t>
      </w:r>
      <m:oMath>
        <m:r>
          <m:t>E</m:t>
        </m:r>
        <m:sSub>
          <m:e>
            <m:r>
              <m:t>F</m:t>
            </m:r>
          </m:e>
          <m:sub>
            <m:sSub>
              <m:e>
                <m:r>
                  <m:rPr>
                    <m:nor/>
                    <m:sty m:val="p"/>
                  </m:rPr>
                  <m:t>CO</m:t>
                </m:r>
              </m:e>
              <m:sub>
                <m:r>
                  <m:t>2</m:t>
                </m:r>
              </m:sub>
            </m:sSub>
          </m:sub>
        </m:sSub>
        <m:r>
          <m:rPr>
            <m:sty m:val="p"/>
          </m:rPr>
          <m:t>=</m:t>
        </m:r>
        <m:r>
          <m:t>0.72</m:t>
        </m:r>
      </m:oMath>
      <w:r>
        <w:t xml:space="preserve"> </w:t>
      </w:r>
      <w:r>
        <w:t xml:space="preserve">kgCO₂/kWh (IPCC 2006 emission factor for diesel generation).</w:t>
      </w:r>
    </w:p>
    <w:bookmarkEnd w:id="261"/>
    <w:bookmarkStart w:id="262" w:name="Xcdef14832adf1dd88d830a993fe9ec08ac2bc74"/>
    <w:p>
      <w:pPr>
        <w:pStyle w:val="Heading3"/>
      </w:pPr>
      <w:r>
        <w:t xml:space="preserve">21.4.2 EQ-E2: Import Emissions (India Grid, Declining)</w:t>
      </w:r>
    </w:p>
    <w:p>
      <w:pPr>
        <w:pStyle w:val="FirstParagraph"/>
      </w:pPr>
      <m:oMathPara>
        <m:oMathParaPr>
          <m:jc m:val="center"/>
        </m:oMathParaPr>
        <m:oMath>
          <m:sSub>
            <m:e>
              <m:r>
                <m:t>E</m:t>
              </m:r>
            </m:e>
            <m:sub>
              <m:r>
                <m:rPr>
                  <m:nor/>
                  <m:sty m:val="p"/>
                </m:rPr>
                <m:t>import</m:t>
              </m:r>
            </m:sub>
          </m:sSub>
          <m:d>
            <m:dPr>
              <m:begChr m:val="("/>
              <m:sepChr m:val=""/>
              <m:endChr m:val=")"/>
              <m:grow/>
            </m:dPr>
            <m:e>
              <m:r>
                <m:t>t</m:t>
              </m:r>
            </m:e>
          </m:d>
          <m:r>
            <m:rPr>
              <m:sty m:val="p"/>
            </m:rPr>
            <m:t>=</m:t>
          </m:r>
          <m:sSub>
            <m:e>
              <m:r>
                <m:t>G</m:t>
              </m:r>
            </m:e>
            <m:sub>
              <m:r>
                <m:rPr>
                  <m:nor/>
                  <m:sty m:val="p"/>
                </m:rPr>
                <m:t>kWh</m:t>
              </m:r>
            </m:sub>
          </m:sSub>
          <m:r>
            <m:rPr>
              <m:sty m:val="p"/>
            </m:rPr>
            <m:t>×</m:t>
          </m:r>
          <m:r>
            <m:t>E</m:t>
          </m:r>
          <m:sSub>
            <m:e>
              <m:r>
                <m:t>F</m:t>
              </m:r>
            </m:e>
            <m:sub>
              <m:r>
                <m:rPr>
                  <m:nor/>
                  <m:sty m:val="p"/>
                </m:rPr>
                <m:t>India</m:t>
              </m:r>
            </m:sub>
          </m:sSub>
          <m:r>
            <m:rPr>
              <m:sty m:val="p"/>
            </m:rPr>
            <m:t>×</m:t>
          </m:r>
          <m:sSup>
            <m:e>
              <m:d>
                <m:dPr>
                  <m:begChr m:val="("/>
                  <m:sepChr m:val=""/>
                  <m:endChr m:val=")"/>
                  <m:grow/>
                </m:dPr>
                <m:e>
                  <m:r>
                    <m:t>1</m:t>
                  </m:r>
                  <m:r>
                    <m:rPr>
                      <m:sty m:val="p"/>
                    </m:rPr>
                    <m:t>−</m:t>
                  </m:r>
                  <m:sSub>
                    <m:e>
                      <m:r>
                        <m:t>d</m:t>
                      </m:r>
                    </m:e>
                    <m:sub>
                      <m:r>
                        <m:rPr>
                          <m:nor/>
                          <m:sty m:val="p"/>
                        </m:rPr>
                        <m:t>India</m:t>
                      </m:r>
                    </m:sub>
                  </m:sSub>
                </m:e>
              </m:d>
            </m:e>
            <m:sup>
              <m:r>
                <m:t>t</m:t>
              </m:r>
              <m:r>
                <m:rPr>
                  <m:sty m:val="p"/>
                </m:rPr>
                <m:t>−</m:t>
              </m:r>
              <m:sSub>
                <m:e>
                  <m:r>
                    <m:t>t</m:t>
                  </m:r>
                </m:e>
                <m:sub>
                  <m:r>
                    <m:rPr>
                      <m:nor/>
                      <m:sty m:val="p"/>
                    </m:rPr>
                    <m:t>base</m:t>
                  </m:r>
                </m:sub>
              </m:sSub>
            </m:sup>
          </m:sSup>
        </m:oMath>
      </m:oMathPara>
    </w:p>
    <w:p>
      <w:pPr>
        <w:pStyle w:val="FirstParagraph"/>
      </w:pPr>
      <w:r>
        <w:t xml:space="preserve">where</w:t>
      </w:r>
      <w:r>
        <w:t xml:space="preserve"> </w:t>
      </w:r>
      <m:oMath>
        <m:r>
          <m:t>E</m:t>
        </m:r>
        <m:sSub>
          <m:e>
            <m:r>
              <m:t>F</m:t>
            </m:r>
          </m:e>
          <m:sub>
            <m:r>
              <m:rPr>
                <m:nor/>
                <m:sty m:val="p"/>
              </m:rPr>
              <m:t>India</m:t>
            </m:r>
          </m:sub>
        </m:sSub>
        <m:r>
          <m:rPr>
            <m:sty m:val="p"/>
          </m:rPr>
          <m:t>=</m:t>
        </m:r>
        <m:r>
          <m:t>0.70</m:t>
        </m:r>
      </m:oMath>
      <w:r>
        <w:t xml:space="preserve"> </w:t>
      </w:r>
      <w:r>
        <w:t xml:space="preserve">kgCO₂/kWh and</w:t>
      </w:r>
      <w:r>
        <w:t xml:space="preserve"> </w:t>
      </w:r>
      <m:oMath>
        <m:sSub>
          <m:e>
            <m:r>
              <m:t>d</m:t>
            </m:r>
          </m:e>
          <m:sub>
            <m:r>
              <m:rPr>
                <m:nor/>
                <m:sty m:val="p"/>
              </m:rPr>
              <m:t>India</m:t>
            </m:r>
          </m:sub>
        </m:sSub>
        <m:r>
          <m:rPr>
            <m:sty m:val="p"/>
          </m:rPr>
          <m:t>=</m:t>
        </m:r>
        <m:r>
          <m:t>0.02</m:t>
        </m:r>
      </m:oMath>
      <w:r>
        <w:t xml:space="preserve">/yr (2% annual grid decarbonisation).</w:t>
      </w:r>
    </w:p>
    <w:bookmarkEnd w:id="262"/>
    <w:bookmarkStart w:id="263" w:name="eq-e3-social-cost-of-carbon"/>
    <w:p>
      <w:pPr>
        <w:pStyle w:val="Heading3"/>
      </w:pPr>
      <w:r>
        <w:t xml:space="preserve">21.4.3 EQ-E3: Social Cost of Carbon</w:t>
      </w:r>
    </w:p>
    <w:p>
      <w:pPr>
        <w:pStyle w:val="FirstParagraph"/>
      </w:pPr>
      <m:oMathPara>
        <m:oMathParaPr>
          <m:jc m:val="center"/>
        </m:oMathParaPr>
        <m:oMath>
          <m:r>
            <m:t>S</m:t>
          </m:r>
          <m:r>
            <m:t>C</m:t>
          </m:r>
          <m:r>
            <m:t>C</m:t>
          </m:r>
          <m:d>
            <m:dPr>
              <m:begChr m:val="("/>
              <m:sepChr m:val=""/>
              <m:endChr m:val=")"/>
              <m:grow/>
            </m:dPr>
            <m:e>
              <m:r>
                <m:t>t</m:t>
              </m:r>
            </m:e>
          </m:d>
          <m:r>
            <m:rPr>
              <m:sty m:val="p"/>
            </m:rPr>
            <m:t>=</m:t>
          </m:r>
          <m:r>
            <m:t>S</m:t>
          </m:r>
          <m:r>
            <m:t>C</m:t>
          </m:r>
          <m:sSub>
            <m:e>
              <m:r>
                <m:t>C</m:t>
              </m:r>
            </m:e>
            <m:sub>
              <m:r>
                <m:t>0</m:t>
              </m:r>
            </m:sub>
          </m:sSub>
          <m:r>
            <m:rPr>
              <m:sty m:val="p"/>
            </m:rPr>
            <m:t>×</m:t>
          </m:r>
          <m:sSup>
            <m:e>
              <m:d>
                <m:dPr>
                  <m:begChr m:val="("/>
                  <m:sepChr m:val=""/>
                  <m:endChr m:val=")"/>
                  <m:grow/>
                </m:dPr>
                <m:e>
                  <m:r>
                    <m:t>1</m:t>
                  </m:r>
                  <m:r>
                    <m:rPr>
                      <m:sty m:val="p"/>
                    </m:rPr>
                    <m:t>+</m:t>
                  </m:r>
                  <m:sSub>
                    <m:e>
                      <m:r>
                        <m:t>g</m:t>
                      </m:r>
                    </m:e>
                    <m:sub>
                      <m:r>
                        <m:rPr>
                          <m:nor/>
                          <m:sty m:val="p"/>
                        </m:rPr>
                        <m:t>SCC</m:t>
                      </m:r>
                    </m:sub>
                  </m:sSub>
                </m:e>
              </m:d>
            </m:e>
            <m:sup>
              <m:r>
                <m:t>t</m:t>
              </m:r>
              <m:r>
                <m:rPr>
                  <m:sty m:val="p"/>
                </m:rPr>
                <m:t>−</m:t>
              </m:r>
              <m:sSub>
                <m:e>
                  <m:r>
                    <m:t>t</m:t>
                  </m:r>
                </m:e>
                <m:sub>
                  <m:r>
                    <m:t>0</m:t>
                  </m:r>
                </m:sub>
              </m:sSub>
            </m:sup>
          </m:sSup>
        </m:oMath>
      </m:oMathPara>
    </w:p>
    <w:p>
      <w:pPr>
        <w:pStyle w:val="FirstParagraph"/>
      </w:pPr>
      <w:r>
        <w:t xml:space="preserve">where</w:t>
      </w:r>
      <w:r>
        <w:t xml:space="preserve"> </w:t>
      </w:r>
      <m:oMath>
        <m:r>
          <m:t>S</m:t>
        </m:r>
        <m:r>
          <m:t>C</m:t>
        </m:r>
        <m:sSub>
          <m:e>
            <m:r>
              <m:t>C</m:t>
            </m:r>
          </m:e>
          <m:sub>
            <m:r>
              <m:t>0</m:t>
            </m:r>
          </m:sub>
        </m:sSub>
        <m:r>
          <m:rPr>
            <m:sty m:val="p"/>
          </m:rPr>
          <m:t>=</m:t>
        </m:r>
        <m:r>
          <m:rPr>
            <m:sty m:val="p"/>
          </m:rPr>
          <m:t>$</m:t>
        </m:r>
        <m:r>
          <m:t>51</m:t>
        </m:r>
      </m:oMath>
      <w:r>
        <w:t xml:space="preserve">/tCO₂ (EPA 2023 interim at 3% discount rate) and</w:t>
      </w:r>
      <w:r>
        <w:t xml:space="preserve"> </w:t>
      </w:r>
      <m:oMath>
        <m:sSub>
          <m:e>
            <m:r>
              <m:t>g</m:t>
            </m:r>
          </m:e>
          <m:sub>
            <m:r>
              <m:rPr>
                <m:nor/>
                <m:sty m:val="p"/>
              </m:rPr>
              <m:t>SCC</m:t>
            </m:r>
          </m:sub>
        </m:sSub>
        <m:r>
          <m:rPr>
            <m:sty m:val="p"/>
          </m:rPr>
          <m:t>=</m:t>
        </m:r>
        <m:r>
          <m:t>0.02</m:t>
        </m:r>
      </m:oMath>
      <w:r>
        <w:t xml:space="preserve">/yr.</w:t>
      </w:r>
    </w:p>
    <w:bookmarkEnd w:id="263"/>
    <w:bookmarkStart w:id="264" w:name="eq-e4-environmental-externalities"/>
    <w:p>
      <w:pPr>
        <w:pStyle w:val="Heading3"/>
      </w:pPr>
      <w:r>
        <w:t xml:space="preserve">21.4.4 EQ-E4: Environmental Externalities</w:t>
      </w:r>
    </w:p>
    <w:p>
      <w:pPr>
        <w:pStyle w:val="FirstParagraph"/>
      </w:pPr>
      <m:oMathPara>
        <m:oMathParaPr>
          <m:jc m:val="center"/>
        </m:oMathParaPr>
        <m:oMath>
          <m:sSub>
            <m:e>
              <m:r>
                <m:t>B</m:t>
              </m:r>
            </m:e>
            <m:sub>
              <m:r>
                <m:rPr>
                  <m:nor/>
                  <m:sty m:val="p"/>
                </m:rPr>
                <m:t>env</m:t>
              </m:r>
            </m:sub>
          </m:sSub>
          <m:d>
            <m:dPr>
              <m:begChr m:val="("/>
              <m:sepChr m:val=""/>
              <m:endChr m:val=")"/>
              <m:grow/>
            </m:dPr>
            <m:e>
              <m:r>
                <m:t>t</m:t>
              </m:r>
            </m:e>
          </m:d>
          <m:r>
            <m:rPr>
              <m:sty m:val="p"/>
            </m:rPr>
            <m:t>=</m:t>
          </m:r>
          <m:r>
            <m:t>Δ</m:t>
          </m:r>
          <m:sSub>
            <m:e>
              <m:r>
                <m:t>D</m:t>
              </m:r>
            </m:e>
            <m:sub>
              <m:r>
                <m:rPr>
                  <m:nor/>
                  <m:sty m:val="p"/>
                </m:rPr>
                <m:t>diesel</m:t>
              </m:r>
            </m:sub>
          </m:sSub>
          <m:d>
            <m:dPr>
              <m:begChr m:val="("/>
              <m:sepChr m:val=""/>
              <m:endChr m:val=")"/>
              <m:grow/>
            </m:dPr>
            <m:e>
              <m:r>
                <m:t>t</m:t>
              </m:r>
            </m:e>
          </m:d>
          <m:r>
            <m:rPr>
              <m:sty m:val="p"/>
            </m:rPr>
            <m:t>×</m:t>
          </m:r>
          <m:d>
            <m:dPr>
              <m:begChr m:val="("/>
              <m:sepChr m:val=""/>
              <m:endChr m:val=")"/>
              <m:grow/>
            </m:dPr>
            <m:e>
              <m:sSub>
                <m:e>
                  <m:r>
                    <m:t>C</m:t>
                  </m:r>
                </m:e>
                <m:sub>
                  <m:r>
                    <m:rPr>
                      <m:nor/>
                      <m:sty m:val="p"/>
                    </m:rPr>
                    <m:t>noise</m:t>
                  </m:r>
                </m:sub>
              </m:sSub>
              <m:r>
                <m:rPr>
                  <m:sty m:val="p"/>
                </m:rPr>
                <m:t>+</m:t>
              </m:r>
              <m:sSub>
                <m:e>
                  <m:r>
                    <m:t>C</m:t>
                  </m:r>
                </m:e>
                <m:sub>
                  <m:r>
                    <m:rPr>
                      <m:nor/>
                      <m:sty m:val="p"/>
                    </m:rPr>
                    <m:t>spill</m:t>
                  </m:r>
                </m:sub>
              </m:sSub>
              <m:r>
                <m:rPr>
                  <m:sty m:val="p"/>
                </m:rPr>
                <m:t>+</m:t>
              </m:r>
              <m:sSub>
                <m:e>
                  <m:r>
                    <m:t>C</m:t>
                  </m:r>
                </m:e>
                <m:sub>
                  <m:r>
                    <m:rPr>
                      <m:nor/>
                      <m:sty m:val="p"/>
                    </m:rPr>
                    <m:t>biodiversity</m:t>
                  </m:r>
                </m:sub>
              </m:sSub>
            </m:e>
          </m:d>
        </m:oMath>
      </m:oMathPara>
    </w:p>
    <w:p>
      <w:pPr>
        <w:pStyle w:val="FirstParagraph"/>
      </w:pPr>
      <w:r>
        <w:t xml:space="preserve">where</w:t>
      </w:r>
      <w:r>
        <w:t xml:space="preserve"> </w:t>
      </w:r>
      <m:oMath>
        <m:sSub>
          <m:e>
            <m:r>
              <m:t>C</m:t>
            </m:r>
          </m:e>
          <m:sub>
            <m:r>
              <m:rPr>
                <m:nor/>
                <m:sty m:val="p"/>
              </m:rPr>
              <m:t>noise</m:t>
            </m:r>
          </m:sub>
        </m:sSub>
        <m:r>
          <m:rPr>
            <m:sty m:val="p"/>
          </m:rPr>
          <m:t>=</m:t>
        </m:r>
        <m:r>
          <m:rPr>
            <m:sty m:val="p"/>
          </m:rPr>
          <m:t>$</m:t>
        </m:r>
        <m:r>
          <m:t>5</m:t>
        </m:r>
      </m:oMath>
      <w:r>
        <w:t xml:space="preserve">/MWh,</w:t>
      </w:r>
      <w:r>
        <w:t xml:space="preserve"> </w:t>
      </w:r>
      <m:oMath>
        <m:sSub>
          <m:e>
            <m:r>
              <m:t>C</m:t>
            </m:r>
          </m:e>
          <m:sub>
            <m:r>
              <m:rPr>
                <m:nor/>
                <m:sty m:val="p"/>
              </m:rPr>
              <m:t>spill</m:t>
            </m:r>
          </m:sub>
        </m:sSub>
        <m:r>
          <m:rPr>
            <m:sty m:val="p"/>
          </m:rPr>
          <m:t>=</m:t>
        </m:r>
        <m:r>
          <m:rPr>
            <m:sty m:val="p"/>
          </m:rPr>
          <m:t>$</m:t>
        </m:r>
        <m:r>
          <m:t>3</m:t>
        </m:r>
      </m:oMath>
      <w:r>
        <w:t xml:space="preserve">/MWh,</w:t>
      </w:r>
      <w:r>
        <w:t xml:space="preserve"> </w:t>
      </w:r>
      <m:oMath>
        <m:sSub>
          <m:e>
            <m:r>
              <m:t>C</m:t>
            </m:r>
          </m:e>
          <m:sub>
            <m:r>
              <m:rPr>
                <m:nor/>
                <m:sty m:val="p"/>
              </m:rPr>
              <m:t>biodiversity</m:t>
            </m:r>
          </m:sub>
        </m:sSub>
        <m:r>
          <m:rPr>
            <m:sty m:val="p"/>
          </m:rPr>
          <m:t>=</m:t>
        </m:r>
        <m:r>
          <m:rPr>
            <m:sty m:val="p"/>
          </m:rPr>
          <m:t>$</m:t>
        </m:r>
        <m:r>
          <m:t>2</m:t>
        </m:r>
      </m:oMath>
      <w:r>
        <w:t xml:space="preserve">/MWh (total: $10/MWh).</w:t>
      </w:r>
    </w:p>
    <w:p>
      <w:r>
        <w:pict>
          <v:rect style="width:0;height:1.5pt" o:hralign="center" o:hrstd="t" o:hr="t"/>
        </w:pict>
      </w:r>
    </w:p>
    <w:bookmarkEnd w:id="264"/>
    <w:bookmarkEnd w:id="265"/>
    <w:bookmarkStart w:id="272" w:name="a.5-npv-cba-calculator"/>
    <w:p>
      <w:pPr>
        <w:pStyle w:val="Heading2"/>
      </w:pPr>
      <w:r>
        <w:t xml:space="preserve">21.5 A.5 NPV / CBA Calculator</w:t>
      </w:r>
    </w:p>
    <w:p>
      <w:pPr>
        <w:pStyle w:val="FirstParagraph"/>
      </w:pPr>
      <w:r>
        <w:t xml:space="preserve">The NPV calculator is the central aggregation engine that combines all cost and benefit streams into the summary metrics reported in</w:t>
      </w:r>
      <w:r>
        <w:t xml:space="preserve"> </w:t>
      </w:r>
      <w:hyperlink w:anchor="sec-results">
        <w:r>
          <w:rPr>
            <w:rStyle w:val="Hyperlink"/>
          </w:rPr>
          <w:t xml:space="preserve">Chapter 8</w:t>
        </w:r>
      </w:hyperlink>
      <w:r>
        <w:t xml:space="preserve">. It implements the standard discounted cash flow framework recommended by the Asian Development Bank for infrastructure appraisal in developing countries, augmented with five distinct benefit streams that capture both market and non-market values of the energy transition.</w:t>
      </w:r>
    </w:p>
    <w:bookmarkStart w:id="266" w:name="eq-n1-net-present-value"/>
    <w:p>
      <w:pPr>
        <w:pStyle w:val="Heading3"/>
      </w:pPr>
      <w:r>
        <w:t xml:space="preserve">21.5.1 EQ-N1: Net Present Value</w:t>
      </w:r>
    </w:p>
    <w:p>
      <w:pPr>
        <w:pStyle w:val="FirstParagraph"/>
      </w:pPr>
      <m:oMathPara>
        <m:oMathParaPr>
          <m:jc m:val="center"/>
        </m:oMathParaPr>
        <m:oMath>
          <m:r>
            <m:rPr>
              <m:nor/>
              <m:sty m:val="p"/>
            </m:rPr>
            <m:t>NPV</m:t>
          </m:r>
          <m:r>
            <m:rPr>
              <m:sty m:val="p"/>
            </m:rPr>
            <m:t>=</m:t>
          </m:r>
          <m:nary>
            <m:naryPr>
              <m:chr m:val="∑"/>
              <m:limLoc m:val="undOvr"/>
              <m:subHide m:val="off"/>
              <m:supHide m:val="off"/>
            </m:naryPr>
            <m:sub>
              <m:r>
                <m:t>t</m:t>
              </m:r>
              <m:r>
                <m:rPr>
                  <m:sty m:val="p"/>
                </m:rPr>
                <m:t>=</m:t>
              </m:r>
              <m:sSub>
                <m:e>
                  <m:r>
                    <m:t>t</m:t>
                  </m:r>
                </m:e>
                <m:sub>
                  <m:r>
                    <m:t>0</m:t>
                  </m:r>
                </m:sub>
              </m:sSub>
            </m:sub>
            <m:sup>
              <m:r>
                <m:t>T</m:t>
              </m:r>
            </m:sup>
            <m:e>
              <m:f>
                <m:fPr>
                  <m:type m:val="bar"/>
                </m:fPr>
                <m:num>
                  <m:r>
                    <m:t>B</m:t>
                  </m:r>
                  <m:d>
                    <m:dPr>
                      <m:begChr m:val="("/>
                      <m:sepChr m:val=""/>
                      <m:endChr m:val=")"/>
                      <m:grow/>
                    </m:dPr>
                    <m:e>
                      <m:r>
                        <m:t>t</m:t>
                      </m:r>
                    </m:e>
                  </m:d>
                  <m:r>
                    <m:rPr>
                      <m:sty m:val="p"/>
                    </m:rPr>
                    <m:t>−</m:t>
                  </m:r>
                  <m:r>
                    <m:t>C</m:t>
                  </m:r>
                  <m:d>
                    <m:dPr>
                      <m:begChr m:val="("/>
                      <m:sepChr m:val=""/>
                      <m:endChr m:val=")"/>
                      <m:grow/>
                    </m:dPr>
                    <m:e>
                      <m:r>
                        <m:t>t</m:t>
                      </m:r>
                    </m:e>
                  </m:d>
                </m:num>
                <m:den>
                  <m:sSup>
                    <m:e>
                      <m:d>
                        <m:dPr>
                          <m:begChr m:val="("/>
                          <m:sepChr m:val=""/>
                          <m:endChr m:val=")"/>
                          <m:grow/>
                        </m:dPr>
                        <m:e>
                          <m:r>
                            <m:t>1</m:t>
                          </m:r>
                          <m:r>
                            <m:rPr>
                              <m:sty m:val="p"/>
                            </m:rPr>
                            <m:t>+</m:t>
                          </m:r>
                          <m:r>
                            <m:t>r</m:t>
                          </m:r>
                        </m:e>
                      </m:d>
                    </m:e>
                    <m:sup>
                      <m:r>
                        <m:t>t</m:t>
                      </m:r>
                      <m:r>
                        <m:rPr>
                          <m:sty m:val="p"/>
                        </m:rPr>
                        <m:t>−</m:t>
                      </m:r>
                      <m:sSub>
                        <m:e>
                          <m:r>
                            <m:t>t</m:t>
                          </m:r>
                        </m:e>
                        <m:sub>
                          <m:r>
                            <m:t>0</m:t>
                          </m:r>
                        </m:sub>
                      </m:sSub>
                    </m:sup>
                  </m:sSup>
                </m:den>
              </m:f>
            </m:e>
          </m:nary>
        </m:oMath>
      </m:oMathPara>
    </w:p>
    <w:p>
      <w:pPr>
        <w:pStyle w:val="FirstParagraph"/>
      </w:pPr>
      <w:r>
        <w:t xml:space="preserve">where</w:t>
      </w:r>
      <w:r>
        <w:t xml:space="preserve"> </w:t>
      </w:r>
      <m:oMath>
        <m:r>
          <m:t>r</m:t>
        </m:r>
        <m:r>
          <m:rPr>
            <m:sty m:val="p"/>
          </m:rPr>
          <m:t>=</m:t>
        </m:r>
        <m:r>
          <m:t>0.06</m:t>
        </m:r>
      </m:oMath>
      <w:r>
        <w:t xml:space="preserve"> </w:t>
      </w:r>
      <w:r>
        <w:t xml:space="preserve">(6% real discount rate, ADB SIDS standard).</w:t>
      </w:r>
    </w:p>
    <w:p>
      <w:pPr>
        <w:pStyle w:val="BodyText"/>
      </w:pPr>
      <w:r>
        <w:rPr>
          <w:b/>
          <w:bCs/>
        </w:rPr>
        <w:t xml:space="preserve">Benefit streams</w:t>
      </w:r>
      <w:r>
        <w:t xml:space="preserve"> </w:t>
      </w:r>
      <m:oMath>
        <m:r>
          <m:t>B</m:t>
        </m:r>
        <m:d>
          <m:dPr>
            <m:begChr m:val="("/>
            <m:sepChr m:val=""/>
            <m:endChr m:val=")"/>
            <m:grow/>
          </m:dPr>
          <m:e>
            <m:r>
              <m:t>t</m:t>
            </m:r>
          </m:e>
        </m:d>
      </m:oMath>
      <w:r>
        <w:t xml:space="preserve">:</w:t>
      </w:r>
    </w:p>
    <w:p>
      <w:pPr>
        <w:pStyle w:val="Compact"/>
        <w:numPr>
          <w:ilvl w:val="0"/>
          <w:numId w:val="1003"/>
        </w:numPr>
      </w:pPr>
      <w:r>
        <w:rPr>
          <w:b/>
          <w:bCs/>
        </w:rPr>
        <w:t xml:space="preserve">Fuel savings:</w:t>
      </w:r>
      <w:r>
        <w:t xml:space="preserve"> </w:t>
      </w:r>
      <w:r>
        <w:t xml:space="preserve">BAU fuel cost − scenario fuel cost</w:t>
      </w:r>
    </w:p>
    <w:p>
      <w:pPr>
        <w:pStyle w:val="Compact"/>
        <w:numPr>
          <w:ilvl w:val="0"/>
          <w:numId w:val="1003"/>
        </w:numPr>
      </w:pPr>
      <w:r>
        <w:rPr>
          <w:b/>
          <w:bCs/>
        </w:rPr>
        <w:t xml:space="preserve">Emission reduction:</w:t>
      </w:r>
      <w:r>
        <w:t xml:space="preserve"> </w:t>
      </w:r>
      <w:r>
        <w:t xml:space="preserve">(BAU emissions − scenario emissions) × SCC(t)</w:t>
      </w:r>
    </w:p>
    <w:p>
      <w:pPr>
        <w:pStyle w:val="Compact"/>
        <w:numPr>
          <w:ilvl w:val="0"/>
          <w:numId w:val="1003"/>
        </w:numPr>
      </w:pPr>
      <w:r>
        <w:rPr>
          <w:b/>
          <w:bCs/>
        </w:rPr>
        <w:t xml:space="preserve">Health co-benefits:</w:t>
      </w:r>
      <w:r>
        <w:t xml:space="preserve"> </w:t>
      </w:r>
      <w:r>
        <w:t xml:space="preserve">Diesel reduction × $40/MWh (Parry et al. 2014, IMF WP/14/199)</w:t>
      </w:r>
    </w:p>
    <w:p>
      <w:pPr>
        <w:pStyle w:val="Compact"/>
        <w:numPr>
          <w:ilvl w:val="0"/>
          <w:numId w:val="1003"/>
        </w:numPr>
      </w:pPr>
      <w:r>
        <w:rPr>
          <w:b/>
          <w:bCs/>
        </w:rPr>
        <w:t xml:space="preserve">Environmental externalities:</w:t>
      </w:r>
      <w:r>
        <w:t xml:space="preserve"> </w:t>
      </w:r>
      <w:r>
        <w:t xml:space="preserve">Diesel reduction × $10/MWh</w:t>
      </w:r>
    </w:p>
    <w:p>
      <w:pPr>
        <w:pStyle w:val="Compact"/>
        <w:numPr>
          <w:ilvl w:val="0"/>
          <w:numId w:val="1003"/>
        </w:numPr>
      </w:pPr>
      <w:r>
        <w:rPr>
          <w:b/>
          <w:bCs/>
        </w:rPr>
        <w:t xml:space="preserve">Subsidy avoidance:</w:t>
      </w:r>
      <w:r>
        <w:t xml:space="preserve"> </w:t>
      </w:r>
      <w:r>
        <w:t xml:space="preserve">Diesel reduction × $0.15/kWh (current government subsidy rate)</w:t>
      </w:r>
    </w:p>
    <w:p>
      <w:pPr>
        <w:pStyle w:val="FirstParagraph"/>
      </w:pPr>
      <w:r>
        <w:rPr>
          <w:b/>
          <w:bCs/>
        </w:rPr>
        <w:t xml:space="preserve">Cost streams</w:t>
      </w:r>
      <w:r>
        <w:t xml:space="preserve"> </w:t>
      </w:r>
      <m:oMath>
        <m:r>
          <m:t>C</m:t>
        </m:r>
        <m:d>
          <m:dPr>
            <m:begChr m:val="("/>
            <m:sepChr m:val=""/>
            <m:endChr m:val=")"/>
            <m:grow/>
          </m:dPr>
          <m:e>
            <m:r>
              <m:t>t</m:t>
            </m:r>
          </m:e>
        </m:d>
      </m:oMath>
      <w:r>
        <w:t xml:space="preserve">:</w:t>
      </w:r>
    </w:p>
    <w:p>
      <w:pPr>
        <w:pStyle w:val="Compact"/>
        <w:numPr>
          <w:ilvl w:val="0"/>
          <w:numId w:val="1004"/>
        </w:numPr>
      </w:pPr>
      <w:r>
        <w:t xml:space="preserve">CAPEX (solar, battery, cable, grid upgrades, connections)</w:t>
      </w:r>
    </w:p>
    <w:p>
      <w:pPr>
        <w:pStyle w:val="Compact"/>
        <w:numPr>
          <w:ilvl w:val="0"/>
          <w:numId w:val="1004"/>
        </w:numPr>
      </w:pPr>
      <w:r>
        <w:t xml:space="preserve">OPEX (solar, battery, diesel O&amp;M)</w:t>
      </w:r>
    </w:p>
    <w:p>
      <w:pPr>
        <w:pStyle w:val="Compact"/>
        <w:numPr>
          <w:ilvl w:val="0"/>
          <w:numId w:val="1004"/>
        </w:numPr>
      </w:pPr>
      <w:r>
        <w:t xml:space="preserve">PPA import costs (for cable scenarios)</w:t>
      </w:r>
    </w:p>
    <w:bookmarkEnd w:id="266"/>
    <w:bookmarkStart w:id="267" w:name="eq-n2-incremental-analysis"/>
    <w:p>
      <w:pPr>
        <w:pStyle w:val="Heading3"/>
      </w:pPr>
      <w:r>
        <w:t xml:space="preserve">21.5.2 EQ-N2: Incremental Analysis</w:t>
      </w:r>
    </w:p>
    <w:p>
      <w:pPr>
        <w:pStyle w:val="FirstParagraph"/>
      </w:pPr>
      <m:oMathPara>
        <m:oMathParaPr>
          <m:jc m:val="center"/>
        </m:oMathParaPr>
        <m:oMath>
          <m:r>
            <m:t>Δ</m:t>
          </m:r>
          <m:r>
            <m:rPr>
              <m:nor/>
              <m:sty m:val="p"/>
            </m:rPr>
            <m:t>NPV</m:t>
          </m:r>
          <m:r>
            <m:rPr>
              <m:sty m:val="p"/>
            </m:rPr>
            <m:t>=</m:t>
          </m:r>
          <m:sSub>
            <m:e>
              <m:r>
                <m:rPr>
                  <m:nor/>
                  <m:sty m:val="p"/>
                </m:rPr>
                <m:t>NPV</m:t>
              </m:r>
            </m:e>
            <m:sub>
              <m:r>
                <m:rPr>
                  <m:nor/>
                  <m:sty m:val="p"/>
                </m:rPr>
                <m:t>scenario</m:t>
              </m:r>
            </m:sub>
          </m:sSub>
          <m:r>
            <m:rPr>
              <m:sty m:val="p"/>
            </m:rPr>
            <m:t>−</m:t>
          </m:r>
          <m:sSub>
            <m:e>
              <m:r>
                <m:rPr>
                  <m:nor/>
                  <m:sty m:val="p"/>
                </m:rPr>
                <m:t>NPV</m:t>
              </m:r>
            </m:e>
            <m:sub>
              <m:r>
                <m:rPr>
                  <m:nor/>
                  <m:sty m:val="p"/>
                </m:rPr>
                <m:t>BAU</m:t>
              </m:r>
            </m:sub>
          </m:sSub>
        </m:oMath>
      </m:oMathPara>
    </w:p>
    <w:bookmarkEnd w:id="267"/>
    <w:bookmarkStart w:id="268" w:name="eq-n3-benefit-cost-ratio"/>
    <w:p>
      <w:pPr>
        <w:pStyle w:val="Heading3"/>
      </w:pPr>
      <w:r>
        <w:t xml:space="preserve">21.5.3 EQ-N3: Benefit-Cost Ratio</w:t>
      </w:r>
    </w:p>
    <w:p>
      <w:pPr>
        <w:pStyle w:val="FirstParagraph"/>
      </w:pPr>
      <m:oMathPara>
        <m:oMathParaPr>
          <m:jc m:val="center"/>
        </m:oMathParaPr>
        <m:oMath>
          <m:r>
            <m:rPr>
              <m:nor/>
              <m:sty m:val="p"/>
            </m:rPr>
            <m:t>BCR</m:t>
          </m:r>
          <m:r>
            <m:rPr>
              <m:sty m:val="p"/>
            </m:rPr>
            <m:t>=</m:t>
          </m:r>
          <m:f>
            <m:fPr>
              <m:type m:val="bar"/>
            </m:fPr>
            <m:num>
              <m:nary>
                <m:naryPr>
                  <m:chr m:val="∑"/>
                  <m:limLoc m:val="undOvr"/>
                  <m:subHide m:val="off"/>
                  <m:supHide m:val="on"/>
                </m:naryPr>
                <m:sub>
                  <m:r>
                    <m:t>t</m:t>
                  </m:r>
                </m:sub>
                <m:sup>
                  <m:r>
                    <m:t>​</m:t>
                  </m:r>
                </m:sup>
                <m:e>
                  <m:r>
                    <m:t>P</m:t>
                  </m:r>
                </m:e>
              </m:nary>
              <m:r>
                <m:t>V</m:t>
              </m:r>
              <m:d>
                <m:dPr>
                  <m:begChr m:val="("/>
                  <m:sepChr m:val=""/>
                  <m:endChr m:val=")"/>
                  <m:grow/>
                </m:dPr>
                <m:e>
                  <m:sSub>
                    <m:e>
                      <m:r>
                        <m:rPr>
                          <m:nor/>
                          <m:sty m:val="p"/>
                        </m:rPr>
                        <m:t>Benefits</m:t>
                      </m:r>
                    </m:e>
                    <m:sub>
                      <m:r>
                        <m:t>t</m:t>
                      </m:r>
                    </m:sub>
                  </m:sSub>
                </m:e>
              </m:d>
            </m:num>
            <m:den>
              <m:nary>
                <m:naryPr>
                  <m:chr m:val="∑"/>
                  <m:limLoc m:val="undOvr"/>
                  <m:subHide m:val="off"/>
                  <m:supHide m:val="on"/>
                </m:naryPr>
                <m:sub>
                  <m:r>
                    <m:t>t</m:t>
                  </m:r>
                </m:sub>
                <m:sup>
                  <m:r>
                    <m:t>​</m:t>
                  </m:r>
                </m:sup>
                <m:e>
                  <m:r>
                    <m:t>P</m:t>
                  </m:r>
                </m:e>
              </m:nary>
              <m:r>
                <m:t>V</m:t>
              </m:r>
              <m:d>
                <m:dPr>
                  <m:begChr m:val="("/>
                  <m:sepChr m:val=""/>
                  <m:endChr m:val=")"/>
                  <m:grow/>
                </m:dPr>
                <m:e>
                  <m:sSub>
                    <m:e>
                      <m:r>
                        <m:rPr>
                          <m:nor/>
                          <m:sty m:val="p"/>
                        </m:rPr>
                        <m:t>Costs</m:t>
                      </m:r>
                    </m:e>
                    <m:sub>
                      <m:r>
                        <m:t>t</m:t>
                      </m:r>
                    </m:sub>
                  </m:sSub>
                </m:e>
              </m:d>
            </m:den>
          </m:f>
        </m:oMath>
      </m:oMathPara>
    </w:p>
    <w:bookmarkEnd w:id="268"/>
    <w:bookmarkStart w:id="269" w:name="eq-n4-internal-rate-of-return"/>
    <w:p>
      <w:pPr>
        <w:pStyle w:val="Heading3"/>
      </w:pPr>
      <w:r>
        <w:t xml:space="preserve">21.5.4 EQ-N4: Internal Rate of Return</w:t>
      </w:r>
    </w:p>
    <w:p>
      <w:pPr>
        <w:pStyle w:val="FirstParagraph"/>
      </w:pPr>
      <w:r>
        <w:t xml:space="preserve">The IRR is the discount rate</w:t>
      </w:r>
      <w:r>
        <w:t xml:space="preserve"> </w:t>
      </w:r>
      <m:oMath>
        <m:sSup>
          <m:e>
            <m:r>
              <m:t>r</m:t>
            </m:r>
          </m:e>
          <m:sup>
            <m:r>
              <m:rPr>
                <m:sty m:val="p"/>
              </m:rPr>
              <m:t>*</m:t>
            </m:r>
          </m:sup>
        </m:sSup>
      </m:oMath>
      <w:r>
        <w:t xml:space="preserve"> </w:t>
      </w:r>
      <w:r>
        <w:t xml:space="preserve">that makes the NPV of the incremental cash flows equal to zero:</w:t>
      </w:r>
    </w:p>
    <w:p>
      <w:pPr>
        <w:pStyle w:val="BodyText"/>
      </w:pPr>
      <m:oMathPara>
        <m:oMathParaPr>
          <m:jc m:val="center"/>
        </m:oMathParaPr>
        <m:oMath>
          <m:nary>
            <m:naryPr>
              <m:chr m:val="∑"/>
              <m:limLoc m:val="undOvr"/>
              <m:subHide m:val="off"/>
              <m:supHide m:val="off"/>
            </m:naryPr>
            <m:sub>
              <m:r>
                <m:t>t</m:t>
              </m:r>
              <m:r>
                <m:rPr>
                  <m:sty m:val="p"/>
                </m:rPr>
                <m:t>=</m:t>
              </m:r>
              <m:sSub>
                <m:e>
                  <m:r>
                    <m:t>t</m:t>
                  </m:r>
                </m:e>
                <m:sub>
                  <m:r>
                    <m:t>0</m:t>
                  </m:r>
                </m:sub>
              </m:sSub>
            </m:sub>
            <m:sup>
              <m:r>
                <m:t>T</m:t>
              </m:r>
            </m:sup>
            <m:e>
              <m:f>
                <m:fPr>
                  <m:type m:val="bar"/>
                </m:fPr>
                <m:num>
                  <m:r>
                    <m:t>Δ</m:t>
                  </m:r>
                  <m:r>
                    <m:t>B</m:t>
                  </m:r>
                  <m:d>
                    <m:dPr>
                      <m:begChr m:val="("/>
                      <m:sepChr m:val=""/>
                      <m:endChr m:val=")"/>
                      <m:grow/>
                    </m:dPr>
                    <m:e>
                      <m:r>
                        <m:t>t</m:t>
                      </m:r>
                    </m:e>
                  </m:d>
                  <m:r>
                    <m:rPr>
                      <m:sty m:val="p"/>
                    </m:rPr>
                    <m:t>−</m:t>
                  </m:r>
                  <m:r>
                    <m:t>Δ</m:t>
                  </m:r>
                  <m:r>
                    <m:t>C</m:t>
                  </m:r>
                  <m:d>
                    <m:dPr>
                      <m:begChr m:val="("/>
                      <m:sepChr m:val=""/>
                      <m:endChr m:val=")"/>
                      <m:grow/>
                    </m:dPr>
                    <m:e>
                      <m:r>
                        <m:t>t</m:t>
                      </m:r>
                    </m:e>
                  </m:d>
                </m:num>
                <m:den>
                  <m:sSup>
                    <m:e>
                      <m:d>
                        <m:dPr>
                          <m:begChr m:val="("/>
                          <m:sepChr m:val=""/>
                          <m:endChr m:val=")"/>
                          <m:grow/>
                        </m:dPr>
                        <m:e>
                          <m:r>
                            <m:t>1</m:t>
                          </m:r>
                          <m:r>
                            <m:rPr>
                              <m:sty m:val="p"/>
                            </m:rPr>
                            <m:t>+</m:t>
                          </m:r>
                          <m:sSup>
                            <m:e>
                              <m:r>
                                <m:t>r</m:t>
                              </m:r>
                            </m:e>
                            <m:sup>
                              <m:r>
                                <m:rPr>
                                  <m:sty m:val="p"/>
                                </m:rPr>
                                <m:t>*</m:t>
                              </m:r>
                            </m:sup>
                          </m:sSup>
                        </m:e>
                      </m:d>
                    </m:e>
                    <m:sup>
                      <m:r>
                        <m:t>t</m:t>
                      </m:r>
                      <m:r>
                        <m:rPr>
                          <m:sty m:val="p"/>
                        </m:rPr>
                        <m:t>−</m:t>
                      </m:r>
                      <m:sSub>
                        <m:e>
                          <m:r>
                            <m:t>t</m:t>
                          </m:r>
                        </m:e>
                        <m:sub>
                          <m:r>
                            <m:t>0</m:t>
                          </m:r>
                        </m:sub>
                      </m:sSub>
                    </m:sup>
                  </m:sSup>
                </m:den>
              </m:f>
            </m:e>
          </m:nary>
          <m:r>
            <m:rPr>
              <m:sty m:val="p"/>
            </m:rPr>
            <m:t>=</m:t>
          </m:r>
          <m:r>
            <m:t>0</m:t>
          </m:r>
        </m:oMath>
      </m:oMathPara>
    </w:p>
    <w:bookmarkEnd w:id="269"/>
    <w:bookmarkStart w:id="270" w:name="eq-n5-salvage-value"/>
    <w:p>
      <w:pPr>
        <w:pStyle w:val="Heading3"/>
      </w:pPr>
      <w:r>
        <w:t xml:space="preserve">21.5.5 EQ-N5: Salvage Value</w:t>
      </w:r>
    </w:p>
    <w:p>
      <w:pPr>
        <w:pStyle w:val="FirstParagraph"/>
      </w:pPr>
      <m:oMathPara>
        <m:oMathParaPr>
          <m:jc m:val="center"/>
        </m:oMathParaPr>
        <m:oMath>
          <m:sSub>
            <m:e>
              <m:r>
                <m:t>S</m:t>
              </m:r>
            </m:e>
            <m:sub>
              <m:r>
                <m:t>T</m:t>
              </m:r>
            </m:sub>
          </m:sSub>
          <m:r>
            <m:rPr>
              <m:sty m:val="p"/>
            </m:rPr>
            <m:t>=</m:t>
          </m:r>
          <m:r>
            <m:rPr>
              <m:nor/>
              <m:sty m:val="p"/>
            </m:rPr>
            <m:t>CAPEX</m:t>
          </m:r>
          <m:r>
            <m:rPr>
              <m:sty m:val="p"/>
            </m:rPr>
            <m:t>×</m:t>
          </m:r>
          <m:r>
            <m:rPr>
              <m:sty m:val="p"/>
            </m:rPr>
            <m:t>max</m:t>
          </m:r>
          <m:d>
            <m:dPr>
              <m:begChr m:val="("/>
              <m:sepChr m:val=""/>
              <m:endChr m:val=")"/>
              <m:grow/>
            </m:dPr>
            <m:e>
              <m:r>
                <m:t>0</m:t>
              </m:r>
              <m:r>
                <m:rPr>
                  <m:sty m:val="p"/>
                </m:rPr>
                <m:t>,</m:t>
              </m:r>
              <m:r>
                <m:t> </m:t>
              </m:r>
              <m:r>
                <m:t>1</m:t>
              </m:r>
              <m:r>
                <m:rPr>
                  <m:sty m:val="p"/>
                </m:rPr>
                <m:t>−</m:t>
              </m:r>
              <m:f>
                <m:fPr>
                  <m:type m:val="bar"/>
                </m:fPr>
                <m:num>
                  <m:r>
                    <m:t>T</m:t>
                  </m:r>
                  <m:r>
                    <m:rPr>
                      <m:sty m:val="p"/>
                    </m:rPr>
                    <m:t>−</m:t>
                  </m:r>
                  <m:sSub>
                    <m:e>
                      <m:r>
                        <m:t>t</m:t>
                      </m:r>
                    </m:e>
                    <m:sub>
                      <m:r>
                        <m:rPr>
                          <m:nor/>
                          <m:sty m:val="p"/>
                        </m:rPr>
                        <m:t>install</m:t>
                      </m:r>
                    </m:sub>
                  </m:sSub>
                </m:num>
                <m:den>
                  <m:sSub>
                    <m:e>
                      <m:r>
                        <m:t>τ</m:t>
                      </m:r>
                    </m:e>
                    <m:sub>
                      <m:r>
                        <m:rPr>
                          <m:nor/>
                          <m:sty m:val="p"/>
                        </m:rPr>
                        <m:t>tech</m:t>
                      </m:r>
                    </m:sub>
                  </m:sSub>
                </m:den>
              </m:f>
            </m:e>
          </m:d>
        </m:oMath>
      </m:oMathPara>
    </w:p>
    <w:p>
      <w:pPr>
        <w:pStyle w:val="FirstParagraph"/>
      </w:pPr>
      <w:r>
        <w:t xml:space="preserve">Salvage is computed at the end of the analysis horizon for any asset with remaining useful life. The value is discounted back to the base year and added to the NPV as a terminal benefit.</w:t>
      </w:r>
    </w:p>
    <w:bookmarkEnd w:id="270"/>
    <w:bookmarkStart w:id="271" w:name="eq-n6-declining-discount-rate-ddr"/>
    <w:p>
      <w:pPr>
        <w:pStyle w:val="Heading3"/>
      </w:pPr>
      <w:r>
        <w:t xml:space="preserve">21.5.6 EQ-N6: Declining Discount Rate (DDR)</w:t>
      </w:r>
    </w:p>
    <w:p>
      <w:pPr>
        <w:pStyle w:val="FirstParagraph"/>
      </w:pPr>
      <w:r>
        <w:t xml:space="preserve">For the DDR sensitivity: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Years</w:t>
            </w:r>
          </w:p>
        </w:tc>
        <w:tc>
          <w:tcPr/>
          <w:p>
            <w:pPr>
              <w:pStyle w:val="Compact"/>
            </w:pPr>
            <w:r>
              <w:t xml:space="preserve">Rate</w:t>
            </w:r>
          </w:p>
        </w:tc>
      </w:tr>
      <w:tr>
        <w:tc>
          <w:tcPr/>
          <w:p>
            <w:pPr>
              <w:pStyle w:val="Compact"/>
            </w:pPr>
            <w:r>
              <w:t xml:space="preserve">0–30</w:t>
            </w:r>
          </w:p>
        </w:tc>
        <w:tc>
          <w:tcPr/>
          <w:p>
            <w:pPr>
              <w:pStyle w:val="Compact"/>
            </w:pPr>
            <w:r>
              <w:t xml:space="preserve">3.5%</w:t>
            </w:r>
          </w:p>
        </w:tc>
      </w:tr>
      <w:tr>
        <w:tc>
          <w:tcPr/>
          <w:p>
            <w:pPr>
              <w:pStyle w:val="Compact"/>
            </w:pPr>
            <w:r>
              <w:t xml:space="preserve">31–75</w:t>
            </w:r>
          </w:p>
        </w:tc>
        <w:tc>
          <w:tcPr/>
          <w:p>
            <w:pPr>
              <w:pStyle w:val="Compact"/>
            </w:pPr>
            <w:r>
              <w:t xml:space="preserve">3.0%</w:t>
            </w:r>
          </w:p>
        </w:tc>
      </w:tr>
      <w:tr>
        <w:tc>
          <w:tcPr/>
          <w:p>
            <w:pPr>
              <w:pStyle w:val="Compact"/>
            </w:pPr>
            <w:r>
              <w:t xml:space="preserve">76–125</w:t>
            </w:r>
          </w:p>
        </w:tc>
        <w:tc>
          <w:tcPr/>
          <w:p>
            <w:pPr>
              <w:pStyle w:val="Compact"/>
            </w:pPr>
            <w:r>
              <w:t xml:space="preserve">2.5%</w:t>
            </w:r>
          </w:p>
        </w:tc>
      </w:tr>
    </w:tbl>
    <w:p>
      <w:pPr>
        <w:pStyle w:val="BodyText"/>
      </w:pPr>
      <w:r>
        <w:t xml:space="preserve">Based on HM Treasury Green Book, Drupp et al. (2018), and Weitzman (2001).</w:t>
      </w:r>
    </w:p>
    <w:p>
      <w:pPr>
        <w:pStyle w:val="BodyText"/>
      </w:pPr>
      <m:oMathPara>
        <m:oMathParaPr>
          <m:jc m:val="center"/>
        </m:oMathParaPr>
        <m:oMath>
          <m:r>
            <m:t>P</m:t>
          </m:r>
          <m:sSub>
            <m:e>
              <m:r>
                <m:t>V</m:t>
              </m:r>
            </m:e>
            <m:sub>
              <m:r>
                <m:t>t</m:t>
              </m:r>
            </m:sub>
          </m:sSub>
          <m:r>
            <m:rPr>
              <m:sty m:val="p"/>
            </m:rPr>
            <m:t>=</m:t>
          </m:r>
          <m:f>
            <m:fPr>
              <m:type m:val="bar"/>
            </m:fPr>
            <m:num>
              <m:r>
                <m:t>1</m:t>
              </m:r>
            </m:num>
            <m:den>
              <m:nary>
                <m:naryPr>
                  <m:chr m:val="∏"/>
                  <m:limLoc m:val="undOvr"/>
                  <m:subHide m:val="off"/>
                  <m:supHide m:val="off"/>
                </m:naryPr>
                <m:sub>
                  <m:r>
                    <m:t>s</m:t>
                  </m:r>
                  <m:r>
                    <m:rPr>
                      <m:sty m:val="p"/>
                    </m:rPr>
                    <m:t>=</m:t>
                  </m:r>
                  <m:r>
                    <m:t>0</m:t>
                  </m:r>
                </m:sub>
                <m:sup>
                  <m:r>
                    <m:t>t</m:t>
                  </m:r>
                  <m:r>
                    <m:rPr>
                      <m:sty m:val="p"/>
                    </m:rPr>
                    <m:t>−</m:t>
                  </m:r>
                  <m:r>
                    <m:t>1</m:t>
                  </m:r>
                </m:sup>
                <m:e>
                  <m:d>
                    <m:dPr>
                      <m:begChr m:val="("/>
                      <m:sepChr m:val=""/>
                      <m:endChr m:val=")"/>
                      <m:grow/>
                    </m:dPr>
                    <m:e>
                      <m:r>
                        <m:t>1</m:t>
                      </m:r>
                      <m:r>
                        <m:rPr>
                          <m:sty m:val="p"/>
                        </m:rPr>
                        <m:t>+</m:t>
                      </m:r>
                      <m:sSub>
                        <m:e>
                          <m:r>
                            <m:t>r</m:t>
                          </m:r>
                        </m:e>
                        <m:sub>
                          <m:r>
                            <m:t>s</m:t>
                          </m:r>
                        </m:sub>
                      </m:sSub>
                    </m:e>
                  </m:d>
                </m:e>
              </m:nary>
            </m:den>
          </m:f>
        </m:oMath>
      </m:oMathPara>
    </w:p>
    <w:p>
      <w:r>
        <w:pict>
          <v:rect style="width:0;height:1.5pt" o:hralign="center" o:hrstd="t" o:hr="t"/>
        </w:pict>
      </w:r>
    </w:p>
    <w:bookmarkEnd w:id="271"/>
    <w:bookmarkEnd w:id="272"/>
    <w:bookmarkStart w:id="276" w:name="a.6-least-cost-electrification-engine"/>
    <w:p>
      <w:pPr>
        <w:pStyle w:val="Heading2"/>
      </w:pPr>
      <w:r>
        <w:t xml:space="preserve">21.6 A.6 Least-Cost Electrification Engine</w:t>
      </w:r>
    </w:p>
    <w:p>
      <w:pPr>
        <w:pStyle w:val="FirstParagraph"/>
      </w:pPr>
      <w:r>
        <w:t xml:space="preserve">The least-cost engine determines the optimal generation technology for each of the Maldives’ approximately one hundred and seventy inhabited islands, based on the full-lifecycle levelised cost of electricity (LCOE) for each technology option. This per-island approach is essential because the economics of small-island power generation vary dramatically with island size, population, solar resource, land availability, and diesel transport costs. An island with five hundred residents has fundamentally different optimal technology from one with fifty thousand.</w:t>
      </w:r>
    </w:p>
    <w:p>
      <w:pPr>
        <w:pStyle w:val="BodyText"/>
      </w:pPr>
      <w:r>
        <w:t xml:space="preserve">The per-island technology assignment uses discounted LCOE computed over the project lifetime with reinvestment:</w:t>
      </w:r>
    </w:p>
    <w:bookmarkStart w:id="273" w:name="eq-l1-discounted-lcoe-general-form"/>
    <w:p>
      <w:pPr>
        <w:pStyle w:val="Heading3"/>
      </w:pPr>
      <w:r>
        <w:t xml:space="preserve">21.6.1 EQ-L1: Discounted LCOE (General Form)</w:t>
      </w:r>
    </w:p>
    <w:p>
      <w:pPr>
        <w:pStyle w:val="FirstParagraph"/>
      </w:pPr>
      <m:oMathPara>
        <m:oMathParaPr>
          <m:jc m:val="center"/>
        </m:oMathParaPr>
        <m:oMath>
          <m:r>
            <m:rPr>
              <m:nor/>
              <m:sty m:val="p"/>
            </m:rPr>
            <m:t>LCOE</m:t>
          </m:r>
          <m:r>
            <m:rPr>
              <m:sty m:val="p"/>
            </m:rPr>
            <m:t>=</m:t>
          </m:r>
          <m:f>
            <m:fPr>
              <m:type m:val="bar"/>
            </m:fPr>
            <m:num>
              <m:nary>
                <m:naryPr>
                  <m:chr m:val="∑"/>
                  <m:limLoc m:val="undOvr"/>
                  <m:subHide m:val="off"/>
                  <m:supHide m:val="off"/>
                </m:naryPr>
                <m:sub>
                  <m:r>
                    <m:t>y</m:t>
                  </m:r>
                  <m:r>
                    <m:rPr>
                      <m:sty m:val="p"/>
                    </m:rPr>
                    <m:t>=</m:t>
                  </m:r>
                  <m:r>
                    <m:t>0</m:t>
                  </m:r>
                </m:sub>
                <m:sup>
                  <m:r>
                    <m:t>N</m:t>
                  </m:r>
                  <m:r>
                    <m:rPr>
                      <m:sty m:val="p"/>
                    </m:rPr>
                    <m:t>−</m:t>
                  </m:r>
                  <m:r>
                    <m:t>1</m:t>
                  </m:r>
                </m:sup>
                <m:e>
                  <m:f>
                    <m:fPr>
                      <m:type m:val="bar"/>
                    </m:fPr>
                    <m:num>
                      <m:sSub>
                        <m:e>
                          <m:r>
                            <m:t>I</m:t>
                          </m:r>
                        </m:e>
                        <m:sub>
                          <m:r>
                            <m:t>y</m:t>
                          </m:r>
                        </m:sub>
                      </m:sSub>
                      <m:r>
                        <m:rPr>
                          <m:sty m:val="p"/>
                        </m:rPr>
                        <m:t>+</m:t>
                      </m:r>
                      <m:sSub>
                        <m:e>
                          <m:r>
                            <m:t>O</m:t>
                          </m:r>
                        </m:e>
                        <m:sub>
                          <m:r>
                            <m:t>y</m:t>
                          </m:r>
                        </m:sub>
                      </m:sSub>
                      <m:r>
                        <m:rPr>
                          <m:sty m:val="p"/>
                        </m:rPr>
                        <m:t>+</m:t>
                      </m:r>
                      <m:sSub>
                        <m:e>
                          <m:r>
                            <m:t>F</m:t>
                          </m:r>
                        </m:e>
                        <m:sub>
                          <m:r>
                            <m:t>y</m:t>
                          </m:r>
                        </m:sub>
                      </m:sSub>
                      <m:r>
                        <m:rPr>
                          <m:sty m:val="p"/>
                        </m:rPr>
                        <m:t>−</m:t>
                      </m:r>
                      <m:sSub>
                        <m:e>
                          <m:r>
                            <m:t>S</m:t>
                          </m:r>
                        </m:e>
                        <m:sub>
                          <m:r>
                            <m:t>y</m:t>
                          </m:r>
                        </m:sub>
                      </m:sSub>
                    </m:num>
                    <m:den>
                      <m:sSup>
                        <m:e>
                          <m:d>
                            <m:dPr>
                              <m:begChr m:val="("/>
                              <m:sepChr m:val=""/>
                              <m:endChr m:val=")"/>
                              <m:grow/>
                            </m:dPr>
                            <m:e>
                              <m:r>
                                <m:t>1</m:t>
                              </m:r>
                              <m:r>
                                <m:rPr>
                                  <m:sty m:val="p"/>
                                </m:rPr>
                                <m:t>+</m:t>
                              </m:r>
                              <m:r>
                                <m:t>r</m:t>
                              </m:r>
                            </m:e>
                          </m:d>
                        </m:e>
                        <m:sup>
                          <m:r>
                            <m:t>y</m:t>
                          </m:r>
                        </m:sup>
                      </m:sSup>
                    </m:den>
                  </m:f>
                </m:e>
              </m:nary>
            </m:num>
            <m:den>
              <m:nary>
                <m:naryPr>
                  <m:chr m:val="∑"/>
                  <m:limLoc m:val="undOvr"/>
                  <m:subHide m:val="off"/>
                  <m:supHide m:val="off"/>
                </m:naryPr>
                <m:sub>
                  <m:r>
                    <m:t>y</m:t>
                  </m:r>
                  <m:r>
                    <m:rPr>
                      <m:sty m:val="p"/>
                    </m:rPr>
                    <m:t>=</m:t>
                  </m:r>
                  <m:r>
                    <m:t>0</m:t>
                  </m:r>
                </m:sub>
                <m:sup>
                  <m:r>
                    <m:t>N</m:t>
                  </m:r>
                  <m:r>
                    <m:rPr>
                      <m:sty m:val="p"/>
                    </m:rPr>
                    <m:t>−</m:t>
                  </m:r>
                  <m:r>
                    <m:t>1</m:t>
                  </m:r>
                </m:sup>
                <m:e>
                  <m:f>
                    <m:fPr>
                      <m:type m:val="bar"/>
                    </m:fPr>
                    <m:num>
                      <m:sSub>
                        <m:e>
                          <m:r>
                            <m:t>G</m:t>
                          </m:r>
                        </m:e>
                        <m:sub>
                          <m:r>
                            <m:t>y</m:t>
                          </m:r>
                        </m:sub>
                      </m:sSub>
                    </m:num>
                    <m:den>
                      <m:sSup>
                        <m:e>
                          <m:d>
                            <m:dPr>
                              <m:begChr m:val="("/>
                              <m:sepChr m:val=""/>
                              <m:endChr m:val=")"/>
                              <m:grow/>
                            </m:dPr>
                            <m:e>
                              <m:r>
                                <m:t>1</m:t>
                              </m:r>
                              <m:r>
                                <m:rPr>
                                  <m:sty m:val="p"/>
                                </m:rPr>
                                <m:t>+</m:t>
                              </m:r>
                              <m:r>
                                <m:t>r</m:t>
                              </m:r>
                            </m:e>
                          </m:d>
                        </m:e>
                        <m:sup>
                          <m:r>
                            <m:t>y</m:t>
                          </m:r>
                        </m:sup>
                      </m:sSup>
                    </m:den>
                  </m:f>
                </m:e>
              </m:nary>
            </m:den>
          </m:f>
        </m:oMath>
      </m:oMathPara>
    </w:p>
    <w:p>
      <w:pPr>
        <w:pStyle w:val="FirstParagraph"/>
      </w:pPr>
      <w:r>
        <w:t xml:space="preserve">Reinvestment occurs at year</w:t>
      </w:r>
      <w:r>
        <w:t xml:space="preserve"> </w:t>
      </w:r>
      <m:oMath>
        <m:r>
          <m:t>y</m:t>
        </m:r>
        <m:r>
          <m:rPr>
            <m:sty m:val="p"/>
          </m:rPr>
          <m:t>=</m:t>
        </m:r>
        <m:sSub>
          <m:e>
            <m:r>
              <m:t>τ</m:t>
            </m:r>
          </m:e>
          <m:sub>
            <m:r>
              <m:rPr>
                <m:nor/>
                <m:sty m:val="p"/>
              </m:rPr>
              <m:t>tech</m:t>
            </m:r>
          </m:sub>
        </m:sSub>
      </m:oMath>
      <w:r>
        <w:t xml:space="preserve">,</w:t>
      </w:r>
      <w:r>
        <w:t xml:space="preserve"> </w:t>
      </w:r>
      <m:oMath>
        <m:r>
          <m:t>2</m:t>
        </m:r>
        <m:sSub>
          <m:e>
            <m:r>
              <m:t>τ</m:t>
            </m:r>
          </m:e>
          <m:sub>
            <m:r>
              <m:rPr>
                <m:nor/>
                <m:sty m:val="p"/>
              </m:rPr>
              <m:t>tech</m:t>
            </m:r>
          </m:sub>
        </m:sSub>
      </m:oMath>
      <w:r>
        <w:t xml:space="preserve">, … while</w:t>
      </w:r>
      <w:r>
        <w:t xml:space="preserve"> </w:t>
      </w:r>
      <m:oMath>
        <m:r>
          <m:t>y</m:t>
        </m:r>
        <m:r>
          <m:rPr>
            <m:sty m:val="p"/>
          </m:rPr>
          <m:t>&lt;</m:t>
        </m:r>
        <m:r>
          <m:t>N</m:t>
        </m:r>
      </m:oMath>
      <w:r>
        <w:t xml:space="preserve">.</w:t>
      </w:r>
    </w:p>
    <w:bookmarkEnd w:id="273"/>
    <w:bookmarkStart w:id="274" w:name="eq-l2-solarbattery-lcoe"/>
    <w:p>
      <w:pPr>
        <w:pStyle w:val="Heading3"/>
      </w:pPr>
      <w:r>
        <w:t xml:space="preserve">21.6.2 EQ-L2: Solar+Battery LCOE</w:t>
      </w:r>
    </w:p>
    <w:p>
      <w:pPr>
        <w:pStyle w:val="FirstParagraph"/>
      </w:pPr>
      <w:r>
        <w:t xml:space="preserve">Sizing:</w:t>
      </w:r>
    </w:p>
    <w:p>
      <w:pPr>
        <w:pStyle w:val="BodyText"/>
      </w:pPr>
      <m:oMathPara>
        <m:oMathParaPr>
          <m:jc m:val="center"/>
        </m:oMathParaPr>
        <m:oMath>
          <m:sSub>
            <m:e>
              <m:r>
                <m:t>Q</m:t>
              </m:r>
            </m:e>
            <m:sub>
              <m:r>
                <m:rPr>
                  <m:nor/>
                  <m:sty m:val="p"/>
                </m:rPr>
                <m:t>solar,kW</m:t>
              </m:r>
            </m:sub>
          </m:sSub>
          <m:r>
            <m:rPr>
              <m:sty m:val="p"/>
            </m:rPr>
            <m:t>=</m:t>
          </m:r>
          <m:f>
            <m:fPr>
              <m:type m:val="bar"/>
            </m:fPr>
            <m:num>
              <m:r>
                <m:t>D</m:t>
              </m:r>
              <m:r>
                <m:rPr>
                  <m:sty m:val="p"/>
                </m:rPr>
                <m:t>/</m:t>
              </m:r>
              <m:d>
                <m:dPr>
                  <m:begChr m:val="("/>
                  <m:sepChr m:val=""/>
                  <m:endChr m:val=")"/>
                  <m:grow/>
                </m:dPr>
                <m:e>
                  <m:r>
                    <m:t>1</m:t>
                  </m:r>
                  <m:r>
                    <m:rPr>
                      <m:sty m:val="p"/>
                    </m:rPr>
                    <m:t>−</m:t>
                  </m:r>
                  <m:sSub>
                    <m:e>
                      <m:r>
                        <m:t>l</m:t>
                      </m:r>
                    </m:e>
                    <m:sub>
                      <m:r>
                        <m:t>d</m:t>
                      </m:r>
                    </m:sub>
                  </m:sSub>
                </m:e>
              </m:d>
            </m:num>
            <m:den>
              <m:r>
                <m:t>C</m:t>
              </m:r>
              <m:sSub>
                <m:e>
                  <m:r>
                    <m:t>F</m:t>
                  </m:r>
                </m:e>
                <m:sub>
                  <m:r>
                    <m:rPr>
                      <m:nor/>
                      <m:sty m:val="p"/>
                    </m:rPr>
                    <m:t>eff</m:t>
                  </m:r>
                </m:sub>
              </m:sSub>
              <m:r>
                <m:rPr>
                  <m:sty m:val="p"/>
                </m:rPr>
                <m:t>×</m:t>
              </m:r>
              <m:r>
                <m:t>8760</m:t>
              </m:r>
            </m:den>
          </m:f>
        </m:oMath>
      </m:oMathPara>
    </w:p>
    <w:p>
      <w:pPr>
        <w:pStyle w:val="FirstParagraph"/>
      </w:pPr>
      <m:oMathPara>
        <m:oMathParaPr>
          <m:jc m:val="center"/>
        </m:oMathParaPr>
        <m:oMath>
          <m:sSub>
            <m:e>
              <m:r>
                <m:t>Q</m:t>
              </m:r>
            </m:e>
            <m:sub>
              <m:r>
                <m:rPr>
                  <m:nor/>
                  <m:sty m:val="p"/>
                </m:rPr>
                <m:t>batt,kWh</m:t>
              </m:r>
            </m:sub>
          </m:sSub>
          <m:r>
            <m:rPr>
              <m:sty m:val="p"/>
            </m:rPr>
            <m:t>=</m:t>
          </m:r>
          <m:f>
            <m:fPr>
              <m:type m:val="bar"/>
            </m:fPr>
            <m:num>
              <m:sSub>
                <m:e>
                  <m:r>
                    <m:t>P</m:t>
                  </m:r>
                </m:e>
                <m:sub>
                  <m:r>
                    <m:rPr>
                      <m:nor/>
                      <m:sty m:val="p"/>
                    </m:rPr>
                    <m:t>kW</m:t>
                  </m:r>
                </m:sub>
              </m:sSub>
              <m:r>
                <m:rPr>
                  <m:sty m:val="p"/>
                </m:rPr>
                <m:t>×</m:t>
              </m:r>
              <m:sSub>
                <m:e>
                  <m:r>
                    <m:t>h</m:t>
                  </m:r>
                </m:e>
                <m:sub>
                  <m:r>
                    <m:rPr>
                      <m:nor/>
                      <m:sty m:val="p"/>
                    </m:rPr>
                    <m:t>batt</m:t>
                  </m:r>
                </m:sub>
              </m:sSub>
            </m:num>
            <m:den>
              <m:r>
                <m:t>D</m:t>
              </m:r>
              <m:r>
                <m:t>o</m:t>
              </m:r>
              <m:r>
                <m:t>D</m:t>
              </m:r>
            </m:den>
          </m:f>
        </m:oMath>
      </m:oMathPara>
    </w:p>
    <w:p>
      <w:pPr>
        <w:pStyle w:val="FirstParagraph"/>
      </w:pPr>
      <w:r>
        <w:t xml:space="preserve">Split into separate LCOE components (different lifetimes):</w:t>
      </w:r>
    </w:p>
    <w:p>
      <w:pPr>
        <w:pStyle w:val="BodyText"/>
      </w:pPr>
      <m:oMathPara>
        <m:oMathParaPr>
          <m:jc m:val="center"/>
        </m:oMathParaPr>
        <m:oMath>
          <m:sSub>
            <m:e>
              <m:r>
                <m:rPr>
                  <m:nor/>
                  <m:sty m:val="p"/>
                </m:rPr>
                <m:t>LCOE</m:t>
              </m:r>
            </m:e>
            <m:sub>
              <m:r>
                <m:rPr>
                  <m:nor/>
                  <m:sty m:val="p"/>
                </m:rPr>
                <m:t>solar+batt</m:t>
              </m:r>
            </m:sub>
          </m:sSub>
          <m:r>
            <m:rPr>
              <m:sty m:val="p"/>
            </m:rPr>
            <m:t>=</m:t>
          </m:r>
          <m:sSub>
            <m:e>
              <m:r>
                <m:rPr>
                  <m:nor/>
                  <m:sty m:val="p"/>
                </m:rPr>
                <m:t>LCOE</m:t>
              </m:r>
            </m:e>
            <m:sub>
              <m:r>
                <m:rPr>
                  <m:nor/>
                  <m:sty m:val="p"/>
                </m:rPr>
                <m:t>solar</m:t>
              </m:r>
            </m:sub>
          </m:sSub>
          <m:r>
            <m:rPr>
              <m:sty m:val="p"/>
            </m:rPr>
            <m:t>+</m:t>
          </m:r>
          <m:sSub>
            <m:e>
              <m:r>
                <m:rPr>
                  <m:nor/>
                  <m:sty m:val="p"/>
                </m:rPr>
                <m:t>LCOE</m:t>
              </m:r>
            </m:e>
            <m:sub>
              <m:r>
                <m:rPr>
                  <m:nor/>
                  <m:sty m:val="p"/>
                </m:rPr>
                <m:t>batt</m:t>
              </m:r>
            </m:sub>
          </m:sSub>
        </m:oMath>
      </m:oMathPara>
    </w:p>
    <w:bookmarkEnd w:id="274"/>
    <w:bookmarkStart w:id="275" w:name="eq-l3-solar-land-constraint"/>
    <w:p>
      <w:pPr>
        <w:pStyle w:val="Heading3"/>
      </w:pPr>
      <w:r>
        <w:t xml:space="preserve">21.6.3 EQ-L3: Solar Land Constraint</w:t>
      </w:r>
    </w:p>
    <w:p>
      <w:pPr>
        <w:pStyle w:val="FirstParagraph"/>
      </w:pPr>
      <m:oMathPara>
        <m:oMathParaPr>
          <m:jc m:val="center"/>
        </m:oMathParaPr>
        <m:oMath>
          <m:sSub>
            <m:e>
              <m:r>
                <m:t>Q</m:t>
              </m:r>
            </m:e>
            <m:sub>
              <m:r>
                <m:rPr>
                  <m:nor/>
                  <m:sty m:val="p"/>
                </m:rPr>
                <m:t>solar,max</m:t>
              </m:r>
            </m:sub>
          </m:sSub>
          <m:r>
            <m:rPr>
              <m:sty m:val="p"/>
            </m:rPr>
            <m:t>=</m:t>
          </m:r>
          <m:sSub>
            <m:e>
              <m:r>
                <m:t>A</m:t>
              </m:r>
            </m:e>
            <m:sub>
              <m:r>
                <m:rPr>
                  <m:nor/>
                  <m:sty m:val="p"/>
                </m:rPr>
                <m:t>island</m:t>
              </m:r>
            </m:sub>
          </m:sSub>
          <m:r>
            <m:rPr>
              <m:sty m:val="p"/>
            </m:rPr>
            <m:t>×</m:t>
          </m:r>
          <m:sSub>
            <m:e>
              <m:r>
                <m:t>f</m:t>
              </m:r>
            </m:e>
            <m:sub>
              <m:r>
                <m:rPr>
                  <m:nor/>
                  <m:sty m:val="p"/>
                </m:rPr>
                <m:t>solar</m:t>
              </m:r>
            </m:sub>
          </m:sSub>
          <m:r>
            <m:rPr>
              <m:sty m:val="p"/>
            </m:rPr>
            <m:t>×</m:t>
          </m:r>
          <m:f>
            <m:fPr>
              <m:type m:val="bar"/>
            </m:fPr>
            <m:num>
              <m:r>
                <m:t>1000</m:t>
              </m:r>
            </m:num>
            <m:den>
              <m:sSub>
                <m:e>
                  <m:r>
                    <m:t>A</m:t>
                  </m:r>
                </m:e>
                <m:sub>
                  <m:r>
                    <m:rPr>
                      <m:nor/>
                      <m:sty m:val="p"/>
                    </m:rPr>
                    <m:t>panel</m:t>
                  </m:r>
                </m:sub>
              </m:sSub>
            </m:den>
          </m:f>
        </m:oMath>
      </m:oMathPara>
    </w:p>
    <w:p>
      <w:pPr>
        <w:pStyle w:val="FirstParagraph"/>
      </w:pPr>
      <w:r>
        <w:t xml:space="preserve">where</w:t>
      </w:r>
      <w:r>
        <w:t xml:space="preserve"> </w:t>
      </w:r>
      <m:oMath>
        <m:sSub>
          <m:e>
            <m:r>
              <m:t>f</m:t>
            </m:r>
          </m:e>
          <m:sub>
            <m:r>
              <m:rPr>
                <m:nor/>
                <m:sty m:val="p"/>
              </m:rPr>
              <m:t>solar</m:t>
            </m:r>
          </m:sub>
        </m:sSub>
      </m:oMath>
      <w:r>
        <w:t xml:space="preserve"> </w:t>
      </w:r>
      <w:r>
        <w:t xml:space="preserve">is the usable land fraction for solar (varies by island density) and</w:t>
      </w:r>
      <w:r>
        <w:t xml:space="preserve"> </w:t>
      </w:r>
      <m:oMath>
        <m:sSub>
          <m:e>
            <m:r>
              <m:t>A</m:t>
            </m:r>
          </m:e>
          <m:sub>
            <m:r>
              <m:rPr>
                <m:nor/>
                <m:sty m:val="p"/>
              </m:rPr>
              <m:t>panel</m:t>
            </m:r>
          </m:sub>
        </m:sSub>
      </m:oMath>
      <w:r>
        <w:t xml:space="preserve"> </w:t>
      </w:r>
      <w:r>
        <w:t xml:space="preserve">is the panel area requirement (m²/kW).</w:t>
      </w:r>
    </w:p>
    <w:p>
      <w:r>
        <w:pict>
          <v:rect style="width:0;height:1.5pt" o:hralign="center" o:hrstd="t" o:hr="t"/>
        </w:pict>
      </w:r>
    </w:p>
    <w:bookmarkEnd w:id="275"/>
    <w:bookmarkEnd w:id="276"/>
    <w:bookmarkStart w:id="280" w:name="a.7-sensitivity-monte-carlo"/>
    <w:p>
      <w:pPr>
        <w:pStyle w:val="Heading2"/>
      </w:pPr>
      <w:r>
        <w:t xml:space="preserve">21.7 A.7 Sensitivity &amp; Monte Carlo</w:t>
      </w:r>
    </w:p>
    <w:p>
      <w:pPr>
        <w:pStyle w:val="FirstParagraph"/>
      </w:pPr>
      <w:r>
        <w:t xml:space="preserve">The sensitivity and Monte Carlo modules systematically explore how parameter uncertainty affects the model’s conclusions. One-way sensitivity analysis identifies which individual parameters have the greatest influence on results, while Monte Carlo simulation captures the joint effect of simultaneous variation in all uncertain parameters, accounting for correlations between related variables.</w:t>
      </w:r>
    </w:p>
    <w:bookmarkStart w:id="277" w:name="one-way-sensitivity"/>
    <w:p>
      <w:pPr>
        <w:pStyle w:val="Heading3"/>
      </w:pPr>
      <w:r>
        <w:t xml:space="preserve">21.7.1 One-Way Sensitivity</w:t>
      </w:r>
    </w:p>
    <w:p>
      <w:pPr>
        <w:pStyle w:val="FirstParagraph"/>
      </w:pPr>
      <w:r>
        <w:t xml:space="preserve">Each parameter is varied independently between its Low and High bounds while all others remain at base values. NPV change is computed for each variation:</w:t>
      </w:r>
    </w:p>
    <w:p>
      <w:pPr>
        <w:pStyle w:val="BodyText"/>
      </w:pPr>
      <m:oMathPara>
        <m:oMathParaPr>
          <m:jc m:val="center"/>
        </m:oMathParaPr>
        <m:oMath>
          <m:r>
            <m:t>Δ</m:t>
          </m:r>
          <m:sSubSup>
            <m:e>
              <m:r>
                <m:rPr>
                  <m:nor/>
                  <m:sty m:val="p"/>
                </m:rPr>
                <m:t>NPV</m:t>
              </m:r>
            </m:e>
            <m:sub>
              <m:r>
                <m:t>i</m:t>
              </m:r>
            </m:sub>
            <m:sup>
              <m:r>
                <m:rPr>
                  <m:sty m:val="p"/>
                </m:rPr>
                <m:t>±</m:t>
              </m:r>
            </m:sup>
          </m:sSubSup>
          <m:r>
            <m:rPr>
              <m:sty m:val="p"/>
            </m:rPr>
            <m:t>=</m:t>
          </m:r>
          <m:r>
            <m:rPr>
              <m:nor/>
              <m:sty m:val="p"/>
            </m:rPr>
            <m:t>NPV</m:t>
          </m:r>
          <m:d>
            <m:dPr>
              <m:begChr m:val="("/>
              <m:sepChr m:val=""/>
              <m:endChr m:val=")"/>
              <m:grow/>
            </m:dPr>
            <m:e>
              <m:sSubSup>
                <m:e>
                  <m:r>
                    <m:t>p</m:t>
                  </m:r>
                </m:e>
                <m:sub>
                  <m:r>
                    <m:t>i</m:t>
                  </m:r>
                </m:sub>
                <m:sup>
                  <m:r>
                    <m:rPr>
                      <m:sty m:val="p"/>
                    </m:rPr>
                    <m:t>±</m:t>
                  </m:r>
                </m:sup>
              </m:sSubSup>
            </m:e>
          </m:d>
          <m:r>
            <m:rPr>
              <m:sty m:val="p"/>
            </m:rPr>
            <m:t>−</m:t>
          </m:r>
          <m:r>
            <m:rPr>
              <m:nor/>
              <m:sty m:val="p"/>
            </m:rPr>
            <m:t>NPV</m:t>
          </m:r>
          <m:d>
            <m:dPr>
              <m:begChr m:val="("/>
              <m:sepChr m:val=""/>
              <m:endChr m:val=")"/>
              <m:grow/>
            </m:dPr>
            <m:e>
              <m:sSubSup>
                <m:e>
                  <m:r>
                    <m:t>p</m:t>
                  </m:r>
                </m:e>
                <m:sub>
                  <m:r>
                    <m:t>i</m:t>
                  </m:r>
                </m:sub>
                <m:sup>
                  <m:r>
                    <m:rPr>
                      <m:nor/>
                      <m:sty m:val="p"/>
                    </m:rPr>
                    <m:t>base</m:t>
                  </m:r>
                </m:sup>
              </m:sSubSup>
            </m:e>
          </m:d>
        </m:oMath>
      </m:oMathPara>
    </w:p>
    <w:p>
      <w:pPr>
        <w:pStyle w:val="FirstParagraph"/>
      </w:pPr>
      <w:r>
        <w:t xml:space="preserve">Results are displayed as tornado diagrams ranked by</w:t>
      </w:r>
      <w:r>
        <w:t xml:space="preserve"> </w:t>
      </w:r>
      <m:oMath>
        <m:d>
          <m:dPr>
            <m:begChr m:val="|"/>
            <m:sepChr m:val=""/>
            <m:endChr m:val="|"/>
            <m:grow/>
          </m:dPr>
          <m:e>
            <m:r>
              <m:t>Δ</m:t>
            </m:r>
            <m:sSubSup>
              <m:e>
                <m:r>
                  <m:rPr>
                    <m:nor/>
                    <m:sty m:val="p"/>
                  </m:rPr>
                  <m:t>NPV</m:t>
                </m:r>
              </m:e>
              <m:sub>
                <m:r>
                  <m:t>i</m:t>
                </m:r>
              </m:sub>
              <m:sup>
                <m:r>
                  <m:rPr>
                    <m:sty m:val="p"/>
                  </m:rPr>
                  <m:t>+</m:t>
                </m:r>
              </m:sup>
            </m:sSubSup>
            <m:r>
              <m:rPr>
                <m:sty m:val="p"/>
              </m:rPr>
              <m:t>−</m:t>
            </m:r>
            <m:r>
              <m:t>Δ</m:t>
            </m:r>
            <m:sSubSup>
              <m:e>
                <m:r>
                  <m:rPr>
                    <m:nor/>
                    <m:sty m:val="p"/>
                  </m:rPr>
                  <m:t>NPV</m:t>
                </m:r>
              </m:e>
              <m:sub>
                <m:r>
                  <m:t>i</m:t>
                </m:r>
              </m:sub>
              <m:sup>
                <m:r>
                  <m:rPr>
                    <m:sty m:val="p"/>
                  </m:rPr>
                  <m:t>−</m:t>
                </m:r>
              </m:sup>
            </m:sSubSup>
          </m:e>
        </m:d>
      </m:oMath>
      <w:r>
        <w:t xml:space="preserve">.</w:t>
      </w:r>
    </w:p>
    <w:bookmarkEnd w:id="277"/>
    <w:bookmarkStart w:id="278" w:name="monte-carlo-simulation-1"/>
    <w:p>
      <w:pPr>
        <w:pStyle w:val="Heading3"/>
      </w:pPr>
      <w:r>
        <w:t xml:space="preserve">21.7.2 Monte Carlo Simulation</w:t>
      </w:r>
    </w:p>
    <w:p>
      <w:pPr>
        <w:pStyle w:val="FirstParagraph"/>
      </w:pPr>
      <w:r>
        <w:rPr>
          <w:b/>
          <w:bCs/>
        </w:rPr>
        <w:t xml:space="preserve">Method:</w:t>
      </w:r>
      <w:r>
        <w:t xml:space="preserve"> </w:t>
      </w:r>
      <w:r>
        <w:t xml:space="preserve">1000 iterations with Latin Hypercube Sampling (LHS) over 0 correlated parameters. Correlations imposed via Iman–Conover rank-correlation method.</w:t>
      </w:r>
    </w:p>
    <w:p>
      <w:pPr>
        <w:pStyle w:val="BodyText"/>
      </w:pPr>
      <w:r>
        <w:t xml:space="preserve">For each iteration</w:t>
      </w:r>
      <w:r>
        <w:t xml:space="preserve"> </w:t>
      </w:r>
      <m:oMath>
        <m:r>
          <m:t>k</m:t>
        </m:r>
      </m:oMath>
      <w:r>
        <w:t xml:space="preserve">:</w:t>
      </w:r>
    </w:p>
    <w:p>
      <w:pPr>
        <w:pStyle w:val="Compact"/>
        <w:numPr>
          <w:ilvl w:val="0"/>
          <w:numId w:val="1005"/>
        </w:numPr>
      </w:pPr>
      <w:r>
        <w:t xml:space="preserve">Sample parameter vector</w:t>
      </w:r>
      <w:r>
        <w:t xml:space="preserve"> </w:t>
      </w:r>
      <m:oMath>
        <m:sSup>
          <m:e>
            <m:r>
              <m:rPr>
                <m:sty m:val="b"/>
              </m:rPr>
              <m:t>p</m:t>
            </m:r>
          </m:e>
          <m:sup>
            <m:d>
              <m:dPr>
                <m:begChr m:val="("/>
                <m:sepChr m:val=""/>
                <m:endChr m:val=")"/>
                <m:grow/>
              </m:dPr>
              <m:e>
                <m:r>
                  <m:t>k</m:t>
                </m:r>
              </m:e>
            </m:d>
          </m:sup>
        </m:sSup>
      </m:oMath>
      <w:r>
        <w:t xml:space="preserve"> </w:t>
      </w:r>
      <w:r>
        <w:t xml:space="preserve">from the joint distribution (triangular marginals, Low–Base–High)</w:t>
      </w:r>
    </w:p>
    <w:p>
      <w:pPr>
        <w:pStyle w:val="Compact"/>
        <w:numPr>
          <w:ilvl w:val="0"/>
          <w:numId w:val="1005"/>
        </w:numPr>
      </w:pPr>
      <w:r>
        <w:t xml:space="preserve">Impose correlation structure via rank reordering</w:t>
      </w:r>
    </w:p>
    <w:p>
      <w:pPr>
        <w:pStyle w:val="Compact"/>
        <w:numPr>
          <w:ilvl w:val="0"/>
          <w:numId w:val="1005"/>
        </w:numPr>
      </w:pPr>
      <w:r>
        <w:t xml:space="preserve">Run full CBA with</w:t>
      </w:r>
      <w:r>
        <w:t xml:space="preserve"> </w:t>
      </w:r>
      <m:oMath>
        <m:sSup>
          <m:e>
            <m:r>
              <m:rPr>
                <m:sty m:val="b"/>
              </m:rPr>
              <m:t>p</m:t>
            </m:r>
          </m:e>
          <m:sup>
            <m:d>
              <m:dPr>
                <m:begChr m:val="("/>
                <m:sepChr m:val=""/>
                <m:endChr m:val=")"/>
                <m:grow/>
              </m:dPr>
              <m:e>
                <m:r>
                  <m:t>k</m:t>
                </m:r>
              </m:e>
            </m:d>
          </m:sup>
        </m:sSup>
      </m:oMath>
      <w:r>
        <w:t xml:space="preserve"> </w:t>
      </w:r>
      <w:r>
        <w:t xml:space="preserve">to obtain</w:t>
      </w:r>
      <w:r>
        <w:t xml:space="preserve"> </w:t>
      </w:r>
      <m:oMath>
        <m:sSup>
          <m:e>
            <m:r>
              <m:rPr>
                <m:nor/>
                <m:sty m:val="p"/>
              </m:rPr>
              <m:t>NPV</m:t>
            </m:r>
          </m:e>
          <m:sup>
            <m:d>
              <m:dPr>
                <m:begChr m:val="("/>
                <m:sepChr m:val=""/>
                <m:endChr m:val=")"/>
                <m:grow/>
              </m:dPr>
              <m:e>
                <m:r>
                  <m:t>k</m:t>
                </m:r>
              </m:e>
            </m:d>
          </m:sup>
        </m:sSup>
      </m:oMath>
      <w:r>
        <w:t xml:space="preserve"> </w:t>
      </w:r>
      <w:r>
        <w:t xml:space="preserve">for all scenarios</w:t>
      </w:r>
    </w:p>
    <w:p>
      <w:pPr>
        <w:pStyle w:val="Compact"/>
        <w:numPr>
          <w:ilvl w:val="0"/>
          <w:numId w:val="1005"/>
        </w:numPr>
      </w:pPr>
      <w:r>
        <w:t xml:space="preserve">Record scenario rankings</w:t>
      </w:r>
    </w:p>
    <w:p>
      <w:pPr>
        <w:pStyle w:val="FirstParagraph"/>
      </w:pPr>
      <w:r>
        <w:rPr>
          <w:b/>
          <w:bCs/>
        </w:rPr>
        <w:t xml:space="preserve">Convergence diagnostic:</w:t>
      </w:r>
      <w:r>
        <w:t xml:space="preserve"> </w:t>
      </w:r>
      <w:r>
        <w:t xml:space="preserve">Standard error of mean NPV falls below 1% of the mean after ~500 iterations.</w:t>
      </w:r>
    </w:p>
    <w:bookmarkEnd w:id="278"/>
    <w:bookmarkStart w:id="279" w:name="switching-values-1"/>
    <w:p>
      <w:pPr>
        <w:pStyle w:val="Heading3"/>
      </w:pPr>
      <w:r>
        <w:t xml:space="preserve">21.7.3 Switching Values</w:t>
      </w:r>
    </w:p>
    <w:p>
      <w:pPr>
        <w:pStyle w:val="FirstParagraph"/>
      </w:pPr>
      <w:r>
        <w:t xml:space="preserve">The switching value analysis identifies the parameter value at which the preferred scenario changes:</w:t>
      </w:r>
    </w:p>
    <w:p>
      <w:pPr>
        <w:pStyle w:val="BodyText"/>
      </w:pPr>
      <m:oMathPara>
        <m:oMathParaPr>
          <m:jc m:val="center"/>
        </m:oMathParaPr>
        <m:oMath>
          <m:sSubSup>
            <m:e>
              <m:r>
                <m:t>p</m:t>
              </m:r>
            </m:e>
            <m:sub>
              <m:r>
                <m:t>i</m:t>
              </m:r>
            </m:sub>
            <m:sup>
              <m:r>
                <m:rPr>
                  <m:sty m:val="p"/>
                </m:rPr>
                <m:t>*</m:t>
              </m:r>
            </m:sup>
          </m:sSubSup>
          <m:r>
            <m:rPr>
              <m:sty m:val="p"/>
            </m:rPr>
            <m:t>:</m:t>
          </m:r>
          <m:sSub>
            <m:e>
              <m:r>
                <m:rPr>
                  <m:nor/>
                  <m:sty m:val="p"/>
                </m:rPr>
                <m:t>NPV</m:t>
              </m:r>
            </m:e>
            <m:sub>
              <m:r>
                <m:t>A</m:t>
              </m:r>
            </m:sub>
          </m:sSub>
          <m:d>
            <m:dPr>
              <m:begChr m:val="("/>
              <m:sepChr m:val=""/>
              <m:endChr m:val=")"/>
              <m:grow/>
            </m:dPr>
            <m:e>
              <m:sSubSup>
                <m:e>
                  <m:r>
                    <m:t>p</m:t>
                  </m:r>
                </m:e>
                <m:sub>
                  <m:r>
                    <m:t>i</m:t>
                  </m:r>
                </m:sub>
                <m:sup>
                  <m:r>
                    <m:rPr>
                      <m:sty m:val="p"/>
                    </m:rPr>
                    <m:t>*</m:t>
                  </m:r>
                </m:sup>
              </m:sSubSup>
            </m:e>
          </m:d>
          <m:r>
            <m:rPr>
              <m:sty m:val="p"/>
            </m:rPr>
            <m:t>=</m:t>
          </m:r>
          <m:sSub>
            <m:e>
              <m:r>
                <m:rPr>
                  <m:nor/>
                  <m:sty m:val="p"/>
                </m:rPr>
                <m:t>NPV</m:t>
              </m:r>
            </m:e>
            <m:sub>
              <m:r>
                <m:t>B</m:t>
              </m:r>
            </m:sub>
          </m:sSub>
          <m:d>
            <m:dPr>
              <m:begChr m:val="("/>
              <m:sepChr m:val=""/>
              <m:endChr m:val=")"/>
              <m:grow/>
            </m:dPr>
            <m:e>
              <m:sSubSup>
                <m:e>
                  <m:r>
                    <m:t>p</m:t>
                  </m:r>
                </m:e>
                <m:sub>
                  <m:r>
                    <m:t>i</m:t>
                  </m:r>
                </m:sub>
                <m:sup>
                  <m:r>
                    <m:rPr>
                      <m:sty m:val="p"/>
                    </m:rPr>
                    <m:t>*</m:t>
                  </m:r>
                </m:sup>
              </m:sSubSup>
            </m:e>
          </m:d>
        </m:oMath>
      </m:oMathPara>
    </w:p>
    <w:p>
      <w:pPr>
        <w:pStyle w:val="FirstParagraph"/>
      </w:pPr>
      <w:r>
        <w:t xml:space="preserve">This is solved by linear interpolation between the Low and High NPV evaluations.</w:t>
      </w:r>
    </w:p>
    <w:p>
      <w:r>
        <w:pict>
          <v:rect style="width:0;height:1.5pt" o:hralign="center" o:hrstd="t" o:hr="t"/>
        </w:pict>
      </w:r>
    </w:p>
    <w:bookmarkEnd w:id="279"/>
    <w:bookmarkEnd w:id="280"/>
    <w:bookmarkStart w:id="282" w:name="a.8-multi-criteria-analysis"/>
    <w:p>
      <w:pPr>
        <w:pStyle w:val="Heading2"/>
      </w:pPr>
      <w:r>
        <w:t xml:space="preserve">21.8 A.8 Multi-Criteria Analysis</w:t>
      </w:r>
    </w:p>
    <w:bookmarkStart w:id="281" w:name="scoring-methodology"/>
    <w:p>
      <w:pPr>
        <w:pStyle w:val="Heading3"/>
      </w:pPr>
      <w:r>
        <w:t xml:space="preserve">21.8.1 Scoring Methodology</w:t>
      </w:r>
    </w:p>
    <w:p>
      <w:pPr>
        <w:pStyle w:val="FirstParagraph"/>
      </w:pPr>
      <w:r>
        <w:t xml:space="preserve">For each criterion</w:t>
      </w:r>
      <w:r>
        <w:t xml:space="preserve"> </w:t>
      </w:r>
      <m:oMath>
        <m:r>
          <m:t>j</m:t>
        </m:r>
      </m:oMath>
      <w:r>
        <w:t xml:space="preserve"> </w:t>
      </w:r>
      <w:r>
        <w:t xml:space="preserve">and scenario</w:t>
      </w:r>
      <w:r>
        <w:t xml:space="preserve"> </w:t>
      </w:r>
      <m:oMath>
        <m:r>
          <m:t>i</m:t>
        </m:r>
      </m:oMath>
      <w:r>
        <w:t xml:space="preserve">:</w:t>
      </w:r>
    </w:p>
    <w:p>
      <w:pPr>
        <w:pStyle w:val="BodyText"/>
      </w:pPr>
      <m:oMathPara>
        <m:oMathParaPr>
          <m:jc m:val="center"/>
        </m:oMathParaPr>
        <m:oMath>
          <m:sSub>
            <m:e>
              <m:r>
                <m:rPr>
                  <m:nor/>
                  <m:sty m:val="p"/>
                </m:rPr>
                <m:t>Score</m:t>
              </m:r>
            </m:e>
            <m:sub>
              <m:r>
                <m:t>i</m:t>
              </m:r>
              <m:r>
                <m:t>j</m:t>
              </m:r>
            </m:sub>
          </m:sSub>
          <m:r>
            <m:rPr>
              <m:sty m:val="p"/>
            </m:rPr>
            <m:t>=</m:t>
          </m:r>
          <m:f>
            <m:fPr>
              <m:type m:val="bar"/>
            </m:fPr>
            <m:num>
              <m:sSub>
                <m:e>
                  <m:r>
                    <m:t>x</m:t>
                  </m:r>
                </m:e>
                <m:sub>
                  <m:r>
                    <m:t>i</m:t>
                  </m:r>
                  <m:r>
                    <m:t>j</m:t>
                  </m:r>
                </m:sub>
              </m:sSub>
              <m:r>
                <m:rPr>
                  <m:sty m:val="p"/>
                </m:rPr>
                <m:t>−</m:t>
              </m:r>
              <m:limLow>
                <m:e>
                  <m:r>
                    <m:rPr>
                      <m:sty m:val="p"/>
                    </m:rPr>
                    <m:t>min</m:t>
                  </m:r>
                </m:e>
                <m:lim>
                  <m:r>
                    <m:t>i</m:t>
                  </m:r>
                </m:lim>
              </m:limLow>
              <m:d>
                <m:dPr>
                  <m:begChr m:val="("/>
                  <m:sepChr m:val=""/>
                  <m:endChr m:val=")"/>
                  <m:grow/>
                </m:dPr>
                <m:e>
                  <m:sSub>
                    <m:e>
                      <m:r>
                        <m:t>x</m:t>
                      </m:r>
                    </m:e>
                    <m:sub>
                      <m:r>
                        <m:t>i</m:t>
                      </m:r>
                      <m:r>
                        <m:t>j</m:t>
                      </m:r>
                    </m:sub>
                  </m:sSub>
                </m:e>
              </m:d>
            </m:num>
            <m:den>
              <m:limLow>
                <m:e>
                  <m:r>
                    <m:rPr>
                      <m:sty m:val="p"/>
                    </m:rPr>
                    <m:t>max</m:t>
                  </m:r>
                </m:e>
                <m:lim>
                  <m:r>
                    <m:t>i</m:t>
                  </m:r>
                </m:lim>
              </m:limLow>
              <m:d>
                <m:dPr>
                  <m:begChr m:val="("/>
                  <m:sepChr m:val=""/>
                  <m:endChr m:val=")"/>
                  <m:grow/>
                </m:dPr>
                <m:e>
                  <m:sSub>
                    <m:e>
                      <m:r>
                        <m:t>x</m:t>
                      </m:r>
                    </m:e>
                    <m:sub>
                      <m:r>
                        <m:t>i</m:t>
                      </m:r>
                      <m:r>
                        <m:t>j</m:t>
                      </m:r>
                    </m:sub>
                  </m:sSub>
                </m:e>
              </m:d>
              <m:r>
                <m:rPr>
                  <m:sty m:val="p"/>
                </m:rPr>
                <m:t>−</m:t>
              </m:r>
              <m:limLow>
                <m:e>
                  <m:r>
                    <m:rPr>
                      <m:sty m:val="p"/>
                    </m:rPr>
                    <m:t>min</m:t>
                  </m:r>
                </m:e>
                <m:lim>
                  <m:r>
                    <m:t>i</m:t>
                  </m:r>
                </m:lim>
              </m:limLow>
              <m:d>
                <m:dPr>
                  <m:begChr m:val="("/>
                  <m:sepChr m:val=""/>
                  <m:endChr m:val=")"/>
                  <m:grow/>
                </m:dPr>
                <m:e>
                  <m:sSub>
                    <m:e>
                      <m:r>
                        <m:t>x</m:t>
                      </m:r>
                    </m:e>
                    <m:sub>
                      <m:r>
                        <m:t>i</m:t>
                      </m:r>
                      <m:r>
                        <m:t>j</m:t>
                      </m:r>
                    </m:sub>
                  </m:sSub>
                </m:e>
              </m:d>
            </m:den>
          </m:f>
        </m:oMath>
      </m:oMathPara>
    </w:p>
    <w:p>
      <w:pPr>
        <w:pStyle w:val="FirstParagraph"/>
      </w:pPr>
      <w:r>
        <w:t xml:space="preserve">with direction adjustment (higher-is-better vs. lower-is-better). Weighted aggregate:</w:t>
      </w:r>
    </w:p>
    <w:p>
      <w:pPr>
        <w:pStyle w:val="BodyText"/>
      </w:pPr>
      <m:oMathPara>
        <m:oMathParaPr>
          <m:jc m:val="center"/>
        </m:oMathParaPr>
        <m:oMath>
          <m:sSub>
            <m:e>
              <m:r>
                <m:t>W</m:t>
              </m:r>
            </m:e>
            <m:sub>
              <m:r>
                <m:t>i</m:t>
              </m:r>
            </m:sub>
          </m:sSub>
          <m:r>
            <m:rPr>
              <m:sty m:val="p"/>
            </m:rPr>
            <m:t>=</m:t>
          </m:r>
          <m:nary>
            <m:naryPr>
              <m:chr m:val="∑"/>
              <m:limLoc m:val="undOvr"/>
              <m:subHide m:val="off"/>
              <m:supHide m:val="off"/>
            </m:naryPr>
            <m:sub>
              <m:r>
                <m:t>j</m:t>
              </m:r>
              <m:r>
                <m:rPr>
                  <m:sty m:val="p"/>
                </m:rPr>
                <m:t>=</m:t>
              </m:r>
              <m:r>
                <m:t>1</m:t>
              </m:r>
            </m:sub>
            <m:sup>
              <m:r>
                <m:t>8</m:t>
              </m:r>
            </m:sup>
            <m:e>
              <m:sSub>
                <m:e>
                  <m:r>
                    <m:t>w</m:t>
                  </m:r>
                </m:e>
                <m:sub>
                  <m:r>
                    <m:t>j</m:t>
                  </m:r>
                </m:sub>
              </m:sSub>
            </m:e>
          </m:nary>
          <m:r>
            <m:rPr>
              <m:sty m:val="p"/>
            </m:rPr>
            <m:t>×</m:t>
          </m:r>
          <m:sSub>
            <m:e>
              <m:r>
                <m:rPr>
                  <m:nor/>
                  <m:sty m:val="p"/>
                </m:rPr>
                <m:t>Score</m:t>
              </m:r>
            </m:e>
            <m:sub>
              <m:r>
                <m:t>i</m:t>
              </m:r>
              <m:r>
                <m:t>j</m:t>
              </m:r>
            </m:sub>
          </m:sSub>
        </m:oMath>
      </m:oMathPara>
    </w:p>
    <w:p>
      <w:pPr>
        <w:pStyle w:val="FirstParagraph"/>
      </w:pPr>
      <w:r>
        <w:rPr>
          <w:b/>
          <w:bCs/>
        </w:rPr>
        <w:t xml:space="preserve">Criteria:</w:t>
      </w:r>
      <w:r>
        <w:t xml:space="preserve"> </w:t>
      </w:r>
      <w:r>
        <w:t xml:space="preserve">Economic Efficiency (NPV), Cost Effectiveness (LCOE), Environmental Impact, Energy Security, Social Equity, Implementation Feasibility, Climate Resilience, Financial Viability.</w:t>
      </w:r>
    </w:p>
    <w:p>
      <w:r>
        <w:pict>
          <v:rect style="width:0;height:1.5pt" o:hralign="center" o:hrstd="t" o:hr="t"/>
        </w:pict>
      </w:r>
    </w:p>
    <w:bookmarkEnd w:id="281"/>
    <w:bookmarkEnd w:id="282"/>
    <w:bookmarkStart w:id="285" w:name="a.9-financing-module"/>
    <w:p>
      <w:pPr>
        <w:pStyle w:val="Heading2"/>
      </w:pPr>
      <w:r>
        <w:t xml:space="preserve">21.9 A.9 Financing Module</w:t>
      </w:r>
    </w:p>
    <w:bookmarkStart w:id="283" w:name="grant-element-calculation"/>
    <w:p>
      <w:pPr>
        <w:pStyle w:val="Heading3"/>
      </w:pPr>
      <w:r>
        <w:t xml:space="preserve">21.9.1 Grant Element Calculation</w:t>
      </w:r>
    </w:p>
    <w:p>
      <w:pPr>
        <w:pStyle w:val="FirstParagraph"/>
      </w:pPr>
      <m:oMathPara>
        <m:oMathParaPr>
          <m:jc m:val="center"/>
        </m:oMathParaPr>
        <m:oMath>
          <m:r>
            <m:t>G</m:t>
          </m:r>
          <m:r>
            <m:t>E</m:t>
          </m:r>
          <m:r>
            <m:rPr>
              <m:sty m:val="p"/>
            </m:rPr>
            <m:t>=</m:t>
          </m:r>
          <m:r>
            <m:t>1</m:t>
          </m:r>
          <m:r>
            <m:rPr>
              <m:sty m:val="p"/>
            </m:rPr>
            <m:t>−</m:t>
          </m:r>
          <m:f>
            <m:fPr>
              <m:type m:val="bar"/>
            </m:fPr>
            <m:num>
              <m:nary>
                <m:naryPr>
                  <m:chr m:val="∑"/>
                  <m:limLoc m:val="undOvr"/>
                  <m:subHide m:val="off"/>
                  <m:supHide m:val="off"/>
                </m:naryPr>
                <m:sub>
                  <m:r>
                    <m:t>t</m:t>
                  </m:r>
                  <m:r>
                    <m:rPr>
                      <m:sty m:val="p"/>
                    </m:rPr>
                    <m:t>=</m:t>
                  </m:r>
                  <m:r>
                    <m:t>1</m:t>
                  </m:r>
                </m:sub>
                <m:sup>
                  <m:r>
                    <m:t>T</m:t>
                  </m:r>
                </m:sup>
                <m:e>
                  <m:f>
                    <m:fPr>
                      <m:type m:val="bar"/>
                    </m:fPr>
                    <m:num>
                      <m:sSub>
                        <m:e>
                          <m:r>
                            <m:t>A</m:t>
                          </m:r>
                        </m:e>
                        <m:sub>
                          <m:r>
                            <m:t>t</m:t>
                          </m:r>
                        </m:sub>
                      </m:sSub>
                    </m:num>
                    <m:den>
                      <m:sSup>
                        <m:e>
                          <m:d>
                            <m:dPr>
                              <m:begChr m:val="("/>
                              <m:sepChr m:val=""/>
                              <m:endChr m:val=")"/>
                              <m:grow/>
                            </m:dPr>
                            <m:e>
                              <m:r>
                                <m:t>1</m:t>
                              </m:r>
                              <m:r>
                                <m:rPr>
                                  <m:sty m:val="p"/>
                                </m:rPr>
                                <m:t>+</m:t>
                              </m:r>
                              <m:sSub>
                                <m:e>
                                  <m:r>
                                    <m:t>r</m:t>
                                  </m:r>
                                </m:e>
                                <m:sub>
                                  <m:r>
                                    <m:t>m</m:t>
                                  </m:r>
                                </m:sub>
                              </m:sSub>
                            </m:e>
                          </m:d>
                        </m:e>
                        <m:sup>
                          <m:r>
                            <m:t>t</m:t>
                          </m:r>
                        </m:sup>
                      </m:sSup>
                    </m:den>
                  </m:f>
                </m:e>
              </m:nary>
            </m:num>
            <m:den>
              <m:r>
                <m:t>L</m:t>
              </m:r>
            </m:den>
          </m:f>
        </m:oMath>
      </m:oMathPara>
    </w:p>
    <w:p>
      <w:pPr>
        <w:pStyle w:val="FirstParagraph"/>
      </w:pPr>
      <w:r>
        <w:t xml:space="preserve">where</w:t>
      </w:r>
      <w:r>
        <w:t xml:space="preserve"> </w:t>
      </w:r>
      <m:oMath>
        <m:sSub>
          <m:e>
            <m:r>
              <m:t>A</m:t>
            </m:r>
          </m:e>
          <m:sub>
            <m:r>
              <m:t>t</m:t>
            </m:r>
          </m:sub>
        </m:sSub>
      </m:oMath>
      <w:r>
        <w:t xml:space="preserve"> </w:t>
      </w:r>
      <w:r>
        <w:t xml:space="preserve">= annual repayment,</w:t>
      </w:r>
      <w:r>
        <w:t xml:space="preserve"> </w:t>
      </w:r>
      <m:oMath>
        <m:sSub>
          <m:e>
            <m:r>
              <m:t>r</m:t>
            </m:r>
          </m:e>
          <m:sub>
            <m:r>
              <m:t>m</m:t>
            </m:r>
          </m:sub>
        </m:sSub>
      </m:oMath>
      <w:r>
        <w:t xml:space="preserve"> </w:t>
      </w:r>
      <w:r>
        <w:t xml:space="preserve">= market interest rate (11.55%, World Bank WDI 2024), and</w:t>
      </w:r>
      <w:r>
        <w:t xml:space="preserve"> </w:t>
      </w:r>
      <m:oMath>
        <m:r>
          <m:t>L</m:t>
        </m:r>
      </m:oMath>
      <w:r>
        <w:t xml:space="preserve"> </w:t>
      </w:r>
      <w:r>
        <w:t xml:space="preserve">= loan face value.</w:t>
      </w:r>
    </w:p>
    <w:bookmarkEnd w:id="283"/>
    <w:bookmarkStart w:id="284" w:name="weighted-average-cost-of-capital"/>
    <w:p>
      <w:pPr>
        <w:pStyle w:val="Heading3"/>
      </w:pPr>
      <w:r>
        <w:t xml:space="preserve">21.9.2 Weighted Average Cost of Capital</w:t>
      </w:r>
    </w:p>
    <w:p>
      <w:pPr>
        <w:pStyle w:val="FirstParagraph"/>
      </w:pPr>
      <m:oMathPara>
        <m:oMathParaPr>
          <m:jc m:val="center"/>
        </m:oMathParaPr>
        <m:oMath>
          <m:r>
            <m:rPr>
              <m:nor/>
              <m:sty m:val="p"/>
            </m:rPr>
            <m:t>WACC</m:t>
          </m:r>
          <m:r>
            <m:rPr>
              <m:sty m:val="p"/>
            </m:rPr>
            <m:t>=</m:t>
          </m:r>
          <m:sSub>
            <m:e>
              <m:r>
                <m:t>w</m:t>
              </m:r>
            </m:e>
            <m:sub>
              <m:r>
                <m:rPr>
                  <m:nor/>
                  <m:sty m:val="p"/>
                </m:rPr>
                <m:t>ADB</m:t>
              </m:r>
            </m:sub>
          </m:sSub>
          <m:r>
            <m:rPr>
              <m:sty m:val="p"/>
            </m:rPr>
            <m:t>×</m:t>
          </m:r>
          <m:sSub>
            <m:e>
              <m:r>
                <m:t>r</m:t>
              </m:r>
            </m:e>
            <m:sub>
              <m:r>
                <m:rPr>
                  <m:nor/>
                  <m:sty m:val="p"/>
                </m:rPr>
                <m:t>ADB</m:t>
              </m:r>
            </m:sub>
          </m:sSub>
          <m:r>
            <m:rPr>
              <m:sty m:val="p"/>
            </m:rPr>
            <m:t>+</m:t>
          </m:r>
          <m:sSub>
            <m:e>
              <m:r>
                <m:t>w</m:t>
              </m:r>
            </m:e>
            <m:sub>
              <m:r>
                <m:rPr>
                  <m:nor/>
                  <m:sty m:val="p"/>
                </m:rPr>
                <m:t>comm</m:t>
              </m:r>
            </m:sub>
          </m:sSub>
          <m:r>
            <m:rPr>
              <m:sty m:val="p"/>
            </m:rPr>
            <m:t>×</m:t>
          </m:r>
          <m:sSub>
            <m:e>
              <m:r>
                <m:t>r</m:t>
              </m:r>
            </m:e>
            <m:sub>
              <m:r>
                <m:rPr>
                  <m:nor/>
                  <m:sty m:val="p"/>
                </m:rPr>
                <m:t>comm</m:t>
              </m:r>
            </m:sub>
          </m:sSub>
        </m:oMath>
      </m:oMathPara>
    </w:p>
    <w:p>
      <w:pPr>
        <w:pStyle w:val="FirstParagraph"/>
      </w:pPr>
      <w:r>
        <w:t xml:space="preserve">where</w:t>
      </w:r>
      <w:r>
        <w:t xml:space="preserve"> </w:t>
      </w:r>
      <m:oMath>
        <m:sSub>
          <m:e>
            <m:r>
              <m:t>w</m:t>
            </m:r>
          </m:e>
          <m:sub>
            <m:r>
              <m:rPr>
                <m:nor/>
                <m:sty m:val="p"/>
              </m:rPr>
              <m:t>ADB</m:t>
            </m:r>
          </m:sub>
        </m:sSub>
      </m:oMath>
      <w:r>
        <w:t xml:space="preserve"> </w:t>
      </w:r>
      <w:r>
        <w:t xml:space="preserve">= ADB-eligible share,</w:t>
      </w:r>
      <w:r>
        <w:t xml:space="preserve"> </w:t>
      </w:r>
      <m:oMath>
        <m:sSub>
          <m:e>
            <m:r>
              <m:t>r</m:t>
            </m:r>
          </m:e>
          <m:sub>
            <m:r>
              <m:rPr>
                <m:nor/>
                <m:sty m:val="p"/>
              </m:rPr>
              <m:t>ADB</m:t>
            </m:r>
          </m:sub>
        </m:sSub>
        <m:r>
          <m:rPr>
            <m:sty m:val="p"/>
          </m:rPr>
          <m:t>=</m:t>
        </m:r>
        <m:r>
          <m:t>1</m:t>
        </m:r>
        <m:r>
          <m:rPr>
            <m:sty m:val="p"/>
          </m:rPr>
          <m:t>%</m:t>
        </m:r>
      </m:oMath>
      <w:r>
        <w:t xml:space="preserve">, and</w:t>
      </w:r>
      <w:r>
        <w:t xml:space="preserve"> </w:t>
      </w:r>
      <m:oMath>
        <m:sSub>
          <m:e>
            <m:r>
              <m:t>r</m:t>
            </m:r>
          </m:e>
          <m:sub>
            <m:r>
              <m:rPr>
                <m:nor/>
                <m:sty m:val="p"/>
              </m:rPr>
              <m:t>comm</m:t>
            </m:r>
          </m:sub>
        </m:sSub>
        <m:r>
          <m:rPr>
            <m:sty m:val="p"/>
          </m:rPr>
          <m:t>=</m:t>
        </m:r>
        <m:r>
          <m:t>11.55</m:t>
        </m:r>
        <m:r>
          <m:rPr>
            <m:sty m:val="p"/>
          </m:rPr>
          <m:t>%</m:t>
        </m:r>
      </m:oMath>
      <w:r>
        <w:t xml:space="preserve">.</w:t>
      </w:r>
    </w:p>
    <w:p>
      <w:r>
        <w:pict>
          <v:rect style="width:0;height:1.5pt" o:hralign="center" o:hrstd="t" o:hr="t"/>
        </w:pict>
      </w:r>
    </w:p>
    <w:bookmarkEnd w:id="284"/>
    <w:bookmarkEnd w:id="285"/>
    <w:bookmarkStart w:id="286" w:name="a.10-dispatch-model"/>
    <w:p>
      <w:pPr>
        <w:pStyle w:val="Heading2"/>
      </w:pPr>
      <w:r>
        <w:t xml:space="preserve">21.10 A.10 Dispatch Model</w:t>
      </w:r>
    </w:p>
    <w:p>
      <w:pPr>
        <w:pStyle w:val="FirstParagraph"/>
      </w:pPr>
      <w:r>
        <w:t xml:space="preserve">The hourly dispatch simulation validates annual capacity factor assumptions using 8,760-hour profiles:</w:t>
      </w:r>
    </w:p>
    <w:p>
      <w:pPr>
        <w:pStyle w:val="Compact"/>
        <w:numPr>
          <w:ilvl w:val="0"/>
          <w:numId w:val="1006"/>
        </w:numPr>
      </w:pPr>
      <w:r>
        <w:rPr>
          <w:b/>
          <w:bCs/>
        </w:rPr>
        <w:t xml:space="preserve">Solar output:</w:t>
      </w:r>
      <w:r>
        <w:t xml:space="preserve"> </w:t>
      </w:r>
      <m:oMath>
        <m:sSub>
          <m:e>
            <m:r>
              <m:t>G</m:t>
            </m:r>
          </m:e>
          <m:sub>
            <m:r>
              <m:rPr>
                <m:nor/>
                <m:sty m:val="p"/>
              </m:rPr>
              <m:t>solar</m:t>
            </m:r>
          </m:sub>
        </m:sSub>
        <m:d>
          <m:dPr>
            <m:begChr m:val="("/>
            <m:sepChr m:val=""/>
            <m:endChr m:val=")"/>
            <m:grow/>
          </m:dPr>
          <m:e>
            <m:r>
              <m:t>h</m:t>
            </m:r>
          </m:e>
        </m:d>
        <m:r>
          <m:rPr>
            <m:sty m:val="p"/>
          </m:rPr>
          <m:t>=</m:t>
        </m:r>
        <m:sSub>
          <m:e>
            <m:r>
              <m:t>Q</m:t>
            </m:r>
          </m:e>
          <m:sub>
            <m:r>
              <m:rPr>
                <m:nor/>
                <m:sty m:val="p"/>
              </m:rPr>
              <m:t>MW</m:t>
            </m:r>
          </m:sub>
        </m:sSub>
        <m:r>
          <m:rPr>
            <m:sty m:val="p"/>
          </m:rPr>
          <m:t>×</m:t>
        </m:r>
        <m:f>
          <m:fPr>
            <m:type m:val="bar"/>
          </m:fPr>
          <m:num>
            <m:r>
              <m:t>G</m:t>
            </m:r>
            <m:r>
              <m:t>H</m:t>
            </m:r>
            <m:r>
              <m:t>I</m:t>
            </m:r>
            <m:d>
              <m:dPr>
                <m:begChr m:val="("/>
                <m:sepChr m:val=""/>
                <m:endChr m:val=")"/>
                <m:grow/>
              </m:dPr>
              <m:e>
                <m:r>
                  <m:t>h</m:t>
                </m:r>
              </m:e>
            </m:d>
          </m:num>
          <m:den>
            <m:r>
              <m:t>1000</m:t>
            </m:r>
          </m:den>
        </m:f>
        <m:r>
          <m:rPr>
            <m:sty m:val="p"/>
          </m:rPr>
          <m:t>×</m:t>
        </m:r>
        <m:sSub>
          <m:e>
            <m:r>
              <m:t>f</m:t>
            </m:r>
          </m:e>
          <m:sub>
            <m:r>
              <m:t>T</m:t>
            </m:r>
          </m:sub>
        </m:sSub>
        <m:d>
          <m:dPr>
            <m:begChr m:val="("/>
            <m:sepChr m:val=""/>
            <m:endChr m:val=")"/>
            <m:grow/>
          </m:dPr>
          <m:e>
            <m:r>
              <m:t>h</m:t>
            </m:r>
          </m:e>
        </m:d>
      </m:oMath>
    </w:p>
    <w:p>
      <w:pPr>
        <w:pStyle w:val="Compact"/>
        <w:numPr>
          <w:ilvl w:val="0"/>
          <w:numId w:val="1006"/>
        </w:numPr>
      </w:pPr>
      <w:r>
        <w:rPr>
          <w:b/>
          <w:bCs/>
        </w:rPr>
        <w:t xml:space="preserve">Battery charge/discharge:</w:t>
      </w:r>
      <w:r>
        <w:t xml:space="preserve"> </w:t>
      </w:r>
      <w:r>
        <w:t xml:space="preserve">Subject to</w:t>
      </w:r>
      <w:r>
        <w:t xml:space="preserve"> </w:t>
      </w:r>
      <m:oMath>
        <m:sSub>
          <m:e>
            <m:r>
              <m:rPr>
                <m:nor/>
                <m:sty m:val="p"/>
              </m:rPr>
              <m:t>SOC</m:t>
            </m:r>
          </m:e>
          <m:sub>
            <m:r>
              <m:rPr>
                <m:sty m:val="p"/>
              </m:rPr>
              <m:t>min</m:t>
            </m:r>
          </m:sub>
        </m:sSub>
        <m:r>
          <m:rPr>
            <m:sty m:val="p"/>
          </m:rPr>
          <m:t>=</m:t>
        </m:r>
        <m:r>
          <m:t>1</m:t>
        </m:r>
        <m:r>
          <m:rPr>
            <m:sty m:val="p"/>
          </m:rPr>
          <m:t>−</m:t>
        </m:r>
        <m:r>
          <m:t>D</m:t>
        </m:r>
        <m:r>
          <m:t>o</m:t>
        </m:r>
        <m:r>
          <m:t>D</m:t>
        </m:r>
      </m:oMath>
      <w:r>
        <w:t xml:space="preserve">, round-trip efficiency</w:t>
      </w:r>
      <w:r>
        <w:t xml:space="preserve"> </w:t>
      </w:r>
      <m:oMath>
        <m:sSub>
          <m:e>
            <m:r>
              <m:t>η</m:t>
            </m:r>
          </m:e>
          <m:sub>
            <m:r>
              <m:rPr>
                <m:nor/>
                <m:sty m:val="p"/>
              </m:rPr>
              <m:t>RT</m:t>
            </m:r>
          </m:sub>
        </m:sSub>
        <m:r>
          <m:rPr>
            <m:sty m:val="p"/>
          </m:rPr>
          <m:t>=</m:t>
        </m:r>
        <m:r>
          <m:t>0.88</m:t>
        </m:r>
      </m:oMath>
    </w:p>
    <w:p>
      <w:pPr>
        <w:pStyle w:val="Compact"/>
        <w:numPr>
          <w:ilvl w:val="0"/>
          <w:numId w:val="1006"/>
        </w:numPr>
      </w:pPr>
      <w:r>
        <w:rPr>
          <w:b/>
          <w:bCs/>
        </w:rPr>
        <w:t xml:space="preserve">Diesel backstop:</w:t>
      </w:r>
      <w:r>
        <w:t xml:space="preserve"> </w:t>
      </w:r>
      <w:r>
        <w:t xml:space="preserve">Fills any gap, subject to minimum load fraction</w:t>
      </w:r>
      <w:r>
        <w:t xml:space="preserve"> </w:t>
      </w:r>
      <m:oMath>
        <m:sSub>
          <m:e>
            <m:r>
              <m:t>l</m:t>
            </m:r>
          </m:e>
          <m:sub>
            <m:r>
              <m:rPr>
                <m:sty m:val="p"/>
              </m:rPr>
              <m:t>min</m:t>
            </m:r>
          </m:sub>
        </m:sSub>
        <m:r>
          <m:rPr>
            <m:sty m:val="p"/>
          </m:rPr>
          <m:t>=</m:t>
        </m:r>
        <m:r>
          <m:t>0.40</m:t>
        </m:r>
      </m:oMath>
    </w:p>
    <w:p>
      <w:pPr>
        <w:pStyle w:val="FirstParagraph"/>
      </w:pPr>
      <w:r>
        <w:t xml:space="preserve">The simulation uses hourly GHI and temperature data from</w:t>
      </w:r>
      <w:r>
        <w:t xml:space="preserve"> </w:t>
      </w:r>
      <w:r>
        <w:rPr>
          <w:rStyle w:val="VerbatimChar"/>
        </w:rPr>
        <w:t xml:space="preserve">GHI_hourly.csv</w:t>
      </w:r>
      <w:r>
        <w:t xml:space="preserve"> </w:t>
      </w:r>
      <w:r>
        <w:t xml:space="preserve">and</w:t>
      </w:r>
      <w:r>
        <w:t xml:space="preserve"> </w:t>
      </w:r>
      <w:r>
        <w:rPr>
          <w:rStyle w:val="VerbatimChar"/>
        </w:rPr>
        <w:t xml:space="preserve">Temperature_hourly.csv</w:t>
      </w:r>
      <w:r>
        <w:t xml:space="preserve">.</w:t>
      </w:r>
    </w:p>
    <w:p>
      <w:r>
        <w:pict>
          <v:rect style="width:0;height:1.5pt" o:hralign="center" o:hrstd="t" o:hr="t"/>
        </w:pict>
      </w:r>
    </w:p>
    <w:bookmarkEnd w:id="286"/>
    <w:bookmarkStart w:id="288" w:name="a.11-parameter-traceability-summary"/>
    <w:p>
      <w:pPr>
        <w:pStyle w:val="Heading2"/>
      </w:pPr>
      <w:r>
        <w:t xml:space="preserve">21.11 A.11 Parameter Traceability Summary</w:t>
      </w:r>
    </w:p>
    <w:tbl>
      <w:tblPr>
        <w:tblStyle w:val="Table"/>
        <w:tblW w:type="pct" w:w="5000"/>
        <w:tblLayout w:type="fixed"/>
        <w:tblLook w:firstRow="0" w:lastRow="0" w:firstColumn="0" w:lastColumn="0" w:noHBand="0" w:noVBand="0" w:val="0000"/>
      </w:tblPr>
      <w:tblGrid>
        <w:gridCol w:w="7920"/>
      </w:tblGrid>
      <w:tr>
        <w:tc>
          <w:tcPr/>
          <w:bookmarkStart w:id="287" w:name="tbl-param-count"/>
          <w:p>
            <w:pPr>
              <w:jc w:val="center"/>
            </w:pPr>
            <w:pPr>
              <w:jc w:val="start"/>
              <w:spacing w:before="200"/>
              <w:pStyle w:val="ImageCaption"/>
            </w:pPr>
            <w:r>
              <w:t xml:space="preserve">Table 21.1: Parameter categories and counts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Category</w:t>
                  </w:r>
                </w:p>
              </w:tc>
              <w:tc>
                <w:tcPr/>
                <w:p>
                  <w:pPr>
                    <w:pStyle w:val="Compact"/>
                    <w:jc w:val="center"/>
                  </w:pPr>
                  <w:r>
                    <w:t xml:space="preserve">Parameters</w:t>
                  </w:r>
                </w:p>
              </w:tc>
            </w:tr>
            <w:tr>
              <w:tc>
                <w:tcPr/>
                <w:p>
                  <w:pPr>
                    <w:pStyle w:val="Compact"/>
                    <w:jc w:val="center"/>
                  </w:pPr>
                  <w:r>
                    <w:t xml:space="preserve">Demand</w:t>
                  </w:r>
                </w:p>
              </w:tc>
              <w:tc>
                <w:tcPr/>
                <w:p>
                  <w:pPr>
                    <w:pStyle w:val="Compact"/>
                    <w:jc w:val="center"/>
                  </w:pPr>
                  <w:r>
                    <w:t xml:space="preserve">23</w:t>
                  </w:r>
                </w:p>
              </w:tc>
            </w:tr>
            <w:tr>
              <w:tc>
                <w:tcPr/>
                <w:p>
                  <w:pPr>
                    <w:pStyle w:val="Compact"/>
                    <w:jc w:val="center"/>
                  </w:pPr>
                  <w:r>
                    <w:t xml:space="preserve">Investment Phasing</w:t>
                  </w:r>
                </w:p>
              </w:tc>
              <w:tc>
                <w:tcPr/>
                <w:p>
                  <w:pPr>
                    <w:pStyle w:val="Compact"/>
                    <w:jc w:val="center"/>
                  </w:pPr>
                  <w:r>
                    <w:t xml:space="preserve">20</w:t>
                  </w:r>
                </w:p>
              </w:tc>
            </w:tr>
            <w:tr>
              <w:tc>
                <w:tcPr/>
                <w:p>
                  <w:pPr>
                    <w:pStyle w:val="Compact"/>
                    <w:jc w:val="center"/>
                  </w:pPr>
                  <w:r>
                    <w:t xml:space="preserve">Solar</w:t>
                  </w:r>
                </w:p>
              </w:tc>
              <w:tc>
                <w:tcPr/>
                <w:p>
                  <w:pPr>
                    <w:pStyle w:val="Compact"/>
                    <w:jc w:val="center"/>
                  </w:pPr>
                  <w:r>
                    <w:t xml:space="preserve">17</w:t>
                  </w:r>
                </w:p>
              </w:tc>
            </w:tr>
            <w:tr>
              <w:tc>
                <w:tcPr/>
                <w:p>
                  <w:pPr>
                    <w:pStyle w:val="Compact"/>
                    <w:jc w:val="center"/>
                  </w:pPr>
                  <w:r>
                    <w:t xml:space="preserve">Dispatch</w:t>
                  </w:r>
                </w:p>
              </w:tc>
              <w:tc>
                <w:tcPr/>
                <w:p>
                  <w:pPr>
                    <w:pStyle w:val="Compact"/>
                    <w:jc w:val="center"/>
                  </w:pPr>
                  <w:r>
                    <w:t xml:space="preserve">13</w:t>
                  </w:r>
                </w:p>
              </w:tc>
            </w:tr>
            <w:tr>
              <w:tc>
                <w:tcPr/>
                <w:p>
                  <w:pPr>
                    <w:pStyle w:val="Compact"/>
                    <w:jc w:val="center"/>
                  </w:pPr>
                  <w:r>
                    <w:t xml:space="preserve">Cable</w:t>
                  </w:r>
                </w:p>
              </w:tc>
              <w:tc>
                <w:tcPr/>
                <w:p>
                  <w:pPr>
                    <w:pStyle w:val="Compact"/>
                    <w:jc w:val="center"/>
                  </w:pPr>
                  <w:r>
                    <w:t xml:space="preserve">12</w:t>
                  </w:r>
                </w:p>
              </w:tc>
            </w:tr>
            <w:tr>
              <w:tc>
                <w:tcPr/>
                <w:p>
                  <w:pPr>
                    <w:pStyle w:val="Compact"/>
                    <w:jc w:val="center"/>
                  </w:pPr>
                  <w:r>
                    <w:t xml:space="preserve">Macro</w:t>
                  </w:r>
                </w:p>
              </w:tc>
              <w:tc>
                <w:tcPr/>
                <w:p>
                  <w:pPr>
                    <w:pStyle w:val="Compact"/>
                    <w:jc w:val="center"/>
                  </w:pPr>
                  <w:r>
                    <w:t xml:space="preserve">11</w:t>
                  </w:r>
                </w:p>
              </w:tc>
            </w:tr>
            <w:tr>
              <w:tc>
                <w:tcPr/>
                <w:p>
                  <w:pPr>
                    <w:pStyle w:val="Compact"/>
                    <w:jc w:val="center"/>
                  </w:pPr>
                  <w:r>
                    <w:t xml:space="preserve">LNG</w:t>
                  </w:r>
                </w:p>
              </w:tc>
              <w:tc>
                <w:tcPr/>
                <w:p>
                  <w:pPr>
                    <w:pStyle w:val="Compact"/>
                    <w:jc w:val="center"/>
                  </w:pPr>
                  <w:r>
                    <w:t xml:space="preserve">10</w:t>
                  </w:r>
                </w:p>
              </w:tc>
            </w:tr>
            <w:tr>
              <w:tc>
                <w:tcPr/>
                <w:p>
                  <w:pPr>
                    <w:pStyle w:val="Compact"/>
                    <w:jc w:val="center"/>
                  </w:pPr>
                  <w:r>
                    <w:t xml:space="preserve">Economics</w:t>
                  </w:r>
                </w:p>
              </w:tc>
              <w:tc>
                <w:tcPr/>
                <w:p>
                  <w:pPr>
                    <w:pStyle w:val="Compact"/>
                    <w:jc w:val="center"/>
                  </w:pPr>
                  <w:r>
                    <w:t xml:space="preserve">10</w:t>
                  </w:r>
                </w:p>
              </w:tc>
            </w:tr>
            <w:tr>
              <w:tc>
                <w:tcPr/>
                <w:p>
                  <w:pPr>
                    <w:pStyle w:val="Compact"/>
                    <w:jc w:val="center"/>
                  </w:pPr>
                  <w:r>
                    <w:t xml:space="preserve">Battery</w:t>
                  </w:r>
                </w:p>
              </w:tc>
              <w:tc>
                <w:tcPr/>
                <w:p>
                  <w:pPr>
                    <w:pStyle w:val="Compact"/>
                    <w:jc w:val="center"/>
                  </w:pPr>
                  <w:r>
                    <w:t xml:space="preserve">9</w:t>
                  </w:r>
                </w:p>
              </w:tc>
            </w:tr>
            <w:tr>
              <w:tc>
                <w:tcPr/>
                <w:p>
                  <w:pPr>
                    <w:pStyle w:val="Compact"/>
                    <w:jc w:val="center"/>
                  </w:pPr>
                  <w:r>
                    <w:t xml:space="preserve">Distributional</w:t>
                  </w:r>
                </w:p>
              </w:tc>
              <w:tc>
                <w:tcPr/>
                <w:p>
                  <w:pPr>
                    <w:pStyle w:val="Compact"/>
                    <w:jc w:val="center"/>
                  </w:pPr>
                  <w:r>
                    <w:t xml:space="preserve">9</w:t>
                  </w:r>
                </w:p>
              </w:tc>
            </w:tr>
            <w:tr>
              <w:tc>
                <w:tcPr/>
                <w:p>
                  <w:pPr>
                    <w:pStyle w:val="Compact"/>
                    <w:jc w:val="center"/>
                  </w:pPr>
                  <w:r>
                    <w:t xml:space="preserve">MCA Weights</w:t>
                  </w:r>
                </w:p>
              </w:tc>
              <w:tc>
                <w:tcPr/>
                <w:p>
                  <w:pPr>
                    <w:pStyle w:val="Compact"/>
                    <w:jc w:val="center"/>
                  </w:pPr>
                  <w:r>
                    <w:t xml:space="preserve">8</w:t>
                  </w:r>
                </w:p>
              </w:tc>
            </w:tr>
            <w:tr>
              <w:tc>
                <w:tcPr/>
                <w:p>
                  <w:pPr>
                    <w:pStyle w:val="Compact"/>
                    <w:jc w:val="center"/>
                  </w:pPr>
                  <w:r>
                    <w:t xml:space="preserve">Near-Shore Solar</w:t>
                  </w:r>
                </w:p>
              </w:tc>
              <w:tc>
                <w:tcPr/>
                <w:p>
                  <w:pPr>
                    <w:pStyle w:val="Compact"/>
                    <w:jc w:val="center"/>
                  </w:pPr>
                  <w:r>
                    <w:t xml:space="preserve">8</w:t>
                  </w:r>
                </w:p>
              </w:tc>
            </w:tr>
            <w:tr>
              <w:tc>
                <w:tcPr/>
                <w:p>
                  <w:pPr>
                    <w:pStyle w:val="Compact"/>
                    <w:jc w:val="center"/>
                  </w:pPr>
                  <w:r>
                    <w:t xml:space="preserve">Benchmarks</w:t>
                  </w:r>
                </w:p>
              </w:tc>
              <w:tc>
                <w:tcPr/>
                <w:p>
                  <w:pPr>
                    <w:pStyle w:val="Compact"/>
                    <w:jc w:val="center"/>
                  </w:pPr>
                  <w:r>
                    <w:t xml:space="preserve">8</w:t>
                  </w:r>
                </w:p>
              </w:tc>
            </w:tr>
            <w:tr>
              <w:tc>
                <w:tcPr/>
                <w:p>
                  <w:pPr>
                    <w:pStyle w:val="Compact"/>
                    <w:jc w:val="center"/>
                  </w:pPr>
                  <w:r>
                    <w:t xml:space="preserve">One Grid</w:t>
                  </w:r>
                </w:p>
              </w:tc>
              <w:tc>
                <w:tcPr/>
                <w:p>
                  <w:pPr>
                    <w:pStyle w:val="Compact"/>
                    <w:jc w:val="center"/>
                  </w:pPr>
                  <w:r>
                    <w:t xml:space="preserve">7</w:t>
                  </w:r>
                </w:p>
              </w:tc>
            </w:tr>
            <w:tr>
              <w:tc>
                <w:tcPr/>
                <w:p>
                  <w:pPr>
                    <w:pStyle w:val="Compact"/>
                    <w:jc w:val="center"/>
                  </w:pPr>
                  <w:r>
                    <w:t xml:space="preserve">WTE</w:t>
                  </w:r>
                </w:p>
              </w:tc>
              <w:tc>
                <w:tcPr/>
                <w:p>
                  <w:pPr>
                    <w:pStyle w:val="Compact"/>
                    <w:jc w:val="center"/>
                  </w:pPr>
                  <w:r>
                    <w:t xml:space="preserve">7</w:t>
                  </w:r>
                </w:p>
              </w:tc>
            </w:tr>
            <w:tr>
              <w:tc>
                <w:tcPr/>
                <w:p>
                  <w:pPr>
                    <w:pStyle w:val="Compact"/>
                    <w:jc w:val="center"/>
                  </w:pPr>
                  <w:r>
                    <w:t xml:space="preserve">Electricity Structure</w:t>
                  </w:r>
                </w:p>
              </w:tc>
              <w:tc>
                <w:tcPr/>
                <w:p>
                  <w:pPr>
                    <w:pStyle w:val="Compact"/>
                    <w:jc w:val="center"/>
                  </w:pPr>
                  <w:r>
                    <w:t xml:space="preserve">7</w:t>
                  </w:r>
                </w:p>
              </w:tc>
            </w:tr>
            <w:tr>
              <w:tc>
                <w:tcPr/>
                <w:p>
                  <w:pPr>
                    <w:pStyle w:val="Compact"/>
                    <w:jc w:val="center"/>
                  </w:pPr>
                  <w:r>
                    <w:t xml:space="preserve">PPA</w:t>
                  </w:r>
                </w:p>
              </w:tc>
              <w:tc>
                <w:tcPr/>
                <w:p>
                  <w:pPr>
                    <w:pStyle w:val="Compact"/>
                    <w:jc w:val="center"/>
                  </w:pPr>
                  <w:r>
                    <w:t xml:space="preserve">6</w:t>
                  </w:r>
                </w:p>
              </w:tc>
            </w:tr>
            <w:tr>
              <w:tc>
                <w:tcPr/>
                <w:p>
                  <w:pPr>
                    <w:pStyle w:val="Compact"/>
                    <w:jc w:val="center"/>
                  </w:pPr>
                  <w:r>
                    <w:t xml:space="preserve">Transport Costs</w:t>
                  </w:r>
                </w:p>
              </w:tc>
              <w:tc>
                <w:tcPr/>
                <w:p>
                  <w:pPr>
                    <w:pStyle w:val="Compact"/>
                    <w:jc w:val="center"/>
                  </w:pPr>
                  <w:r>
                    <w:t xml:space="preserve">6</w:t>
                  </w:r>
                </w:p>
              </w:tc>
            </w:tr>
            <w:tr>
              <w:tc>
                <w:tcPr/>
                <w:p>
                  <w:pPr>
                    <w:pStyle w:val="Compact"/>
                    <w:jc w:val="center"/>
                  </w:pPr>
                  <w:r>
                    <w:t xml:space="preserve">Financing</w:t>
                  </w:r>
                </w:p>
              </w:tc>
              <w:tc>
                <w:tcPr/>
                <w:p>
                  <w:pPr>
                    <w:pStyle w:val="Compact"/>
                    <w:jc w:val="center"/>
                  </w:pPr>
                  <w:r>
                    <w:t xml:space="preserve">6</w:t>
                  </w:r>
                </w:p>
              </w:tc>
            </w:tr>
            <w:tr>
              <w:tc>
                <w:tcPr/>
                <w:p>
                  <w:pPr>
                    <w:pStyle w:val="Compact"/>
                    <w:jc w:val="center"/>
                  </w:pPr>
                  <w:r>
                    <w:t xml:space="preserve">Fuel</w:t>
                  </w:r>
                </w:p>
              </w:tc>
              <w:tc>
                <w:tcPr/>
                <w:p>
                  <w:pPr>
                    <w:pStyle w:val="Compact"/>
                    <w:jc w:val="center"/>
                  </w:pPr>
                  <w:r>
                    <w:t xml:space="preserve">6</w:t>
                  </w:r>
                </w:p>
              </w:tc>
            </w:tr>
            <w:tr>
              <w:tc>
                <w:tcPr/>
                <w:p>
                  <w:pPr>
                    <w:pStyle w:val="Compact"/>
                    <w:jc w:val="center"/>
                  </w:pPr>
                  <w:r>
                    <w:t xml:space="preserve">Current System</w:t>
                  </w:r>
                </w:p>
              </w:tc>
              <w:tc>
                <w:tcPr/>
                <w:p>
                  <w:pPr>
                    <w:pStyle w:val="Compact"/>
                    <w:jc w:val="center"/>
                  </w:pPr>
                  <w:r>
                    <w:t xml:space="preserve">6</w:t>
                  </w:r>
                </w:p>
              </w:tc>
            </w:tr>
            <w:tr>
              <w:tc>
                <w:tcPr/>
                <w:p>
                  <w:pPr>
                    <w:pStyle w:val="Compact"/>
                    <w:jc w:val="center"/>
                  </w:pPr>
                  <w:r>
                    <w:t xml:space="preserve">Climate</w:t>
                  </w:r>
                </w:p>
              </w:tc>
              <w:tc>
                <w:tcPr/>
                <w:p>
                  <w:pPr>
                    <w:pStyle w:val="Compact"/>
                    <w:jc w:val="center"/>
                  </w:pPr>
                  <w:r>
                    <w:t xml:space="preserve">6</w:t>
                  </w:r>
                </w:p>
              </w:tc>
            </w:tr>
            <w:tr>
              <w:tc>
                <w:tcPr/>
                <w:p>
                  <w:pPr>
                    <w:pStyle w:val="Compact"/>
                    <w:jc w:val="center"/>
                  </w:pPr>
                  <w:r>
                    <w:t xml:space="preserve">Transport Energy</w:t>
                  </w:r>
                </w:p>
              </w:tc>
              <w:tc>
                <w:tcPr/>
                <w:p>
                  <w:pPr>
                    <w:pStyle w:val="Compact"/>
                    <w:jc w:val="center"/>
                  </w:pPr>
                  <w:r>
                    <w:t xml:space="preserve">5</w:t>
                  </w:r>
                </w:p>
              </w:tc>
            </w:tr>
            <w:tr>
              <w:tc>
                <w:tcPr/>
                <w:p>
                  <w:pPr>
                    <w:pStyle w:val="Compact"/>
                    <w:jc w:val="center"/>
                  </w:pPr>
                  <w:r>
                    <w:t xml:space="preserve">Transport EV</w:t>
                  </w:r>
                </w:p>
              </w:tc>
              <w:tc>
                <w:tcPr/>
                <w:p>
                  <w:pPr>
                    <w:pStyle w:val="Compact"/>
                    <w:jc w:val="center"/>
                  </w:pPr>
                  <w:r>
                    <w:t xml:space="preserve">5</w:t>
                  </w:r>
                </w:p>
              </w:tc>
            </w:tr>
            <w:tr>
              <w:tc>
                <w:tcPr/>
                <w:p>
                  <w:pPr>
                    <w:pStyle w:val="Compact"/>
                    <w:jc w:val="center"/>
                  </w:pPr>
                  <w:r>
                    <w:t xml:space="preserve">RE Deployment</w:t>
                  </w:r>
                </w:p>
              </w:tc>
              <w:tc>
                <w:tcPr/>
                <w:p>
                  <w:pPr>
                    <w:pStyle w:val="Compact"/>
                    <w:jc w:val="center"/>
                  </w:pPr>
                  <w:r>
                    <w:t xml:space="preserve">5</w:t>
                  </w:r>
                </w:p>
              </w:tc>
            </w:tr>
            <w:tr>
              <w:tc>
                <w:tcPr/>
                <w:p>
                  <w:pPr>
                    <w:pStyle w:val="Compact"/>
                    <w:jc w:val="center"/>
                  </w:pPr>
                  <w:r>
                    <w:t xml:space="preserve">Islanded</w:t>
                  </w:r>
                </w:p>
              </w:tc>
              <w:tc>
                <w:tcPr/>
                <w:p>
                  <w:pPr>
                    <w:pStyle w:val="Compact"/>
                    <w:jc w:val="center"/>
                  </w:pPr>
                  <w:r>
                    <w:t xml:space="preserve">5</w:t>
                  </w:r>
                </w:p>
              </w:tc>
            </w:tr>
            <w:tr>
              <w:tc>
                <w:tcPr/>
                <w:p>
                  <w:pPr>
                    <w:pStyle w:val="Compact"/>
                    <w:jc w:val="center"/>
                  </w:pPr>
                  <w:r>
                    <w:t xml:space="preserve">Time</w:t>
                  </w:r>
                </w:p>
              </w:tc>
              <w:tc>
                <w:tcPr/>
                <w:p>
                  <w:pPr>
                    <w:pStyle w:val="Compact"/>
                    <w:jc w:val="center"/>
                  </w:pPr>
                  <w:r>
                    <w:t xml:space="preserve">4</w:t>
                  </w:r>
                </w:p>
              </w:tc>
            </w:tr>
            <w:tr>
              <w:tc>
                <w:tcPr/>
                <w:p>
                  <w:pPr>
                    <w:pStyle w:val="Compact"/>
                    <w:jc w:val="center"/>
                  </w:pPr>
                  <w:r>
                    <w:t xml:space="preserve">Inter-Island Grid</w:t>
                  </w:r>
                </w:p>
              </w:tc>
              <w:tc>
                <w:tcPr/>
                <w:p>
                  <w:pPr>
                    <w:pStyle w:val="Compact"/>
                    <w:jc w:val="center"/>
                  </w:pPr>
                  <w:r>
                    <w:t xml:space="preserve">4</w:t>
                  </w:r>
                </w:p>
              </w:tc>
            </w:tr>
            <w:tr>
              <w:tc>
                <w:tcPr/>
                <w:p>
                  <w:pPr>
                    <w:pStyle w:val="Compact"/>
                    <w:jc w:val="center"/>
                  </w:pPr>
                  <w:r>
                    <w:t xml:space="preserve">Transport Fleet</w:t>
                  </w:r>
                </w:p>
              </w:tc>
              <w:tc>
                <w:tcPr/>
                <w:p>
                  <w:pPr>
                    <w:pStyle w:val="Compact"/>
                    <w:jc w:val="center"/>
                  </w:pPr>
                  <w:r>
                    <w:t xml:space="preserve">4</w:t>
                  </w:r>
                </w:p>
              </w:tc>
            </w:tr>
            <w:tr>
              <w:tc>
                <w:tcPr/>
                <w:p>
                  <w:pPr>
                    <w:pStyle w:val="Compact"/>
                    <w:jc w:val="center"/>
                  </w:pPr>
                  <w:r>
                    <w:t xml:space="preserve">Tourism</w:t>
                  </w:r>
                </w:p>
              </w:tc>
              <w:tc>
                <w:tcPr/>
                <w:p>
                  <w:pPr>
                    <w:pStyle w:val="Compact"/>
                    <w:jc w:val="center"/>
                  </w:pPr>
                  <w:r>
                    <w:t xml:space="preserve">4</w:t>
                  </w:r>
                </w:p>
              </w:tc>
            </w:tr>
            <w:tr>
              <w:tc>
                <w:tcPr/>
                <w:p>
                  <w:pPr>
                    <w:pStyle w:val="Compact"/>
                    <w:jc w:val="center"/>
                  </w:pPr>
                  <w:r>
                    <w:t xml:space="preserve">Losses</w:t>
                  </w:r>
                </w:p>
              </w:tc>
              <w:tc>
                <w:tcPr/>
                <w:p>
                  <w:pPr>
                    <w:pStyle w:val="Compact"/>
                    <w:jc w:val="center"/>
                  </w:pPr>
                  <w:r>
                    <w:t xml:space="preserve">4</w:t>
                  </w:r>
                </w:p>
              </w:tc>
            </w:tr>
            <w:tr>
              <w:tc>
                <w:tcPr/>
                <w:p>
                  <w:pPr>
                    <w:pStyle w:val="Compact"/>
                    <w:jc w:val="center"/>
                  </w:pPr>
                  <w:r>
                    <w:t xml:space="preserve">Connection</w:t>
                  </w:r>
                </w:p>
              </w:tc>
              <w:tc>
                <w:tcPr/>
                <w:p>
                  <w:pPr>
                    <w:pStyle w:val="Compact"/>
                    <w:jc w:val="center"/>
                  </w:pPr>
                  <w:r>
                    <w:t xml:space="preserve">3</w:t>
                  </w:r>
                </w:p>
              </w:tc>
            </w:tr>
            <w:tr>
              <w:tc>
                <w:tcPr/>
                <w:p>
                  <w:pPr>
                    <w:pStyle w:val="Compact"/>
                    <w:jc w:val="center"/>
                  </w:pPr>
                  <w:r>
                    <w:t xml:space="preserve">Environment</w:t>
                  </w:r>
                </w:p>
              </w:tc>
              <w:tc>
                <w:tcPr/>
                <w:p>
                  <w:pPr>
                    <w:pStyle w:val="Compact"/>
                    <w:jc w:val="center"/>
                  </w:pPr>
                  <w:r>
                    <w:t xml:space="preserve">3</w:t>
                  </w:r>
                </w:p>
              </w:tc>
            </w:tr>
            <w:tr>
              <w:tc>
                <w:tcPr/>
                <w:p>
                  <w:pPr>
                    <w:pStyle w:val="Compact"/>
                    <w:jc w:val="center"/>
                  </w:pPr>
                  <w:r>
                    <w:t xml:space="preserve">Diesel Gen</w:t>
                  </w:r>
                </w:p>
              </w:tc>
              <w:tc>
                <w:tcPr/>
                <w:p>
                  <w:pPr>
                    <w:pStyle w:val="Compact"/>
                    <w:jc w:val="center"/>
                  </w:pPr>
                  <w:r>
                    <w:t xml:space="preserve">3</w:t>
                  </w:r>
                </w:p>
              </w:tc>
            </w:tr>
            <w:tr>
              <w:tc>
                <w:tcPr/>
                <w:p>
                  <w:pPr>
                    <w:pStyle w:val="Compact"/>
                    <w:jc w:val="center"/>
                  </w:pPr>
                  <w:r>
                    <w:t xml:space="preserve">Cable Outage</w:t>
                  </w:r>
                </w:p>
              </w:tc>
              <w:tc>
                <w:tcPr/>
                <w:p>
                  <w:pPr>
                    <w:pStyle w:val="Compact"/>
                    <w:jc w:val="center"/>
                  </w:pPr>
                  <w:r>
                    <w:t xml:space="preserve">3</w:t>
                  </w:r>
                </w:p>
              </w:tc>
            </w:tr>
            <w:tr>
              <w:tc>
                <w:tcPr/>
                <w:p>
                  <w:pPr>
                    <w:pStyle w:val="Compact"/>
                    <w:jc w:val="center"/>
                  </w:pPr>
                  <w:r>
                    <w:t xml:space="preserve">MCA Scores NS</w:t>
                  </w:r>
                </w:p>
              </w:tc>
              <w:tc>
                <w:tcPr/>
                <w:p>
                  <w:pPr>
                    <w:pStyle w:val="Compact"/>
                    <w:jc w:val="center"/>
                  </w:pPr>
                  <w:r>
                    <w:t xml:space="preserve">3</w:t>
                  </w:r>
                </w:p>
              </w:tc>
            </w:tr>
            <w:tr>
              <w:tc>
                <w:tcPr/>
                <w:p>
                  <w:pPr>
                    <w:pStyle w:val="Compact"/>
                    <w:jc w:val="center"/>
                  </w:pPr>
                  <w:r>
                    <w:t xml:space="preserve">MCA Scores LNG</w:t>
                  </w:r>
                </w:p>
              </w:tc>
              <w:tc>
                <w:tcPr/>
                <w:p>
                  <w:pPr>
                    <w:pStyle w:val="Compact"/>
                    <w:jc w:val="center"/>
                  </w:pPr>
                  <w:r>
                    <w:t xml:space="preserve">3</w:t>
                  </w:r>
                </w:p>
              </w:tc>
            </w:tr>
            <w:tr>
              <w:tc>
                <w:tcPr/>
                <w:p>
                  <w:pPr>
                    <w:pStyle w:val="Compact"/>
                    <w:jc w:val="center"/>
                  </w:pPr>
                  <w:r>
                    <w:t xml:space="preserve">Health</w:t>
                  </w:r>
                </w:p>
              </w:tc>
              <w:tc>
                <w:tcPr/>
                <w:p>
                  <w:pPr>
                    <w:pStyle w:val="Compact"/>
                    <w:jc w:val="center"/>
                  </w:pPr>
                  <w:r>
                    <w:t xml:space="preserve">3</w:t>
                  </w:r>
                </w:p>
              </w:tc>
            </w:tr>
            <w:tr>
              <w:tc>
                <w:tcPr/>
                <w:p>
                  <w:pPr>
                    <w:pStyle w:val="Compact"/>
                    <w:jc w:val="center"/>
                  </w:pPr>
                  <w:r>
                    <w:t xml:space="preserve">MCA Scores FI</w:t>
                  </w:r>
                </w:p>
              </w:tc>
              <w:tc>
                <w:tcPr/>
                <w:p>
                  <w:pPr>
                    <w:pStyle w:val="Compact"/>
                    <w:jc w:val="center"/>
                  </w:pPr>
                  <w:r>
                    <w:t xml:space="preserve">3</w:t>
                  </w:r>
                </w:p>
              </w:tc>
            </w:tr>
            <w:tr>
              <w:tc>
                <w:tcPr/>
                <w:p>
                  <w:pPr>
                    <w:pStyle w:val="Compact"/>
                    <w:jc w:val="center"/>
                  </w:pPr>
                  <w:r>
                    <w:t xml:space="preserve">MCA Scores IG</w:t>
                  </w:r>
                </w:p>
              </w:tc>
              <w:tc>
                <w:tcPr/>
                <w:p>
                  <w:pPr>
                    <w:pStyle w:val="Compact"/>
                    <w:jc w:val="center"/>
                  </w:pPr>
                  <w:r>
                    <w:t xml:space="preserve">3</w:t>
                  </w:r>
                </w:p>
              </w:tc>
            </w:tr>
            <w:tr>
              <w:tc>
                <w:tcPr/>
                <w:p>
                  <w:pPr>
                    <w:pStyle w:val="Compact"/>
                    <w:jc w:val="center"/>
                  </w:pPr>
                  <w:r>
                    <w:t xml:space="preserve">Transport Health</w:t>
                  </w:r>
                </w:p>
              </w:tc>
              <w:tc>
                <w:tcPr/>
                <w:p>
                  <w:pPr>
                    <w:pStyle w:val="Compact"/>
                    <w:jc w:val="center"/>
                  </w:pPr>
                  <w:r>
                    <w:t xml:space="preserve">3</w:t>
                  </w:r>
                </w:p>
              </w:tc>
            </w:tr>
            <w:tr>
              <w:tc>
                <w:tcPr/>
                <w:p>
                  <w:pPr>
                    <w:pStyle w:val="Compact"/>
                    <w:jc w:val="center"/>
                  </w:pPr>
                  <w:r>
                    <w:t xml:space="preserve">MCA Scores MX</w:t>
                  </w:r>
                </w:p>
              </w:tc>
              <w:tc>
                <w:tcPr/>
                <w:p>
                  <w:pPr>
                    <w:pStyle w:val="Compact"/>
                    <w:jc w:val="center"/>
                  </w:pPr>
                  <w:r>
                    <w:t xml:space="preserve">3</w:t>
                  </w:r>
                </w:p>
              </w:tc>
            </w:tr>
            <w:tr>
              <w:tc>
                <w:tcPr/>
                <w:p>
                  <w:pPr>
                    <w:pStyle w:val="Compact"/>
                    <w:jc w:val="center"/>
                  </w:pPr>
                  <w:r>
                    <w:t xml:space="preserve">MCA Scores NG</w:t>
                  </w:r>
                </w:p>
              </w:tc>
              <w:tc>
                <w:tcPr/>
                <w:p>
                  <w:pPr>
                    <w:pStyle w:val="Compact"/>
                    <w:jc w:val="center"/>
                  </w:pPr>
                  <w:r>
                    <w:t xml:space="preserve">3</w:t>
                  </w:r>
                </w:p>
              </w:tc>
            </w:tr>
            <w:tr>
              <w:tc>
                <w:tcPr/>
                <w:p>
                  <w:pPr>
                    <w:pStyle w:val="Compact"/>
                    <w:jc w:val="center"/>
                  </w:pPr>
                  <w:r>
                    <w:t xml:space="preserve">Operations</w:t>
                  </w:r>
                </w:p>
              </w:tc>
              <w:tc>
                <w:tcPr/>
                <w:p>
                  <w:pPr>
                    <w:pStyle w:val="Compact"/>
                    <w:jc w:val="center"/>
                  </w:pPr>
                  <w:r>
                    <w:t xml:space="preserve">3</w:t>
                  </w:r>
                </w:p>
              </w:tc>
            </w:tr>
            <w:tr>
              <w:tc>
                <w:tcPr/>
                <w:p>
                  <w:pPr>
                    <w:pStyle w:val="Compact"/>
                    <w:jc w:val="center"/>
                  </w:pPr>
                  <w:r>
                    <w:t xml:space="preserve">Supply Security</w:t>
                  </w:r>
                </w:p>
              </w:tc>
              <w:tc>
                <w:tcPr/>
                <w:p>
                  <w:pPr>
                    <w:pStyle w:val="Compact"/>
                    <w:jc w:val="center"/>
                  </w:pPr>
                  <w:r>
                    <w:t xml:space="preserve">2</w:t>
                  </w:r>
                </w:p>
              </w:tc>
            </w:tr>
            <w:tr>
              <w:tc>
                <w:tcPr/>
                <w:p>
                  <w:pPr>
                    <w:pStyle w:val="Compact"/>
                    <w:jc w:val="center"/>
                  </w:pPr>
                  <w:r>
                    <w:t xml:space="preserve">Reliability</w:t>
                  </w:r>
                </w:p>
              </w:tc>
              <w:tc>
                <w:tcPr/>
                <w:p>
                  <w:pPr>
                    <w:pStyle w:val="Compact"/>
                    <w:jc w:val="center"/>
                  </w:pPr>
                  <w:r>
                    <w:t xml:space="preserve">2</w:t>
                  </w:r>
                </w:p>
              </w:tc>
            </w:tr>
            <w:tr>
              <w:tc>
                <w:tcPr/>
                <w:p>
                  <w:pPr>
                    <w:pStyle w:val="Compact"/>
                    <w:jc w:val="center"/>
                  </w:pPr>
                  <w:r>
                    <w:t xml:space="preserve">Network</w:t>
                  </w:r>
                </w:p>
              </w:tc>
              <w:tc>
                <w:tcPr/>
                <w:p>
                  <w:pPr>
                    <w:pStyle w:val="Compact"/>
                    <w:jc w:val="center"/>
                  </w:pPr>
                  <w:r>
                    <w:t xml:space="preserve">1</w:t>
                  </w:r>
                </w:p>
              </w:tc>
            </w:tr>
            <w:tr>
              <w:tc>
                <w:tcPr/>
                <w:p>
                  <w:pPr>
                    <w:pStyle w:val="Compact"/>
                    <w:jc w:val="center"/>
                  </w:pPr>
                  <w:r>
                    <w:t xml:space="preserve">Transport CO2</w:t>
                  </w:r>
                </w:p>
              </w:tc>
              <w:tc>
                <w:tcPr/>
                <w:p>
                  <w:pPr>
                    <w:pStyle w:val="Compact"/>
                    <w:jc w:val="center"/>
                  </w:pPr>
                  <w:r>
                    <w:t xml:space="preserve">1</w:t>
                  </w:r>
                </w:p>
              </w:tc>
            </w:tr>
            <w:tr>
              <w:tc>
                <w:tcPr/>
                <w:p>
                  <w:pPr>
                    <w:pStyle w:val="Compact"/>
                    <w:jc w:val="center"/>
                  </w:pPr>
                  <w:r>
                    <w:rPr>
                      <w:b/>
                      <w:bCs/>
                    </w:rPr>
                    <w:t xml:space="preserve">Total</w:t>
                  </w:r>
                </w:p>
              </w:tc>
              <w:tc>
                <w:tcPr/>
                <w:p>
                  <w:pPr>
                    <w:pStyle w:val="Compact"/>
                    <w:jc w:val="center"/>
                  </w:pPr>
                  <w:r>
                    <w:rPr>
                      <w:b/>
                      <w:bCs/>
                    </w:rPr>
                    <w:t xml:space="preserve">300</w:t>
                  </w:r>
                </w:p>
              </w:tc>
            </w:tr>
          </w:tbl>
          <w:bookmarkEnd w:id="287"/>
          <w:p/>
        </w:tc>
      </w:tr>
    </w:tbl>
    <w:p>
      <w:pPr>
        <w:pStyle w:val="BodyText"/>
      </w:pPr>
      <w:r>
        <w:t xml:space="preserve">Every parameter in the table above flows through the same pipeline:</w:t>
      </w:r>
      <w:r>
        <w:t xml:space="preserve"> </w:t>
      </w:r>
      <w:r>
        <w:rPr>
          <w:rStyle w:val="VerbatimChar"/>
        </w:rPr>
        <w:t xml:space="preserve">parameters.csv → config.py (load_parameters_from_csv) → get_config() → consuming module</w:t>
      </w:r>
      <w:r>
        <w:t xml:space="preserve">. No exceptions. This ensures that sensitivity analysis and Monte Carlo automatically capture every parameter — there are no</w:t>
      </w:r>
      <w:r>
        <w:t xml:space="preserve"> </w:t>
      </w:r>
      <w:r>
        <w:t xml:space="preserve">“hidden”</w:t>
      </w:r>
      <w:r>
        <w:t xml:space="preserve"> </w:t>
      </w:r>
      <w:r>
        <w:t xml:space="preserve">values in the code.</w:t>
      </w:r>
    </w:p>
    <w:bookmarkEnd w:id="288"/>
    <w:bookmarkEnd w:id="289"/>
    <w:bookmarkStart w:id="347" w:name="appendix-b-complete-parameter-table"/>
    <w:p>
      <w:pPr>
        <w:pStyle w:val="Heading1"/>
      </w:pPr>
      <w:r>
        <w:t xml:space="preserve">22. Appendix B — Complete Parameter Table</w:t>
      </w:r>
    </w:p>
    <w:p>
      <w:pPr>
        <w:pStyle w:val="FirstParagraph"/>
      </w:pPr>
      <w:r>
        <w:t xml:space="preserve">This appendix presents every parameter used in the Maldives Energy CBA model. All values are drawn from the central parameter registry (</w:t>
      </w:r>
      <w:r>
        <w:rPr>
          <w:rStyle w:val="VerbatimChar"/>
        </w:rPr>
        <w:t xml:space="preserve">parameters.csv</w:t>
      </w:r>
      <w:r>
        <w:t xml:space="preserve">), which serves as the single source of truth for the entire analysis. The Low and High columns define the ranges used in sensitivity analysis and Monte Carlo simulation — these bounds are derived from the empirical literature and represent the plausible range of each parameter given current evidence, not arbitrary percentage variations around the base case.</w:t>
      </w:r>
    </w:p>
    <w:p>
      <w:pPr>
        <w:pStyle w:val="BodyText"/>
      </w:pPr>
      <w:r>
        <w:t xml:space="preserve">The parameter table is organised by category, reflecting the model’s functional structure: demand parameters govern electricity consumption projections; technology parameters specify the cost and performance of solar, battery, diesel, cable, and LNG systems; economics parameters control discounting and price escalation; and so forth. Every parameter carries a source citation, ensuring that the provenance of each value can be independently verified. The source quality analysis below provides a summary assessment of the overall evidence base.</w:t>
      </w:r>
    </w:p>
    <w:bookmarkStart w:id="339" w:name="parameter-table"/>
    <w:p>
      <w:pPr>
        <w:pStyle w:val="Heading2"/>
      </w:pPr>
      <w:r>
        <w:t xml:space="preserve">22.1 Parameter Table</w:t>
      </w:r>
    </w:p>
    <w:tbl>
      <w:tblPr>
        <w:tblStyle w:val="Table"/>
        <w:tblW w:type="pct" w:w="5000"/>
        <w:tblLayout w:type="fixed"/>
        <w:tblLook w:firstRow="0" w:lastRow="0" w:firstColumn="0" w:lastColumn="0" w:noHBand="0" w:noVBand="0" w:val="0000"/>
      </w:tblPr>
      <w:tblGrid>
        <w:gridCol w:w="7920"/>
      </w:tblGrid>
      <w:tr>
        <w:tc>
          <w:tcPr/>
          <w:bookmarkStart w:id="338" w:name="tbl-all-params"/>
          <w:p>
            <w:pPr>
              <w:jc w:val="center"/>
            </w:pPr>
            <w:pPr>
              <w:jc w:val="start"/>
              <w:spacing w:before="200"/>
              <w:pStyle w:val="ImageCaption"/>
            </w:pPr>
            <w:r>
              <w:t xml:space="preserve">Table 22.1: Complete model parameters</w:t>
            </w:r>
          </w:p>
          <w:p>
            <w:pPr>
              <w:pStyle w:val="Heading3"/>
              <w:jc w:val="center"/>
            </w:pPr>
            <w:bookmarkStart w:id="290" w:name="time"/>
            <w:r>
              <w:t xml:space="preserve">22.1.1 Time</w:t>
            </w:r>
            <w:bookmarkEnd w:id="290"/>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left"/>
                    <w:jc w:val="center"/>
                  </w:pPr>
                  <w:r>
                    <w:t xml:space="preserve">Low</w:t>
                  </w:r>
                </w:p>
              </w:tc>
              <w:tc>
                <w:tcPr/>
                <w:p>
                  <w:pPr>
                    <w:pStyle w:val="Compact"/>
                    <w:jc w:val="lef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Base Year</w:t>
                  </w:r>
                </w:p>
              </w:tc>
              <w:tc>
                <w:tcPr/>
                <w:p>
                  <w:pPr>
                    <w:pStyle w:val="Compact"/>
                    <w:jc w:val="right"/>
                    <w:jc w:val="center"/>
                  </w:pPr>
                  <w:r>
                    <w:t xml:space="preserve">2026</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w:t>
                  </w:r>
                </w:p>
              </w:tc>
              <w:tc>
                <w:tcPr/>
                <w:p>
                  <w:pPr>
                    <w:pStyle w:val="Compact"/>
                    <w:jc w:val="left"/>
                    <w:jc w:val="center"/>
                  </w:pPr>
                  <w:r>
                    <w:t xml:space="preserve">—</w:t>
                  </w:r>
                </w:p>
              </w:tc>
            </w:tr>
            <w:tr>
              <w:tc>
                <w:tcPr/>
                <w:p>
                  <w:pPr>
                    <w:pStyle w:val="Compact"/>
                    <w:jc w:val="left"/>
                    <w:jc w:val="center"/>
                  </w:pPr>
                  <w:r>
                    <w:t xml:space="preserve">Horizon 20yr</w:t>
                  </w:r>
                </w:p>
              </w:tc>
              <w:tc>
                <w:tcPr/>
                <w:p>
                  <w:pPr>
                    <w:pStyle w:val="Compact"/>
                    <w:jc w:val="right"/>
                    <w:jc w:val="center"/>
                  </w:pPr>
                  <w:r>
                    <w:t xml:space="preserve">2046</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w:t>
                  </w:r>
                </w:p>
              </w:tc>
              <w:tc>
                <w:tcPr/>
                <w:p>
                  <w:pPr>
                    <w:pStyle w:val="Compact"/>
                    <w:jc w:val="left"/>
                    <w:jc w:val="center"/>
                  </w:pPr>
                  <w:r>
                    <w:t xml:space="preserve">—</w:t>
                  </w:r>
                </w:p>
              </w:tc>
            </w:tr>
            <w:tr>
              <w:tc>
                <w:tcPr/>
                <w:p>
                  <w:pPr>
                    <w:pStyle w:val="Compact"/>
                    <w:jc w:val="left"/>
                    <w:jc w:val="center"/>
                  </w:pPr>
                  <w:r>
                    <w:t xml:space="preserve">Horizon 30yr</w:t>
                  </w:r>
                </w:p>
              </w:tc>
              <w:tc>
                <w:tcPr/>
                <w:p>
                  <w:pPr>
                    <w:pStyle w:val="Compact"/>
                    <w:jc w:val="right"/>
                    <w:jc w:val="center"/>
                  </w:pPr>
                  <w:r>
                    <w:t xml:space="preserve">2056</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w:t>
                  </w:r>
                </w:p>
              </w:tc>
              <w:tc>
                <w:tcPr/>
                <w:p>
                  <w:pPr>
                    <w:pStyle w:val="Compact"/>
                    <w:jc w:val="left"/>
                    <w:jc w:val="center"/>
                  </w:pPr>
                  <w:r>
                    <w:t xml:space="preserve">—</w:t>
                  </w:r>
                </w:p>
              </w:tc>
            </w:tr>
            <w:tr>
              <w:tc>
                <w:tcPr/>
                <w:p>
                  <w:pPr>
                    <w:pStyle w:val="Compact"/>
                    <w:jc w:val="left"/>
                    <w:jc w:val="center"/>
                  </w:pPr>
                  <w:r>
                    <w:t xml:space="preserve">Horizon 50yr</w:t>
                  </w:r>
                </w:p>
              </w:tc>
              <w:tc>
                <w:tcPr/>
                <w:p>
                  <w:pPr>
                    <w:pStyle w:val="Compact"/>
                    <w:jc w:val="right"/>
                    <w:jc w:val="center"/>
                  </w:pPr>
                  <w:r>
                    <w:t xml:space="preserve">2076</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w:t>
                  </w:r>
                </w:p>
              </w:tc>
              <w:tc>
                <w:tcPr/>
                <w:p>
                  <w:pPr>
                    <w:pStyle w:val="Compact"/>
                    <w:jc w:val="left"/>
                    <w:jc w:val="center"/>
                  </w:pPr>
                  <w:r>
                    <w:t xml:space="preserve">—</w:t>
                  </w:r>
                </w:p>
              </w:tc>
            </w:tr>
          </w:tbl>
          <w:p>
            <w:pPr>
              <w:pStyle w:val="Heading3"/>
              <w:jc w:val="center"/>
            </w:pPr>
            <w:bookmarkStart w:id="291" w:name="current-system"/>
            <w:r>
              <w:t xml:space="preserve">22.1.2 Current System</w:t>
            </w:r>
            <w:bookmarkEnd w:id="291"/>
          </w:p>
          <w:tbl>
            <w:tblPr>
              <w:tblStyle w:val="Table"/>
              <w:tblW w:type="pct" w:w="5000"/>
              <w:tblLayout w:type="fixed"/>
              <w:tblLook w:firstRow="1" w:lastRow="0" w:firstColumn="0" w:lastColumn="0" w:noHBand="0" w:noVBand="0" w:val="0020"/>
            </w:tblPr>
            <w:tblGrid>
              <w:gridCol w:w="1980"/>
              <w:gridCol w:w="685"/>
              <w:gridCol w:w="533"/>
              <w:gridCol w:w="609"/>
              <w:gridCol w:w="609"/>
              <w:gridCol w:w="3503"/>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left"/>
                    <w:jc w:val="center"/>
                  </w:pPr>
                  <w:r>
                    <w:t xml:space="preserve">Low</w:t>
                  </w:r>
                </w:p>
              </w:tc>
              <w:tc>
                <w:tcPr/>
                <w:p>
                  <w:pPr>
                    <w:pStyle w:val="Compact"/>
                    <w:jc w:val="lef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Total Installed Capacity</w:t>
                  </w:r>
                </w:p>
              </w:tc>
              <w:tc>
                <w:tcPr/>
                <w:p>
                  <w:pPr>
                    <w:pStyle w:val="Compact"/>
                    <w:jc w:val="right"/>
                    <w:jc w:val="center"/>
                  </w:pPr>
                  <w:r>
                    <w:t xml:space="preserve">600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MW</w:t>
                  </w:r>
                </w:p>
              </w:tc>
              <w:tc>
                <w:tcPr/>
                <w:p>
                  <w:pPr>
                    <w:pStyle w:val="Compact"/>
                    <w:jc w:val="left"/>
                    <w:jc w:val="center"/>
                  </w:pPr>
                  <w:r>
                    <w:t xml:space="preserve">GoM Energy Roadmap Nov 2024</w:t>
                  </w:r>
                </w:p>
              </w:tc>
            </w:tr>
            <w:tr>
              <w:tc>
                <w:tcPr/>
                <w:p>
                  <w:pPr>
                    <w:pStyle w:val="Compact"/>
                    <w:jc w:val="left"/>
                    <w:jc w:val="center"/>
                  </w:pPr>
                  <w:r>
                    <w:t xml:space="preserve">Diesel Capacity</w:t>
                  </w:r>
                </w:p>
              </w:tc>
              <w:tc>
                <w:tcPr/>
                <w:p>
                  <w:pPr>
                    <w:pStyle w:val="Compact"/>
                    <w:jc w:val="right"/>
                    <w:jc w:val="center"/>
                  </w:pPr>
                  <w:r>
                    <w:t xml:space="preserve">531.5</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MW</w:t>
                  </w:r>
                </w:p>
              </w:tc>
              <w:tc>
                <w:tcPr/>
                <w:p>
                  <w:pPr>
                    <w:pStyle w:val="Compact"/>
                    <w:jc w:val="left"/>
                    <w:jc w:val="center"/>
                  </w:pPr>
                  <w:r>
                    <w:t xml:space="preserve">Derived (600 - 68.5 solar)</w:t>
                  </w:r>
                </w:p>
              </w:tc>
            </w:tr>
            <w:tr>
              <w:tc>
                <w:tcPr/>
                <w:p>
                  <w:pPr>
                    <w:pStyle w:val="Compact"/>
                    <w:jc w:val="left"/>
                    <w:jc w:val="center"/>
                  </w:pPr>
                  <w:r>
                    <w:t xml:space="preserve">Solar PV Capacity</w:t>
                  </w:r>
                </w:p>
              </w:tc>
              <w:tc>
                <w:tcPr/>
                <w:p>
                  <w:pPr>
                    <w:pStyle w:val="Compact"/>
                    <w:jc w:val="right"/>
                    <w:jc w:val="center"/>
                  </w:pPr>
                  <w:r>
                    <w:t xml:space="preserve">68.5</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MW</w:t>
                  </w:r>
                </w:p>
              </w:tc>
              <w:tc>
                <w:tcPr/>
                <w:p>
                  <w:pPr>
                    <w:pStyle w:val="Compact"/>
                    <w:jc w:val="left"/>
                    <w:jc w:val="center"/>
                  </w:pPr>
                  <w:r>
                    <w:t xml:space="preserve">GoM Energy Roadmap 2024</w:t>
                  </w:r>
                </w:p>
              </w:tc>
            </w:tr>
            <w:tr>
              <w:tc>
                <w:tcPr/>
                <w:p>
                  <w:pPr>
                    <w:pStyle w:val="Compact"/>
                    <w:jc w:val="left"/>
                    <w:jc w:val="center"/>
                  </w:pPr>
                  <w:r>
                    <w:t xml:space="preserve">Battery Storage</w:t>
                  </w:r>
                </w:p>
              </w:tc>
              <w:tc>
                <w:tcPr/>
                <w:p>
                  <w:pPr>
                    <w:pStyle w:val="Compact"/>
                    <w:jc w:val="right"/>
                    <w:jc w:val="center"/>
                  </w:pPr>
                  <w:r>
                    <w:t xml:space="preserve">8</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MWh</w:t>
                  </w:r>
                </w:p>
              </w:tc>
              <w:tc>
                <w:tcPr/>
                <w:p>
                  <w:pPr>
                    <w:pStyle w:val="Compact"/>
                    <w:jc w:val="left"/>
                    <w:jc w:val="center"/>
                  </w:pPr>
                  <w:r>
                    <w:t xml:space="preserve">GoM Energy Roadmap 2024; ADB POISED PCR 2023</w:t>
                  </w:r>
                </w:p>
              </w:tc>
            </w:tr>
            <w:tr>
              <w:tc>
                <w:tcPr/>
                <w:p>
                  <w:pPr>
                    <w:pStyle w:val="Compact"/>
                    <w:jc w:val="left"/>
                    <w:jc w:val="center"/>
                  </w:pPr>
                  <w:r>
                    <w:t xml:space="preserve">Diesel Generation Share</w:t>
                  </w:r>
                </w:p>
              </w:tc>
              <w:tc>
                <w:tcPr/>
                <w:p>
                  <w:pPr>
                    <w:pStyle w:val="Compact"/>
                    <w:jc w:val="right"/>
                    <w:jc w:val="center"/>
                  </w:pPr>
                  <w:r>
                    <w:t xml:space="preserve">0.93</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IRENA/Ember 2023</w:t>
                  </w:r>
                </w:p>
              </w:tc>
            </w:tr>
            <w:tr>
              <w:tc>
                <w:tcPr/>
                <w:p>
                  <w:pPr>
                    <w:pStyle w:val="Compact"/>
                    <w:jc w:val="left"/>
                    <w:jc w:val="center"/>
                  </w:pPr>
                  <w:r>
                    <w:t xml:space="preserve">RE Generation Share</w:t>
                  </w:r>
                </w:p>
              </w:tc>
              <w:tc>
                <w:tcPr/>
                <w:p>
                  <w:pPr>
                    <w:pStyle w:val="Compact"/>
                    <w:jc w:val="right"/>
                    <w:jc w:val="center"/>
                  </w:pPr>
                  <w:r>
                    <w:t xml:space="preserve">0.06</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GoM Energy Roadmap 2024</w:t>
                  </w:r>
                </w:p>
              </w:tc>
            </w:tr>
          </w:tbl>
          <w:p>
            <w:pPr>
              <w:pStyle w:val="Heading3"/>
              <w:jc w:val="center"/>
            </w:pPr>
            <w:bookmarkStart w:id="292" w:name="demand"/>
            <w:r>
              <w:t xml:space="preserve">22.1.3 Demand</w:t>
            </w:r>
            <w:bookmarkEnd w:id="292"/>
          </w:p>
          <w:tbl>
            <w:tblPr>
              <w:tblStyle w:val="Table"/>
              <w:tblW w:type="pct" w:w="5000"/>
              <w:tblLayout w:type="fixed"/>
              <w:tblLook w:firstRow="1" w:lastRow="0" w:firstColumn="0" w:lastColumn="0" w:noHBand="0" w:noVBand="0" w:val="0020"/>
            </w:tblPr>
            <w:tblGrid>
              <w:gridCol w:w="1683"/>
              <w:gridCol w:w="544"/>
              <w:gridCol w:w="346"/>
              <w:gridCol w:w="396"/>
              <w:gridCol w:w="841"/>
              <w:gridCol w:w="4108"/>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left"/>
                    <w:jc w:val="center"/>
                  </w:pPr>
                  <w:r>
                    <w:t xml:space="preserve">Low</w:t>
                  </w:r>
                </w:p>
              </w:tc>
              <w:tc>
                <w:tcPr/>
                <w:p>
                  <w:pPr>
                    <w:pStyle w:val="Compact"/>
                    <w:jc w:val="lef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Base Demand 2026</w:t>
                  </w:r>
                </w:p>
              </w:tc>
              <w:tc>
                <w:tcPr/>
                <w:p>
                  <w:pPr>
                    <w:pStyle w:val="Compact"/>
                    <w:jc w:val="right"/>
                    <w:jc w:val="center"/>
                  </w:pPr>
                  <w:r>
                    <w:t xml:space="preserve">1200</w:t>
                  </w:r>
                </w:p>
              </w:tc>
              <w:tc>
                <w:tcPr/>
                <w:p>
                  <w:pPr>
                    <w:pStyle w:val="Compact"/>
                    <w:jc w:val="left"/>
                    <w:jc w:val="center"/>
                  </w:pPr>
                  <w:r>
                    <w:t xml:space="preserve">1050</w:t>
                  </w:r>
                </w:p>
              </w:tc>
              <w:tc>
                <w:tcPr/>
                <w:p>
                  <w:pPr>
                    <w:pStyle w:val="Compact"/>
                    <w:jc w:val="left"/>
                    <w:jc w:val="center"/>
                  </w:pPr>
                  <w:r>
                    <w:t xml:space="preserve">1350</w:t>
                  </w:r>
                </w:p>
              </w:tc>
              <w:tc>
                <w:tcPr/>
                <w:p>
                  <w:pPr>
                    <w:pStyle w:val="Compact"/>
                    <w:jc w:val="left"/>
                    <w:jc w:val="center"/>
                  </w:pPr>
                  <w:r>
                    <w:t xml:space="preserve">GWh/year</w:t>
                  </w:r>
                </w:p>
              </w:tc>
              <w:tc>
                <w:tcPr/>
                <w:p>
                  <w:pPr>
                    <w:pStyle w:val="Compact"/>
                    <w:jc w:val="left"/>
                    <w:jc w:val="center"/>
                  </w:pPr>
                  <w:r>
                    <w:t xml:space="preserve">IRENA 2022 (1025 GWh) Ã— 1.05^4; validated against 2018 Island Electricity Data …</w:t>
                  </w:r>
                </w:p>
              </w:tc>
            </w:tr>
            <w:tr>
              <w:tc>
                <w:tcPr/>
                <w:p>
                  <w:pPr>
                    <w:pStyle w:val="Compact"/>
                    <w:jc w:val="left"/>
                    <w:jc w:val="center"/>
                  </w:pPr>
                  <w:r>
                    <w:t xml:space="preserve">Base Peak 2026</w:t>
                  </w:r>
                </w:p>
              </w:tc>
              <w:tc>
                <w:tcPr/>
                <w:p>
                  <w:pPr>
                    <w:pStyle w:val="Compact"/>
                    <w:jc w:val="right"/>
                    <w:jc w:val="center"/>
                  </w:pPr>
                  <w:r>
                    <w:t xml:space="preserve">200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MW</w:t>
                  </w:r>
                </w:p>
              </w:tc>
              <w:tc>
                <w:tcPr/>
                <w:p>
                  <w:pPr>
                    <w:pStyle w:val="Compact"/>
                    <w:jc w:val="left"/>
                    <w:jc w:val="center"/>
                  </w:pPr>
                  <w:r>
                    <w:t xml:space="preserve">STELCO MD (edition.mv Aug 2025): Greater MalÃ© +50 MW/5yr; PNG data: MalÃ©+Hulhu…</w:t>
                  </w:r>
                </w:p>
              </w:tc>
            </w:tr>
            <w:tr>
              <w:tc>
                <w:tcPr/>
                <w:p>
                  <w:pPr>
                    <w:pStyle w:val="Compact"/>
                    <w:jc w:val="left"/>
                    <w:jc w:val="center"/>
                  </w:pPr>
                  <w:r>
                    <w:t xml:space="preserve">Load Factor</w:t>
                  </w:r>
                </w:p>
              </w:tc>
              <w:tc>
                <w:tcPr/>
                <w:p>
                  <w:pPr>
                    <w:pStyle w:val="Compact"/>
                    <w:jc w:val="right"/>
                    <w:jc w:val="center"/>
                  </w:pPr>
                  <w:r>
                    <w:t xml:space="preserve">0.68</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ratio</w:t>
                  </w:r>
                </w:p>
              </w:tc>
              <w:tc>
                <w:tcPr/>
                <w:p>
                  <w:pPr>
                    <w:pStyle w:val="Compact"/>
                    <w:jc w:val="left"/>
                    <w:jc w:val="center"/>
                  </w:pPr>
                  <w:r>
                    <w:t xml:space="preserve">2018 Island Electricity Data Book (115 islands: 585 GWh / 97.6 MW peak / 8760h =…</w:t>
                  </w:r>
                </w:p>
              </w:tc>
            </w:tr>
            <w:tr>
              <w:tc>
                <w:tcPr/>
                <w:p>
                  <w:pPr>
                    <w:pStyle w:val="Compact"/>
                    <w:jc w:val="left"/>
                    <w:jc w:val="center"/>
                  </w:pPr>
                  <w:r>
                    <w:t xml:space="preserve">Growth Rate - BAU</w:t>
                  </w:r>
                </w:p>
              </w:tc>
              <w:tc>
                <w:tcPr/>
                <w:p>
                  <w:pPr>
                    <w:pStyle w:val="Compact"/>
                    <w:jc w:val="right"/>
                    <w:jc w:val="center"/>
                  </w:pPr>
                  <w:r>
                    <w:t xml:space="preserve">0.05</w:t>
                  </w:r>
                </w:p>
              </w:tc>
              <w:tc>
                <w:tcPr/>
                <w:p>
                  <w:pPr>
                    <w:pStyle w:val="Compact"/>
                    <w:jc w:val="left"/>
                    <w:jc w:val="center"/>
                  </w:pPr>
                  <w:r>
                    <w:t xml:space="preserve">0.035</w:t>
                  </w:r>
                </w:p>
              </w:tc>
              <w:tc>
                <w:tcPr/>
                <w:p>
                  <w:pPr>
                    <w:pStyle w:val="Compact"/>
                    <w:jc w:val="left"/>
                    <w:jc w:val="center"/>
                  </w:pPr>
                  <w:r>
                    <w:t xml:space="preserve">0.065</w:t>
                  </w:r>
                </w:p>
              </w:tc>
              <w:tc>
                <w:tcPr/>
                <w:p>
                  <w:pPr>
                    <w:pStyle w:val="Compact"/>
                    <w:jc w:val="left"/>
                    <w:jc w:val="center"/>
                  </w:pPr>
                  <w:r>
                    <w:t xml:space="preserve">%/year</w:t>
                  </w:r>
                </w:p>
              </w:tc>
              <w:tc>
                <w:tcPr/>
                <w:p>
                  <w:pPr>
                    <w:pStyle w:val="Compact"/>
                    <w:jc w:val="left"/>
                    <w:jc w:val="center"/>
                  </w:pPr>
                  <w:r>
                    <w:t xml:space="preserve">IRENA 2018-2022: 840â†’1025 GWh = 5.1%/yr; STELCO MD (edition.mv Aug 2025): MalÃ…</w:t>
                  </w:r>
                </w:p>
              </w:tc>
            </w:tr>
            <w:tr>
              <w:tc>
                <w:tcPr/>
                <w:p>
                  <w:pPr>
                    <w:pStyle w:val="Compact"/>
                    <w:jc w:val="left"/>
                    <w:jc w:val="center"/>
                  </w:pPr>
                  <w:r>
                    <w:t xml:space="preserve">Growth Rate - National Grid</w:t>
                  </w:r>
                </w:p>
              </w:tc>
              <w:tc>
                <w:tcPr/>
                <w:p>
                  <w:pPr>
                    <w:pStyle w:val="Compact"/>
                    <w:jc w:val="right"/>
                    <w:jc w:val="center"/>
                  </w:pPr>
                  <w:r>
                    <w:t xml:space="preserve">0.04</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w:t>
                  </w:r>
                </w:p>
              </w:tc>
              <w:tc>
                <w:tcPr/>
                <w:p>
                  <w:pPr>
                    <w:pStyle w:val="Compact"/>
                    <w:jc w:val="left"/>
                    <w:jc w:val="center"/>
                  </w:pPr>
                  <w:r>
                    <w:t xml:space="preserve">With efficiency gains</w:t>
                  </w:r>
                </w:p>
              </w:tc>
            </w:tr>
            <w:tr>
              <w:tc>
                <w:tcPr/>
                <w:p>
                  <w:pPr>
                    <w:pStyle w:val="Compact"/>
                    <w:jc w:val="left"/>
                    <w:jc w:val="center"/>
                  </w:pPr>
                  <w:r>
                    <w:t xml:space="preserve">Growth Rate - Full Integration</w:t>
                  </w:r>
                </w:p>
              </w:tc>
              <w:tc>
                <w:tcPr/>
                <w:p>
                  <w:pPr>
                    <w:pStyle w:val="Compact"/>
                    <w:jc w:val="right"/>
                    <w:jc w:val="center"/>
                  </w:pPr>
                  <w:r>
                    <w:t xml:space="preserve">0.05</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w:t>
                  </w:r>
                </w:p>
              </w:tc>
              <w:tc>
                <w:tcPr/>
                <w:p>
                  <w:pPr>
                    <w:pStyle w:val="Compact"/>
                    <w:jc w:val="left"/>
                    <w:jc w:val="center"/>
                  </w:pPr>
                  <w:r>
                    <w:t xml:space="preserve">Same as BAU; induced demand now modelled via price elasticity (L8)</w:t>
                  </w:r>
                </w:p>
              </w:tc>
            </w:tr>
            <w:tr>
              <w:tc>
                <w:tcPr/>
                <w:p>
                  <w:pPr>
                    <w:pStyle w:val="Compact"/>
                    <w:jc w:val="left"/>
                    <w:jc w:val="center"/>
                  </w:pPr>
                  <w:r>
                    <w:t xml:space="preserve">Price Elasticity of Demand</w:t>
                  </w:r>
                </w:p>
              </w:tc>
              <w:tc>
                <w:tcPr/>
                <w:p>
                  <w:pPr>
                    <w:pStyle w:val="Compact"/>
                    <w:jc w:val="right"/>
                    <w:jc w:val="center"/>
                  </w:pPr>
                  <w:r>
                    <w:t xml:space="preserve">-0.3</w:t>
                  </w:r>
                </w:p>
              </w:tc>
              <w:tc>
                <w:tcPr/>
                <w:p>
                  <w:pPr>
                    <w:pStyle w:val="Compact"/>
                    <w:jc w:val="left"/>
                    <w:jc w:val="center"/>
                  </w:pPr>
                  <w:r>
                    <w:t xml:space="preserve">-0.5</w:t>
                  </w:r>
                </w:p>
              </w:tc>
              <w:tc>
                <w:tcPr/>
                <w:p>
                  <w:pPr>
                    <w:pStyle w:val="Compact"/>
                    <w:jc w:val="left"/>
                    <w:jc w:val="center"/>
                  </w:pPr>
                  <w:r>
                    <w:t xml:space="preserve">-0.1</w:t>
                  </w:r>
                </w:p>
              </w:tc>
              <w:tc>
                <w:tcPr/>
                <w:p>
                  <w:pPr>
                    <w:pStyle w:val="Compact"/>
                    <w:jc w:val="left"/>
                    <w:jc w:val="center"/>
                  </w:pPr>
                  <w:r>
                    <w:t xml:space="preserve">ratio</w:t>
                  </w:r>
                </w:p>
              </w:tc>
              <w:tc>
                <w:tcPr/>
                <w:p>
                  <w:pPr>
                    <w:pStyle w:val="Compact"/>
                    <w:jc w:val="left"/>
                    <w:jc w:val="center"/>
                  </w:pPr>
                  <w:r>
                    <w:t xml:space="preserve">Wolfram et al. (2012)</w:t>
                  </w:r>
                  <w:r>
                    <w:t xml:space="preserve"> </w:t>
                  </w:r>
                  <w:r>
                    <w:t xml:space="preserve">‘Modelling Electricity Demand in Developing Countries’</w:t>
                  </w:r>
                  <w:r>
                    <w:t xml:space="preserve">; Bu…</w:t>
                  </w:r>
                </w:p>
              </w:tc>
            </w:tr>
            <w:tr>
              <w:tc>
                <w:tcPr/>
                <w:p>
                  <w:pPr>
                    <w:pStyle w:val="Compact"/>
                    <w:jc w:val="left"/>
                    <w:jc w:val="center"/>
                  </w:pPr>
                  <w:r>
                    <w:t xml:space="preserve">Male Growth Near Term</w:t>
                  </w:r>
                </w:p>
              </w:tc>
              <w:tc>
                <w:tcPr/>
                <w:p>
                  <w:pPr>
                    <w:pStyle w:val="Compact"/>
                    <w:jc w:val="right"/>
                    <w:jc w:val="center"/>
                  </w:pPr>
                  <w:r>
                    <w:t xml:space="preserve">0.1</w:t>
                  </w:r>
                </w:p>
              </w:tc>
              <w:tc>
                <w:tcPr/>
                <w:p>
                  <w:pPr>
                    <w:pStyle w:val="Compact"/>
                    <w:jc w:val="left"/>
                    <w:jc w:val="center"/>
                  </w:pPr>
                  <w:r>
                    <w:t xml:space="preserve">0.08</w:t>
                  </w:r>
                </w:p>
              </w:tc>
              <w:tc>
                <w:tcPr/>
                <w:p>
                  <w:pPr>
                    <w:pStyle w:val="Compact"/>
                    <w:jc w:val="left"/>
                    <w:jc w:val="center"/>
                  </w:pPr>
                  <w:r>
                    <w:t xml:space="preserve">0.12</w:t>
                  </w:r>
                </w:p>
              </w:tc>
              <w:tc>
                <w:tcPr/>
                <w:p>
                  <w:pPr>
                    <w:pStyle w:val="Compact"/>
                    <w:jc w:val="left"/>
                    <w:jc w:val="center"/>
                  </w:pPr>
                  <w:r>
                    <w:t xml:space="preserve">%/year</w:t>
                  </w:r>
                </w:p>
              </w:tc>
              <w:tc>
                <w:tcPr/>
                <w:p>
                  <w:pPr>
                    <w:pStyle w:val="Compact"/>
                    <w:jc w:val="left"/>
                    <w:jc w:val="center"/>
                  </w:pPr>
                  <w:r>
                    <w:t xml:space="preserve">STELCO Master Plan via Roadmap Â§4.1.1: Greater MalÃ© 7.9%â€“9.6%/yr (HulhumalÃ©…</w:t>
                  </w:r>
                </w:p>
              </w:tc>
            </w:tr>
            <w:tr>
              <w:tc>
                <w:tcPr/>
                <w:p>
                  <w:pPr>
                    <w:pStyle w:val="Compact"/>
                    <w:jc w:val="left"/>
                    <w:jc w:val="center"/>
                  </w:pPr>
                  <w:r>
                    <w:t xml:space="preserve">Male Growth Long Term</w:t>
                  </w:r>
                </w:p>
              </w:tc>
              <w:tc>
                <w:tcPr/>
                <w:p>
                  <w:pPr>
                    <w:pStyle w:val="Compact"/>
                    <w:jc w:val="right"/>
                    <w:jc w:val="center"/>
                  </w:pPr>
                  <w:r>
                    <w:t xml:space="preserve">0.06</w:t>
                  </w:r>
                </w:p>
              </w:tc>
              <w:tc>
                <w:tcPr/>
                <w:p>
                  <w:pPr>
                    <w:pStyle w:val="Compact"/>
                    <w:jc w:val="left"/>
                    <w:jc w:val="center"/>
                  </w:pPr>
                  <w:r>
                    <w:t xml:space="preserve">0.05</w:t>
                  </w:r>
                </w:p>
              </w:tc>
              <w:tc>
                <w:tcPr/>
                <w:p>
                  <w:pPr>
                    <w:pStyle w:val="Compact"/>
                    <w:jc w:val="left"/>
                    <w:jc w:val="center"/>
                  </w:pPr>
                  <w:r>
                    <w:t xml:space="preserve">0.07</w:t>
                  </w:r>
                </w:p>
              </w:tc>
              <w:tc>
                <w:tcPr/>
                <w:p>
                  <w:pPr>
                    <w:pStyle w:val="Compact"/>
                    <w:jc w:val="left"/>
                    <w:jc w:val="center"/>
                  </w:pPr>
                  <w:r>
                    <w:t xml:space="preserve">%/year</w:t>
                  </w:r>
                </w:p>
              </w:tc>
              <w:tc>
                <w:tcPr/>
                <w:p>
                  <w:pPr>
                    <w:pStyle w:val="Compact"/>
                    <w:jc w:val="left"/>
                    <w:jc w:val="center"/>
                  </w:pPr>
                  <w:r>
                    <w:t xml:space="preserve">Rate at saturation year (2035) before post-peak deceleration. Higher than nation…</w:t>
                  </w:r>
                </w:p>
              </w:tc>
            </w:tr>
            <w:tr>
              <w:tc>
                <w:tcPr/>
                <w:p>
                  <w:pPr>
                    <w:pStyle w:val="Compact"/>
                    <w:jc w:val="left"/>
                    <w:jc w:val="center"/>
                  </w:pPr>
                  <w:r>
                    <w:t xml:space="preserve">Male Demand Min Share</w:t>
                  </w:r>
                </w:p>
              </w:tc>
              <w:tc>
                <w:tcPr/>
                <w:p>
                  <w:pPr>
                    <w:pStyle w:val="Compact"/>
                    <w:jc w:val="right"/>
                    <w:jc w:val="center"/>
                  </w:pPr>
                  <w:r>
                    <w:t xml:space="preserve">0.45</w:t>
                  </w:r>
                </w:p>
              </w:tc>
              <w:tc>
                <w:tcPr/>
                <w:p>
                  <w:pPr>
                    <w:pStyle w:val="Compact"/>
                    <w:jc w:val="left"/>
                    <w:jc w:val="center"/>
                  </w:pPr>
                  <w:r>
                    <w:t xml:space="preserve">0.4</w:t>
                  </w:r>
                </w:p>
              </w:tc>
              <w:tc>
                <w:tcPr/>
                <w:p>
                  <w:pPr>
                    <w:pStyle w:val="Compact"/>
                    <w:jc w:val="left"/>
                    <w:jc w:val="center"/>
                  </w:pPr>
                  <w:r>
                    <w:t xml:space="preserve">0.55</w:t>
                  </w:r>
                </w:p>
              </w:tc>
              <w:tc>
                <w:tcPr/>
                <w:p>
                  <w:pPr>
                    <w:pStyle w:val="Compact"/>
                    <w:jc w:val="left"/>
                    <w:jc w:val="center"/>
                  </w:pPr>
                  <w:r>
                    <w:t xml:space="preserve">fraction</w:t>
                  </w:r>
                </w:p>
              </w:tc>
              <w:tc>
                <w:tcPr/>
                <w:p>
                  <w:pPr>
                    <w:pStyle w:val="Compact"/>
                    <w:jc w:val="left"/>
                    <w:jc w:val="center"/>
                  </w:pPr>
                  <w:r>
                    <w:t xml:space="preserve">Census 2022 (NBS): Greater MalÃ© 43% of national pop (MalÃ© 38.6% + HulhumalÃ© 4…</w:t>
                  </w:r>
                </w:p>
              </w:tc>
            </w:tr>
            <w:tr>
              <w:tc>
                <w:tcPr/>
                <w:p>
                  <w:pPr>
                    <w:pStyle w:val="Compact"/>
                    <w:jc w:val="left"/>
                    <w:jc w:val="center"/>
                  </w:pPr>
                  <w:r>
                    <w:t xml:space="preserve">Male Demand Saturation Year</w:t>
                  </w:r>
                </w:p>
              </w:tc>
              <w:tc>
                <w:tcPr/>
                <w:p>
                  <w:pPr>
                    <w:pStyle w:val="Compact"/>
                    <w:jc w:val="right"/>
                    <w:jc w:val="center"/>
                  </w:pPr>
                  <w:r>
                    <w:t xml:space="preserve">2035</w:t>
                  </w:r>
                </w:p>
              </w:tc>
              <w:tc>
                <w:tcPr/>
                <w:p>
                  <w:pPr>
                    <w:pStyle w:val="Compact"/>
                    <w:jc w:val="left"/>
                    <w:jc w:val="center"/>
                  </w:pPr>
                  <w:r>
                    <w:t xml:space="preserve">2032</w:t>
                  </w:r>
                </w:p>
              </w:tc>
              <w:tc>
                <w:tcPr/>
                <w:p>
                  <w:pPr>
                    <w:pStyle w:val="Compact"/>
                    <w:jc w:val="left"/>
                    <w:jc w:val="center"/>
                  </w:pPr>
                  <w:r>
                    <w:t xml:space="preserve">2040</w:t>
                  </w:r>
                </w:p>
              </w:tc>
              <w:tc>
                <w:tcPr/>
                <w:p>
                  <w:pPr>
                    <w:pStyle w:val="Compact"/>
                    <w:jc w:val="left"/>
                    <w:jc w:val="center"/>
                  </w:pPr>
                  <w:r>
                    <w:t xml:space="preserve">year</w:t>
                  </w:r>
                </w:p>
              </w:tc>
              <w:tc>
                <w:tcPr/>
                <w:p>
                  <w:pPr>
                    <w:pStyle w:val="Compact"/>
                    <w:jc w:val="left"/>
                    <w:jc w:val="center"/>
                  </w:pPr>
                  <w:r>
                    <w:t xml:space="preserve">HulhumalÃ© Phase 2 completion ~2030; Phase 3 ~2035. HDC timeline. R1: Changed fr…</w:t>
                  </w:r>
                </w:p>
              </w:tc>
            </w:tr>
            <w:tr>
              <w:tc>
                <w:tcPr/>
                <w:p>
                  <w:pPr>
                    <w:pStyle w:val="Compact"/>
                    <w:jc w:val="left"/>
                    <w:jc w:val="center"/>
                  </w:pPr>
                  <w:r>
                    <w:t xml:space="preserve">Male Post-Peak Growth Rate</w:t>
                  </w:r>
                </w:p>
              </w:tc>
              <w:tc>
                <w:tcPr/>
                <w:p>
                  <w:pPr>
                    <w:pStyle w:val="Compact"/>
                    <w:jc w:val="right"/>
                    <w:jc w:val="center"/>
                  </w:pPr>
                  <w:r>
                    <w:t xml:space="preserve">0.035</w:t>
                  </w:r>
                </w:p>
              </w:tc>
              <w:tc>
                <w:tcPr/>
                <w:p>
                  <w:pPr>
                    <w:pStyle w:val="Compact"/>
                    <w:jc w:val="left"/>
                    <w:jc w:val="center"/>
                  </w:pPr>
                  <w:r>
                    <w:t xml:space="preserve">0.025</w:t>
                  </w:r>
                </w:p>
              </w:tc>
              <w:tc>
                <w:tcPr/>
                <w:p>
                  <w:pPr>
                    <w:pStyle w:val="Compact"/>
                    <w:jc w:val="left"/>
                    <w:jc w:val="center"/>
                  </w:pPr>
                  <w:r>
                    <w:t xml:space="preserve">0.045</w:t>
                  </w:r>
                </w:p>
              </w:tc>
              <w:tc>
                <w:tcPr/>
                <w:p>
                  <w:pPr>
                    <w:pStyle w:val="Compact"/>
                    <w:jc w:val="left"/>
                    <w:jc w:val="center"/>
                  </w:pPr>
                  <w:r>
                    <w:t xml:space="preserve">%/year</w:t>
                  </w:r>
                </w:p>
              </w:tc>
              <w:tc>
                <w:tcPr/>
                <w:p>
                  <w:pPr>
                    <w:pStyle w:val="Compact"/>
                    <w:jc w:val="left"/>
                    <w:jc w:val="center"/>
                  </w:pPr>
                  <w:r>
                    <w:t xml:space="preserve">Post-construction-boom deceleration: density saturation (Bertaud 2019), water/po…</w:t>
                  </w:r>
                </w:p>
              </w:tc>
            </w:tr>
            <w:tr>
              <w:tc>
                <w:tcPr/>
                <w:p>
                  <w:pPr>
                    <w:pStyle w:val="Compact"/>
                    <w:jc w:val="left"/>
                    <w:jc w:val="center"/>
                  </w:pPr>
                  <w:r>
                    <w:t xml:space="preserve">Outer Growth Near Term</w:t>
                  </w:r>
                </w:p>
              </w:tc>
              <w:tc>
                <w:tcPr/>
                <w:p>
                  <w:pPr>
                    <w:pStyle w:val="Compact"/>
                    <w:jc w:val="right"/>
                    <w:jc w:val="center"/>
                  </w:pPr>
                  <w:r>
                    <w:t xml:space="preserve">0.07</w:t>
                  </w:r>
                </w:p>
              </w:tc>
              <w:tc>
                <w:tcPr/>
                <w:p>
                  <w:pPr>
                    <w:pStyle w:val="Compact"/>
                    <w:jc w:val="left"/>
                    <w:jc w:val="center"/>
                  </w:pPr>
                  <w:r>
                    <w:t xml:space="preserve">0.05</w:t>
                  </w:r>
                </w:p>
              </w:tc>
              <w:tc>
                <w:tcPr/>
                <w:p>
                  <w:pPr>
                    <w:pStyle w:val="Compact"/>
                    <w:jc w:val="left"/>
                    <w:jc w:val="center"/>
                  </w:pPr>
                  <w:r>
                    <w:t xml:space="preserve">0.09</w:t>
                  </w:r>
                </w:p>
              </w:tc>
              <w:tc>
                <w:tcPr/>
                <w:p>
                  <w:pPr>
                    <w:pStyle w:val="Compact"/>
                    <w:jc w:val="left"/>
                    <w:jc w:val="center"/>
                  </w:pPr>
                  <w:r>
                    <w:t xml:space="preserve">%/year</w:t>
                  </w:r>
                </w:p>
              </w:tc>
              <w:tc>
                <w:tcPr/>
                <w:p>
                  <w:pPr>
                    <w:pStyle w:val="Compact"/>
                    <w:jc w:val="left"/>
                    <w:jc w:val="center"/>
                  </w:pPr>
                  <w:r>
                    <w:t xml:space="preserve">Roadmap Â§4.1.2: outer island growth driven by guesthouse tourism boom; energy a…</w:t>
                  </w:r>
                </w:p>
              </w:tc>
            </w:tr>
            <w:tr>
              <w:tc>
                <w:tcPr/>
                <w:p>
                  <w:pPr>
                    <w:pStyle w:val="Compact"/>
                    <w:jc w:val="left"/>
                    <w:jc w:val="center"/>
                  </w:pPr>
                  <w:r>
                    <w:t xml:space="preserve">Outer Growth Long Term</w:t>
                  </w:r>
                </w:p>
              </w:tc>
              <w:tc>
                <w:tcPr/>
                <w:p>
                  <w:pPr>
                    <w:pStyle w:val="Compact"/>
                    <w:jc w:val="right"/>
                    <w:jc w:val="center"/>
                  </w:pPr>
                  <w:r>
                    <w:t xml:space="preserve">0.05</w:t>
                  </w:r>
                </w:p>
              </w:tc>
              <w:tc>
                <w:tcPr/>
                <w:p>
                  <w:pPr>
                    <w:pStyle w:val="Compact"/>
                    <w:jc w:val="left"/>
                    <w:jc w:val="center"/>
                  </w:pPr>
                  <w:r>
                    <w:t xml:space="preserve">0.04</w:t>
                  </w:r>
                </w:p>
              </w:tc>
              <w:tc>
                <w:tcPr/>
                <w:p>
                  <w:pPr>
                    <w:pStyle w:val="Compact"/>
                    <w:jc w:val="left"/>
                    <w:jc w:val="center"/>
                  </w:pPr>
                  <w:r>
                    <w:t xml:space="preserve">0.06</w:t>
                  </w:r>
                </w:p>
              </w:tc>
              <w:tc>
                <w:tcPr/>
                <w:p>
                  <w:pPr>
                    <w:pStyle w:val="Compact"/>
                    <w:jc w:val="left"/>
                    <w:jc w:val="center"/>
                  </w:pPr>
                  <w:r>
                    <w:t xml:space="preserve">%/year</w:t>
                  </w:r>
                </w:p>
              </w:tc>
              <w:tc>
                <w:tcPr/>
                <w:p>
                  <w:pPr>
                    <w:pStyle w:val="Compact"/>
                    <w:jc w:val="left"/>
                    <w:jc w:val="center"/>
                  </w:pPr>
                  <w:r>
                    <w:t xml:space="preserve">Converges to national BAU rate once guesthouse expansion saturates (~2030). Tour…</w:t>
                  </w:r>
                </w:p>
              </w:tc>
            </w:tr>
            <w:tr>
              <w:tc>
                <w:tcPr/>
                <w:p>
                  <w:pPr>
                    <w:pStyle w:val="Compact"/>
                    <w:jc w:val="left"/>
                    <w:jc w:val="center"/>
                  </w:pPr>
                  <w:r>
                    <w:t xml:space="preserve">Outer Growth Taper Year</w:t>
                  </w:r>
                </w:p>
              </w:tc>
              <w:tc>
                <w:tcPr/>
                <w:p>
                  <w:pPr>
                    <w:pStyle w:val="Compact"/>
                    <w:jc w:val="right"/>
                    <w:jc w:val="center"/>
                  </w:pPr>
                  <w:r>
                    <w:t xml:space="preserve">2030</w:t>
                  </w:r>
                </w:p>
              </w:tc>
              <w:tc>
                <w:tcPr/>
                <w:p>
                  <w:pPr>
                    <w:pStyle w:val="Compact"/>
                    <w:jc w:val="left"/>
                    <w:jc w:val="center"/>
                  </w:pPr>
                  <w:r>
                    <w:t xml:space="preserve">2028</w:t>
                  </w:r>
                </w:p>
              </w:tc>
              <w:tc>
                <w:tcPr/>
                <w:p>
                  <w:pPr>
                    <w:pStyle w:val="Compact"/>
                    <w:jc w:val="left"/>
                    <w:jc w:val="center"/>
                  </w:pPr>
                  <w:r>
                    <w:t xml:space="preserve">2032</w:t>
                  </w:r>
                </w:p>
              </w:tc>
              <w:tc>
                <w:tcPr/>
                <w:p>
                  <w:pPr>
                    <w:pStyle w:val="Compact"/>
                    <w:jc w:val="left"/>
                    <w:jc w:val="center"/>
                  </w:pPr>
                  <w:r>
                    <w:t xml:space="preserve">year</w:t>
                  </w:r>
                </w:p>
              </w:tc>
              <w:tc>
                <w:tcPr/>
                <w:p>
                  <w:pPr>
                    <w:pStyle w:val="Compact"/>
                    <w:jc w:val="left"/>
                    <w:jc w:val="center"/>
                  </w:pPr>
                  <w:r>
                    <w:t xml:space="preserve">Guesthouse boom peaks ~2028-2030; tourism capacity constraints bind. Roadmap imp…</w:t>
                  </w:r>
                </w:p>
              </w:tc>
            </w:tr>
            <w:tr>
              <w:tc>
                <w:tcPr/>
                <w:p>
                  <w:pPr>
                    <w:pStyle w:val="Compact"/>
                    <w:jc w:val="left"/>
                    <w:jc w:val="center"/>
                  </w:pPr>
                  <w:r>
                    <w:t xml:space="preserve">Outer Post-Peak Growth Rate</w:t>
                  </w:r>
                </w:p>
              </w:tc>
              <w:tc>
                <w:tcPr/>
                <w:p>
                  <w:pPr>
                    <w:pStyle w:val="Compact"/>
                    <w:jc w:val="right"/>
                    <w:jc w:val="center"/>
                  </w:pPr>
                  <w:r>
                    <w:t xml:space="preserve">0.06</w:t>
                  </w:r>
                </w:p>
              </w:tc>
              <w:tc>
                <w:tcPr/>
                <w:p>
                  <w:pPr>
                    <w:pStyle w:val="Compact"/>
                    <w:jc w:val="left"/>
                    <w:jc w:val="center"/>
                  </w:pPr>
                  <w:r>
                    <w:t xml:space="preserve">0.05</w:t>
                  </w:r>
                </w:p>
              </w:tc>
              <w:tc>
                <w:tcPr/>
                <w:p>
                  <w:pPr>
                    <w:pStyle w:val="Compact"/>
                    <w:jc w:val="left"/>
                    <w:jc w:val="center"/>
                  </w:pPr>
                  <w:r>
                    <w:t xml:space="preserve">0.07</w:t>
                  </w:r>
                </w:p>
              </w:tc>
              <w:tc>
                <w:tcPr/>
                <w:p>
                  <w:pPr>
                    <w:pStyle w:val="Compact"/>
                    <w:jc w:val="left"/>
                    <w:jc w:val="center"/>
                  </w:pPr>
                  <w:r>
                    <w:t xml:space="preserve">%/year</w:t>
                  </w:r>
                </w:p>
              </w:tc>
              <w:tc>
                <w:tcPr/>
                <w:p>
                  <w:pPr>
                    <w:pStyle w:val="Compact"/>
                    <w:jc w:val="left"/>
                    <w:jc w:val="center"/>
                  </w:pPr>
                  <w:r>
                    <w:t xml:space="preserve">Post-2035 outer island electrification acceleration: ARISE Strategic Action Plan…</w:t>
                  </w:r>
                </w:p>
              </w:tc>
            </w:tr>
            <w:tr>
              <w:tc>
                <w:tcPr/>
                <w:p>
                  <w:pPr>
                    <w:pStyle w:val="Compact"/>
                    <w:jc w:val="left"/>
                    <w:jc w:val="center"/>
                  </w:pPr>
                  <w:r>
                    <w:t xml:space="preserve">Resort Growth Rate</w:t>
                  </w:r>
                </w:p>
              </w:tc>
              <w:tc>
                <w:tcPr/>
                <w:p>
                  <w:pPr>
                    <w:pStyle w:val="Compact"/>
                    <w:jc w:val="right"/>
                    <w:jc w:val="center"/>
                  </w:pPr>
                  <w:r>
                    <w:t xml:space="preserve">0.02</w:t>
                  </w:r>
                </w:p>
              </w:tc>
              <w:tc>
                <w:tcPr/>
                <w:p>
                  <w:pPr>
                    <w:pStyle w:val="Compact"/>
                    <w:jc w:val="left"/>
                    <w:jc w:val="center"/>
                  </w:pPr>
                  <w:r>
                    <w:t xml:space="preserve">0.01</w:t>
                  </w:r>
                </w:p>
              </w:tc>
              <w:tc>
                <w:tcPr/>
                <w:p>
                  <w:pPr>
                    <w:pStyle w:val="Compact"/>
                    <w:jc w:val="left"/>
                    <w:jc w:val="center"/>
                  </w:pPr>
                  <w:r>
                    <w:t xml:space="preserve">0.03</w:t>
                  </w:r>
                </w:p>
              </w:tc>
              <w:tc>
                <w:tcPr/>
                <w:p>
                  <w:pPr>
                    <w:pStyle w:val="Compact"/>
                    <w:jc w:val="left"/>
                    <w:jc w:val="center"/>
                  </w:pPr>
                  <w:r>
                    <w:t xml:space="preserve">%/year</w:t>
                  </w:r>
                </w:p>
              </w:tc>
              <w:tc>
                <w:tcPr/>
                <w:p>
                  <w:pPr>
                    <w:pStyle w:val="Compact"/>
                    <w:jc w:val="left"/>
                    <w:jc w:val="center"/>
                  </w:pPr>
                  <w:r>
                    <w:t xml:space="preserve">Roadmap Â§4.1.3: fixed guest capacity (bed licenses); growth only from renovatio…</w:t>
                  </w:r>
                </w:p>
              </w:tc>
            </w:tr>
            <w:tr>
              <w:tc>
                <w:tcPr/>
                <w:p>
                  <w:pPr>
                    <w:pStyle w:val="Compact"/>
                    <w:jc w:val="left"/>
                    <w:jc w:val="center"/>
                  </w:pPr>
                  <w:r>
                    <w:t xml:space="preserve">Intensity Urban</w:t>
                  </w:r>
                </w:p>
              </w:tc>
              <w:tc>
                <w:tcPr/>
                <w:p>
                  <w:pPr>
                    <w:pStyle w:val="Compact"/>
                    <w:jc w:val="right"/>
                    <w:jc w:val="center"/>
                  </w:pPr>
                  <w:r>
                    <w:t xml:space="preserve">1.8</w:t>
                  </w:r>
                </w:p>
              </w:tc>
              <w:tc>
                <w:tcPr/>
                <w:p>
                  <w:pPr>
                    <w:pStyle w:val="Compact"/>
                    <w:jc w:val="left"/>
                    <w:jc w:val="center"/>
                  </w:pPr>
                  <w:r>
                    <w:t xml:space="preserve">1.4</w:t>
                  </w:r>
                </w:p>
              </w:tc>
              <w:tc>
                <w:tcPr/>
                <w:p>
                  <w:pPr>
                    <w:pStyle w:val="Compact"/>
                    <w:jc w:val="left"/>
                    <w:jc w:val="center"/>
                  </w:pPr>
                  <w:r>
                    <w:t xml:space="preserve">2.2</w:t>
                  </w:r>
                </w:p>
              </w:tc>
              <w:tc>
                <w:tcPr/>
                <w:p>
                  <w:pPr>
                    <w:pStyle w:val="Compact"/>
                    <w:jc w:val="left"/>
                    <w:jc w:val="center"/>
                  </w:pPr>
                  <w:r>
                    <w:t xml:space="preserve">multiplier</w:t>
                  </w:r>
                </w:p>
              </w:tc>
              <w:tc>
                <w:tcPr/>
                <w:p>
                  <w:pPr>
                    <w:pStyle w:val="Compact"/>
                    <w:jc w:val="left"/>
                    <w:jc w:val="center"/>
                  </w:pPr>
                  <w:r>
                    <w:t xml:space="preserve">Derived from 2018 Island Electricity Data Book: MalÃ©/HulhumalÃ© per-capita dema…</w:t>
                  </w:r>
                </w:p>
              </w:tc>
            </w:tr>
            <w:tr>
              <w:tc>
                <w:tcPr/>
                <w:p>
                  <w:pPr>
                    <w:pStyle w:val="Compact"/>
                    <w:jc w:val="left"/>
                    <w:jc w:val="center"/>
                  </w:pPr>
                  <w:r>
                    <w:t xml:space="preserve">Intensity Secondary</w:t>
                  </w:r>
                </w:p>
              </w:tc>
              <w:tc>
                <w:tcPr/>
                <w:p>
                  <w:pPr>
                    <w:pStyle w:val="Compact"/>
                    <w:jc w:val="right"/>
                    <w:jc w:val="center"/>
                  </w:pPr>
                  <w:r>
                    <w:t xml:space="preserve">1.2</w:t>
                  </w:r>
                </w:p>
              </w:tc>
              <w:tc>
                <w:tcPr/>
                <w:p>
                  <w:pPr>
                    <w:pStyle w:val="Compact"/>
                    <w:jc w:val="left"/>
                    <w:jc w:val="center"/>
                  </w:pPr>
                  <w:r>
                    <w:t xml:space="preserve">0.9</w:t>
                  </w:r>
                </w:p>
              </w:tc>
              <w:tc>
                <w:tcPr/>
                <w:p>
                  <w:pPr>
                    <w:pStyle w:val="Compact"/>
                    <w:jc w:val="left"/>
                    <w:jc w:val="center"/>
                  </w:pPr>
                  <w:r>
                    <w:t xml:space="preserve">1.5</w:t>
                  </w:r>
                </w:p>
              </w:tc>
              <w:tc>
                <w:tcPr/>
                <w:p>
                  <w:pPr>
                    <w:pStyle w:val="Compact"/>
                    <w:jc w:val="left"/>
                    <w:jc w:val="center"/>
                  </w:pPr>
                  <w:r>
                    <w:t xml:space="preserve">multiplier</w:t>
                  </w:r>
                </w:p>
              </w:tc>
              <w:tc>
                <w:tcPr/>
                <w:p>
                  <w:pPr>
                    <w:pStyle w:val="Compact"/>
                    <w:jc w:val="left"/>
                    <w:jc w:val="center"/>
                  </w:pPr>
                  <w:r>
                    <w:t xml:space="preserve">Derived from 2018 Island Electricity Data Book: mid-size islands per-capita ~1.2…</w:t>
                  </w:r>
                </w:p>
              </w:tc>
            </w:tr>
            <w:tr>
              <w:tc>
                <w:tcPr/>
                <w:p>
                  <w:pPr>
                    <w:pStyle w:val="Compact"/>
                    <w:jc w:val="left"/>
                    <w:jc w:val="center"/>
                  </w:pPr>
                  <w:r>
                    <w:t xml:space="preserve">Intensity Rural</w:t>
                  </w:r>
                </w:p>
              </w:tc>
              <w:tc>
                <w:tcPr/>
                <w:p>
                  <w:pPr>
                    <w:pStyle w:val="Compact"/>
                    <w:jc w:val="right"/>
                    <w:jc w:val="center"/>
                  </w:pPr>
                  <w:r>
                    <w:t xml:space="preserve">0.6</w:t>
                  </w:r>
                </w:p>
              </w:tc>
              <w:tc>
                <w:tcPr/>
                <w:p>
                  <w:pPr>
                    <w:pStyle w:val="Compact"/>
                    <w:jc w:val="left"/>
                    <w:jc w:val="center"/>
                  </w:pPr>
                  <w:r>
                    <w:t xml:space="preserve">0.4</w:t>
                  </w:r>
                </w:p>
              </w:tc>
              <w:tc>
                <w:tcPr/>
                <w:p>
                  <w:pPr>
                    <w:pStyle w:val="Compact"/>
                    <w:jc w:val="left"/>
                    <w:jc w:val="center"/>
                  </w:pPr>
                  <w:r>
                    <w:t xml:space="preserve">0.8</w:t>
                  </w:r>
                </w:p>
              </w:tc>
              <w:tc>
                <w:tcPr/>
                <w:p>
                  <w:pPr>
                    <w:pStyle w:val="Compact"/>
                    <w:jc w:val="left"/>
                    <w:jc w:val="center"/>
                  </w:pPr>
                  <w:r>
                    <w:t xml:space="preserve">multiplier</w:t>
                  </w:r>
                </w:p>
              </w:tc>
              <w:tc>
                <w:tcPr/>
                <w:p>
                  <w:pPr>
                    <w:pStyle w:val="Compact"/>
                    <w:jc w:val="left"/>
                    <w:jc w:val="center"/>
                  </w:pPr>
                  <w:r>
                    <w:t xml:space="preserve">Derived from 2018 Island Electricity Data Book: small outer islands per-capita ~…</w:t>
                  </w:r>
                </w:p>
              </w:tc>
            </w:tr>
            <w:tr>
              <w:tc>
                <w:tcPr/>
                <w:p>
                  <w:pPr>
                    <w:pStyle w:val="Compact"/>
                    <w:jc w:val="left"/>
                    <w:jc w:val="center"/>
                  </w:pPr>
                  <w:r>
                    <w:t xml:space="preserve">Urban Population Threshold</w:t>
                  </w:r>
                </w:p>
              </w:tc>
              <w:tc>
                <w:tcPr/>
                <w:p>
                  <w:pPr>
                    <w:pStyle w:val="Compact"/>
                    <w:jc w:val="right"/>
                    <w:jc w:val="center"/>
                  </w:pPr>
                  <w:r>
                    <w:t xml:space="preserve">15000</w:t>
                  </w:r>
                </w:p>
              </w:tc>
              <w:tc>
                <w:tcPr/>
                <w:p>
                  <w:pPr>
                    <w:pStyle w:val="Compact"/>
                    <w:jc w:val="left"/>
                    <w:jc w:val="center"/>
                  </w:pPr>
                  <w:r>
                    <w:t xml:space="preserve">10000</w:t>
                  </w:r>
                </w:p>
              </w:tc>
              <w:tc>
                <w:tcPr/>
                <w:p>
                  <w:pPr>
                    <w:pStyle w:val="Compact"/>
                    <w:jc w:val="left"/>
                    <w:jc w:val="center"/>
                  </w:pPr>
                  <w:r>
                    <w:t xml:space="preserve">20000</w:t>
                  </w:r>
                </w:p>
              </w:tc>
              <w:tc>
                <w:tcPr/>
                <w:p>
                  <w:pPr>
                    <w:pStyle w:val="Compact"/>
                    <w:jc w:val="left"/>
                    <w:jc w:val="center"/>
                  </w:pPr>
                  <w:r>
                    <w:t xml:space="preserve">persons</w:t>
                  </w:r>
                </w:p>
              </w:tc>
              <w:tc>
                <w:tcPr/>
                <w:p>
                  <w:pPr>
                    <w:pStyle w:val="Compact"/>
                    <w:jc w:val="left"/>
                    <w:jc w:val="center"/>
                  </w:pPr>
                  <w:r>
                    <w:t xml:space="preserve">Census 2022 â€” MalÃ©/HulhumalÃ©/Addu exceed 15k</w:t>
                  </w:r>
                </w:p>
              </w:tc>
            </w:tr>
            <w:tr>
              <w:tc>
                <w:tcPr/>
                <w:p>
                  <w:pPr>
                    <w:pStyle w:val="Compact"/>
                    <w:jc w:val="left"/>
                    <w:jc w:val="center"/>
                  </w:pPr>
                  <w:r>
                    <w:t xml:space="preserve">Secondary Population Threshold</w:t>
                  </w:r>
                </w:p>
              </w:tc>
              <w:tc>
                <w:tcPr/>
                <w:p>
                  <w:pPr>
                    <w:pStyle w:val="Compact"/>
                    <w:jc w:val="right"/>
                    <w:jc w:val="center"/>
                  </w:pPr>
                  <w:r>
                    <w:t xml:space="preserve">2000</w:t>
                  </w:r>
                </w:p>
              </w:tc>
              <w:tc>
                <w:tcPr/>
                <w:p>
                  <w:pPr>
                    <w:pStyle w:val="Compact"/>
                    <w:jc w:val="left"/>
                    <w:jc w:val="center"/>
                  </w:pPr>
                  <w:r>
                    <w:t xml:space="preserve">1000</w:t>
                  </w:r>
                </w:p>
              </w:tc>
              <w:tc>
                <w:tcPr/>
                <w:p>
                  <w:pPr>
                    <w:pStyle w:val="Compact"/>
                    <w:jc w:val="left"/>
                    <w:jc w:val="center"/>
                  </w:pPr>
                  <w:r>
                    <w:t xml:space="preserve">3000</w:t>
                  </w:r>
                </w:p>
              </w:tc>
              <w:tc>
                <w:tcPr/>
                <w:p>
                  <w:pPr>
                    <w:pStyle w:val="Compact"/>
                    <w:jc w:val="left"/>
                    <w:jc w:val="center"/>
                  </w:pPr>
                  <w:r>
                    <w:t xml:space="preserve">persons</w:t>
                  </w:r>
                </w:p>
              </w:tc>
              <w:tc>
                <w:tcPr/>
                <w:p>
                  <w:pPr>
                    <w:pStyle w:val="Compact"/>
                    <w:jc w:val="left"/>
                    <w:jc w:val="center"/>
                  </w:pPr>
                  <w:r>
                    <w:t xml:space="preserve">Census 2022 â€” distinguishes mid-size from small islands</w:t>
                  </w:r>
                </w:p>
              </w:tc>
            </w:tr>
            <w:tr>
              <w:tc>
                <w:tcPr/>
                <w:p>
                  <w:pPr>
                    <w:pStyle w:val="Compact"/>
                    <w:jc w:val="left"/>
                    <w:jc w:val="center"/>
                  </w:pPr>
                  <w:r>
                    <w:t xml:space="preserve">Demand Saturation kWh per Capita</w:t>
                  </w:r>
                </w:p>
              </w:tc>
              <w:tc>
                <w:tcPr/>
                <w:p>
                  <w:pPr>
                    <w:pStyle w:val="Compact"/>
                    <w:jc w:val="right"/>
                    <w:jc w:val="center"/>
                  </w:pPr>
                  <w:r>
                    <w:t xml:space="preserve">7000</w:t>
                  </w:r>
                </w:p>
              </w:tc>
              <w:tc>
                <w:tcPr/>
                <w:p>
                  <w:pPr>
                    <w:pStyle w:val="Compact"/>
                    <w:jc w:val="left"/>
                    <w:jc w:val="center"/>
                  </w:pPr>
                  <w:r>
                    <w:t xml:space="preserve">5000</w:t>
                  </w:r>
                </w:p>
              </w:tc>
              <w:tc>
                <w:tcPr/>
                <w:p>
                  <w:pPr>
                    <w:pStyle w:val="Compact"/>
                    <w:jc w:val="left"/>
                    <w:jc w:val="center"/>
                  </w:pPr>
                  <w:r>
                    <w:t xml:space="preserve">9000</w:t>
                  </w:r>
                </w:p>
              </w:tc>
              <w:tc>
                <w:tcPr/>
                <w:p>
                  <w:pPr>
                    <w:pStyle w:val="Compact"/>
                    <w:jc w:val="left"/>
                    <w:jc w:val="center"/>
                  </w:pPr>
                  <w:r>
                    <w:t xml:space="preserve">kWh/capita/year</w:t>
                  </w:r>
                </w:p>
              </w:tc>
              <w:tc>
                <w:tcPr/>
                <w:p>
                  <w:pPr>
                    <w:pStyle w:val="Compact"/>
                    <w:jc w:val="left"/>
                    <w:jc w:val="center"/>
                  </w:pPr>
                  <w:r>
                    <w:t xml:space="preserve">IEA World Energy Outlook 2024: Singapore ~8,800; Malaysia ~5,000; Thailand ~3,00…</w:t>
                  </w:r>
                </w:p>
              </w:tc>
            </w:tr>
          </w:tbl>
          <w:p>
            <w:pPr>
              <w:pStyle w:val="Heading3"/>
              <w:jc w:val="center"/>
            </w:pPr>
            <w:bookmarkStart w:id="293" w:name="fuel"/>
            <w:r>
              <w:t xml:space="preserve">22.1.4 Fuel</w:t>
            </w:r>
            <w:bookmarkEnd w:id="293"/>
          </w:p>
          <w:tbl>
            <w:tblPr>
              <w:tblStyle w:val="Table"/>
              <w:tblW w:type="pct" w:w="5000"/>
              <w:tblLayout w:type="fixed"/>
              <w:tblLook w:firstRow="1" w:lastRow="0" w:firstColumn="0" w:lastColumn="0" w:noHBand="0" w:noVBand="0" w:val="0020"/>
            </w:tblPr>
            <w:tblGrid>
              <w:gridCol w:w="1384"/>
              <w:gridCol w:w="498"/>
              <w:gridCol w:w="387"/>
              <w:gridCol w:w="443"/>
              <w:gridCol w:w="609"/>
              <w:gridCol w:w="4596"/>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left"/>
                    <w:jc w:val="center"/>
                  </w:pPr>
                  <w:r>
                    <w:t xml:space="preserve">Low</w:t>
                  </w:r>
                </w:p>
              </w:tc>
              <w:tc>
                <w:tcPr/>
                <w:p>
                  <w:pPr>
                    <w:pStyle w:val="Compact"/>
                    <w:jc w:val="lef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Diesel Price 2026</w:t>
                  </w:r>
                </w:p>
              </w:tc>
              <w:tc>
                <w:tcPr/>
                <w:p>
                  <w:pPr>
                    <w:pStyle w:val="Compact"/>
                    <w:jc w:val="right"/>
                    <w:jc w:val="center"/>
                  </w:pPr>
                  <w:r>
                    <w:t xml:space="preserve">0.85</w:t>
                  </w:r>
                </w:p>
              </w:tc>
              <w:tc>
                <w:tcPr/>
                <w:p>
                  <w:pPr>
                    <w:pStyle w:val="Compact"/>
                    <w:jc w:val="left"/>
                    <w:jc w:val="center"/>
                  </w:pPr>
                  <w:r>
                    <w:t xml:space="preserve">0.6</w:t>
                  </w:r>
                </w:p>
              </w:tc>
              <w:tc>
                <w:tcPr/>
                <w:p>
                  <w:pPr>
                    <w:pStyle w:val="Compact"/>
                    <w:jc w:val="left"/>
                    <w:jc w:val="center"/>
                  </w:pPr>
                  <w:r>
                    <w:t xml:space="preserve">1.1</w:t>
                  </w:r>
                </w:p>
              </w:tc>
              <w:tc>
                <w:tcPr/>
                <w:p>
                  <w:pPr>
                    <w:pStyle w:val="Compact"/>
                    <w:jc w:val="left"/>
                    <w:jc w:val="center"/>
                  </w:pPr>
                  <w:r>
                    <w:t xml:space="preserve">USD/liter</w:t>
                  </w:r>
                </w:p>
              </w:tc>
              <w:tc>
                <w:tcPr/>
                <w:p>
                  <w:pPr>
                    <w:pStyle w:val="Compact"/>
                    <w:jc w:val="left"/>
                    <w:jc w:val="center"/>
                  </w:pPr>
                  <w:r>
                    <w:t xml:space="preserve">Platts Dec 2025; STO import data 2023-24</w:t>
                  </w:r>
                </w:p>
              </w:tc>
            </w:tr>
            <w:tr>
              <w:tc>
                <w:tcPr/>
                <w:p>
                  <w:pPr>
                    <w:pStyle w:val="Compact"/>
                    <w:jc w:val="left"/>
                    <w:jc w:val="center"/>
                  </w:pPr>
                  <w:r>
                    <w:t xml:space="preserve">Diesel Price Escalation</w:t>
                  </w:r>
                </w:p>
              </w:tc>
              <w:tc>
                <w:tcPr/>
                <w:p>
                  <w:pPr>
                    <w:pStyle w:val="Compact"/>
                    <w:jc w:val="right"/>
                    <w:jc w:val="center"/>
                  </w:pPr>
                  <w:r>
                    <w:t xml:space="preserve">0.02</w:t>
                  </w:r>
                </w:p>
              </w:tc>
              <w:tc>
                <w:tcPr/>
                <w:p>
                  <w:pPr>
                    <w:pStyle w:val="Compact"/>
                    <w:jc w:val="left"/>
                    <w:jc w:val="center"/>
                  </w:pPr>
                  <w:r>
                    <w:t xml:space="preserve">0</w:t>
                  </w:r>
                </w:p>
              </w:tc>
              <w:tc>
                <w:tcPr/>
                <w:p>
                  <w:pPr>
                    <w:pStyle w:val="Compact"/>
                    <w:jc w:val="left"/>
                    <w:jc w:val="center"/>
                  </w:pPr>
                  <w:r>
                    <w:t xml:space="preserve">0.05</w:t>
                  </w:r>
                </w:p>
              </w:tc>
              <w:tc>
                <w:tcPr/>
                <w:p>
                  <w:pPr>
                    <w:pStyle w:val="Compact"/>
                    <w:jc w:val="left"/>
                    <w:jc w:val="center"/>
                  </w:pPr>
                  <w:r>
                    <w:t xml:space="preserve">%/year</w:t>
                  </w:r>
                </w:p>
              </w:tc>
              <w:tc>
                <w:tcPr/>
                <w:p>
                  <w:pPr>
                    <w:pStyle w:val="Compact"/>
                    <w:jc w:val="left"/>
                    <w:jc w:val="center"/>
                  </w:pPr>
                  <w:r>
                    <w:t xml:space="preserve">IEA WEO projection</w:t>
                  </w:r>
                </w:p>
              </w:tc>
            </w:tr>
            <w:tr>
              <w:tc>
                <w:tcPr/>
                <w:p>
                  <w:pPr>
                    <w:pStyle w:val="Compact"/>
                    <w:jc w:val="left"/>
                    <w:jc w:val="center"/>
                  </w:pPr>
                  <w:r>
                    <w:t xml:space="preserve">Fuel Efficiency</w:t>
                  </w:r>
                </w:p>
              </w:tc>
              <w:tc>
                <w:tcPr/>
                <w:p>
                  <w:pPr>
                    <w:pStyle w:val="Compact"/>
                    <w:jc w:val="right"/>
                    <w:jc w:val="center"/>
                  </w:pPr>
                  <w:r>
                    <w:t xml:space="preserve">3.3</w:t>
                  </w:r>
                </w:p>
              </w:tc>
              <w:tc>
                <w:tcPr/>
                <w:p>
                  <w:pPr>
                    <w:pStyle w:val="Compact"/>
                    <w:jc w:val="left"/>
                    <w:jc w:val="center"/>
                  </w:pPr>
                  <w:r>
                    <w:t xml:space="preserve">2.8</w:t>
                  </w:r>
                </w:p>
              </w:tc>
              <w:tc>
                <w:tcPr/>
                <w:p>
                  <w:pPr>
                    <w:pStyle w:val="Compact"/>
                    <w:jc w:val="left"/>
                    <w:jc w:val="center"/>
                  </w:pPr>
                  <w:r>
                    <w:t xml:space="preserve">3.8</w:t>
                  </w:r>
                </w:p>
              </w:tc>
              <w:tc>
                <w:tcPr/>
                <w:p>
                  <w:pPr>
                    <w:pStyle w:val="Compact"/>
                    <w:jc w:val="left"/>
                    <w:jc w:val="center"/>
                  </w:pPr>
                  <w:r>
                    <w:t xml:space="preserve">kWh/liter</w:t>
                  </w:r>
                </w:p>
              </w:tc>
              <w:tc>
                <w:tcPr/>
                <w:p>
                  <w:pPr>
                    <w:pStyle w:val="Compact"/>
                    <w:jc w:val="left"/>
                    <w:jc w:val="center"/>
                  </w:pPr>
                  <w:r>
                    <w:t xml:space="preserve">2018 Island Electricity Data Book (115 islands: mean 3.31 kWh/L, median 3.15 kWh…</w:t>
                  </w:r>
                </w:p>
              </w:tc>
            </w:tr>
            <w:tr>
              <w:tc>
                <w:tcPr/>
                <w:p>
                  <w:pPr>
                    <w:pStyle w:val="Compact"/>
                    <w:jc w:val="left"/>
                    <w:jc w:val="center"/>
                  </w:pPr>
                  <w:r>
                    <w:t xml:space="preserve">Male Diesel Efficiency</w:t>
                  </w:r>
                </w:p>
              </w:tc>
              <w:tc>
                <w:tcPr/>
                <w:p>
                  <w:pPr>
                    <w:pStyle w:val="Compact"/>
                    <w:jc w:val="right"/>
                    <w:jc w:val="center"/>
                  </w:pPr>
                  <w:r>
                    <w:t xml:space="preserve">3.3</w:t>
                  </w:r>
                </w:p>
              </w:tc>
              <w:tc>
                <w:tcPr/>
                <w:p>
                  <w:pPr>
                    <w:pStyle w:val="Compact"/>
                    <w:jc w:val="left"/>
                    <w:jc w:val="center"/>
                  </w:pPr>
                  <w:r>
                    <w:t xml:space="preserve">3</w:t>
                  </w:r>
                </w:p>
              </w:tc>
              <w:tc>
                <w:tcPr/>
                <w:p>
                  <w:pPr>
                    <w:pStyle w:val="Compact"/>
                    <w:jc w:val="left"/>
                    <w:jc w:val="center"/>
                  </w:pPr>
                  <w:r>
                    <w:t xml:space="preserve">3.5</w:t>
                  </w:r>
                </w:p>
              </w:tc>
              <w:tc>
                <w:tcPr/>
                <w:p>
                  <w:pPr>
                    <w:pStyle w:val="Compact"/>
                    <w:jc w:val="left"/>
                    <w:jc w:val="center"/>
                  </w:pPr>
                  <w:r>
                    <w:t xml:space="preserve">kWh/liter</w:t>
                  </w:r>
                </w:p>
              </w:tc>
              <w:tc>
                <w:tcPr/>
                <w:p>
                  <w:pPr>
                    <w:pStyle w:val="Compact"/>
                    <w:jc w:val="left"/>
                    <w:jc w:val="center"/>
                  </w:pPr>
                  <w:r>
                    <w:t xml:space="preserve">2018 Island Electricity Data Book: Greater MalÃ© large gensets (&gt;5 MW). STELCO f…</w:t>
                  </w:r>
                </w:p>
              </w:tc>
            </w:tr>
            <w:tr>
              <w:tc>
                <w:tcPr/>
                <w:p>
                  <w:pPr>
                    <w:pStyle w:val="Compact"/>
                    <w:jc w:val="left"/>
                    <w:jc w:val="center"/>
                  </w:pPr>
                  <w:r>
                    <w:t xml:space="preserve">Outer Diesel Efficiency</w:t>
                  </w:r>
                </w:p>
              </w:tc>
              <w:tc>
                <w:tcPr/>
                <w:p>
                  <w:pPr>
                    <w:pStyle w:val="Compact"/>
                    <w:jc w:val="right"/>
                    <w:jc w:val="center"/>
                  </w:pPr>
                  <w:r>
                    <w:t xml:space="preserve">2.38</w:t>
                  </w:r>
                </w:p>
              </w:tc>
              <w:tc>
                <w:tcPr/>
                <w:p>
                  <w:pPr>
                    <w:pStyle w:val="Compact"/>
                    <w:jc w:val="left"/>
                    <w:jc w:val="center"/>
                  </w:pPr>
                  <w:r>
                    <w:t xml:space="preserve">2</w:t>
                  </w:r>
                </w:p>
              </w:tc>
              <w:tc>
                <w:tcPr/>
                <w:p>
                  <w:pPr>
                    <w:pStyle w:val="Compact"/>
                    <w:jc w:val="left"/>
                    <w:jc w:val="center"/>
                  </w:pPr>
                  <w:r>
                    <w:t xml:space="preserve">2.8</w:t>
                  </w:r>
                </w:p>
              </w:tc>
              <w:tc>
                <w:tcPr/>
                <w:p>
                  <w:pPr>
                    <w:pStyle w:val="Compact"/>
                    <w:jc w:val="left"/>
                    <w:jc w:val="center"/>
                  </w:pPr>
                  <w:r>
                    <w:t xml:space="preserve">kWh/liter</w:t>
                  </w:r>
                </w:p>
              </w:tc>
              <w:tc>
                <w:tcPr/>
                <w:p>
                  <w:pPr>
                    <w:pStyle w:val="Compact"/>
                    <w:jc w:val="left"/>
                    <w:jc w:val="center"/>
                  </w:pPr>
                  <w:r>
                    <w:t xml:space="preserve">Roadmap Â§4.1.2: outer islands avg 0.42 L/kWh = 2.38 kWh/L. Small gensets (&lt;500 …</w:t>
                  </w:r>
                </w:p>
              </w:tc>
            </w:tr>
            <w:tr>
              <w:tc>
                <w:tcPr/>
                <w:p>
                  <w:pPr>
                    <w:pStyle w:val="Compact"/>
                    <w:jc w:val="left"/>
                    <w:jc w:val="center"/>
                  </w:pPr>
                  <w:r>
                    <w:t xml:space="preserve">CO2 Emission Factor</w:t>
                  </w:r>
                </w:p>
              </w:tc>
              <w:tc>
                <w:tcPr/>
                <w:p>
                  <w:pPr>
                    <w:pStyle w:val="Compact"/>
                    <w:jc w:val="right"/>
                    <w:jc w:val="center"/>
                  </w:pPr>
                  <w:r>
                    <w:t xml:space="preserve">0.72</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kgCO2/kWh</w:t>
                  </w:r>
                </w:p>
              </w:tc>
              <w:tc>
                <w:tcPr/>
                <w:p>
                  <w:pPr>
                    <w:pStyle w:val="Compact"/>
                    <w:jc w:val="left"/>
                    <w:jc w:val="center"/>
                  </w:pPr>
                  <w:r>
                    <w:t xml:space="preserve">IPCC 2006 Guidelines</w:t>
                  </w:r>
                </w:p>
              </w:tc>
            </w:tr>
          </w:tbl>
          <w:p>
            <w:pPr>
              <w:pStyle w:val="Heading3"/>
              <w:jc w:val="center"/>
            </w:pPr>
            <w:bookmarkStart w:id="294" w:name="solar"/>
            <w:r>
              <w:t xml:space="preserve">22.1.5 Solar</w:t>
            </w:r>
            <w:bookmarkEnd w:id="294"/>
          </w:p>
          <w:tbl>
            <w:tblPr>
              <w:tblStyle w:val="Table"/>
              <w:tblW w:type="pct" w:w="5000"/>
              <w:tblLayout w:type="fixed"/>
              <w:tblLook w:firstRow="1" w:lastRow="0" w:firstColumn="0" w:lastColumn="0" w:noHBand="0" w:noVBand="0" w:val="0020"/>
            </w:tblPr>
            <w:tblGrid>
              <w:gridCol w:w="1501"/>
              <w:gridCol w:w="517"/>
              <w:gridCol w:w="362"/>
              <w:gridCol w:w="414"/>
              <w:gridCol w:w="828"/>
              <w:gridCol w:w="4296"/>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left"/>
                    <w:jc w:val="center"/>
                  </w:pPr>
                  <w:r>
                    <w:t xml:space="preserve">Low</w:t>
                  </w:r>
                </w:p>
              </w:tc>
              <w:tc>
                <w:tcPr/>
                <w:p>
                  <w:pPr>
                    <w:pStyle w:val="Compact"/>
                    <w:jc w:val="lef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CAPEX 2026</w:t>
                  </w:r>
                </w:p>
              </w:tc>
              <w:tc>
                <w:tcPr/>
                <w:p>
                  <w:pPr>
                    <w:pStyle w:val="Compact"/>
                    <w:jc w:val="right"/>
                    <w:jc w:val="center"/>
                  </w:pPr>
                  <w:r>
                    <w:t xml:space="preserve">1500</w:t>
                  </w:r>
                </w:p>
              </w:tc>
              <w:tc>
                <w:tcPr/>
                <w:p>
                  <w:pPr>
                    <w:pStyle w:val="Compact"/>
                    <w:jc w:val="left"/>
                    <w:jc w:val="center"/>
                  </w:pPr>
                  <w:r>
                    <w:t xml:space="preserve">900</w:t>
                  </w:r>
                </w:p>
              </w:tc>
              <w:tc>
                <w:tcPr/>
                <w:p>
                  <w:pPr>
                    <w:pStyle w:val="Compact"/>
                    <w:jc w:val="left"/>
                    <w:jc w:val="center"/>
                  </w:pPr>
                  <w:r>
                    <w:t xml:space="preserve">2200</w:t>
                  </w:r>
                </w:p>
              </w:tc>
              <w:tc>
                <w:tcPr/>
                <w:p>
                  <w:pPr>
                    <w:pStyle w:val="Compact"/>
                    <w:jc w:val="left"/>
                    <w:jc w:val="center"/>
                  </w:pPr>
                  <w:r>
                    <w:t xml:space="preserve">USD/kW</w:t>
                  </w:r>
                </w:p>
              </w:tc>
              <w:tc>
                <w:tcPr/>
                <w:p>
                  <w:pPr>
                    <w:pStyle w:val="Compact"/>
                    <w:jc w:val="left"/>
                    <w:jc w:val="center"/>
                  </w:pPr>
                  <w:r>
                    <w:t xml:space="preserve">AIIB (2021) Maldives Solar Power Development P000377: $107.4M/36MW total project…</w:t>
                  </w:r>
                </w:p>
              </w:tc>
            </w:tr>
            <w:tr>
              <w:tc>
                <w:tcPr/>
                <w:p>
                  <w:pPr>
                    <w:pStyle w:val="Compact"/>
                    <w:jc w:val="left"/>
                    <w:jc w:val="center"/>
                  </w:pPr>
                  <w:r>
                    <w:t xml:space="preserve">CAPEX Annual Decline</w:t>
                  </w:r>
                </w:p>
              </w:tc>
              <w:tc>
                <w:tcPr/>
                <w:p>
                  <w:pPr>
                    <w:pStyle w:val="Compact"/>
                    <w:jc w:val="right"/>
                    <w:jc w:val="center"/>
                  </w:pPr>
                  <w:r>
                    <w:t xml:space="preserve">0.04</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w:t>
                  </w:r>
                </w:p>
              </w:tc>
              <w:tc>
                <w:tcPr/>
                <w:p>
                  <w:pPr>
                    <w:pStyle w:val="Compact"/>
                    <w:jc w:val="left"/>
                    <w:jc w:val="center"/>
                  </w:pPr>
                  <w:r>
                    <w:t xml:space="preserve">IRENA learning rates</w:t>
                  </w:r>
                </w:p>
              </w:tc>
            </w:tr>
            <w:tr>
              <w:tc>
                <w:tcPr/>
                <w:p>
                  <w:pPr>
                    <w:pStyle w:val="Compact"/>
                    <w:jc w:val="left"/>
                    <w:jc w:val="center"/>
                  </w:pPr>
                  <w:r>
                    <w:t xml:space="preserve">Learning Rate</w:t>
                  </w:r>
                </w:p>
              </w:tc>
              <w:tc>
                <w:tcPr/>
                <w:p>
                  <w:pPr>
                    <w:pStyle w:val="Compact"/>
                    <w:jc w:val="right"/>
                    <w:jc w:val="center"/>
                  </w:pPr>
                  <w:r>
                    <w:t xml:space="preserve">0.2</w:t>
                  </w:r>
                </w:p>
              </w:tc>
              <w:tc>
                <w:tcPr/>
                <w:p>
                  <w:pPr>
                    <w:pStyle w:val="Compact"/>
                    <w:jc w:val="left"/>
                    <w:jc w:val="center"/>
                  </w:pPr>
                  <w:r>
                    <w:t xml:space="preserve">0.15</w:t>
                  </w:r>
                </w:p>
              </w:tc>
              <w:tc>
                <w:tcPr/>
                <w:p>
                  <w:pPr>
                    <w:pStyle w:val="Compact"/>
                    <w:jc w:val="left"/>
                    <w:jc w:val="center"/>
                  </w:pPr>
                  <w:r>
                    <w:t xml:space="preserve">0.25</w:t>
                  </w:r>
                </w:p>
              </w:tc>
              <w:tc>
                <w:tcPr/>
                <w:p>
                  <w:pPr>
                    <w:pStyle w:val="Compact"/>
                    <w:jc w:val="left"/>
                    <w:jc w:val="center"/>
                  </w:pPr>
                  <w:r>
                    <w:t xml:space="preserve">ratio</w:t>
                  </w:r>
                </w:p>
              </w:tc>
              <w:tc>
                <w:tcPr/>
                <w:p>
                  <w:pPr>
                    <w:pStyle w:val="Compact"/>
                    <w:jc w:val="left"/>
                    <w:jc w:val="center"/>
                  </w:pPr>
                  <w:r>
                    <w:t xml:space="preserve">Wright (1936); Rubin et al. (2015) EEEP 3(2); IRENA (2024) RPGC Fig 3.1: solar 2…</w:t>
                  </w:r>
                </w:p>
              </w:tc>
            </w:tr>
            <w:tr>
              <w:tc>
                <w:tcPr/>
                <w:p>
                  <w:pPr>
                    <w:pStyle w:val="Compact"/>
                    <w:jc w:val="left"/>
                    <w:jc w:val="center"/>
                  </w:pPr>
                  <w:r>
                    <w:t xml:space="preserve">Global Cumulative GW 2026</w:t>
                  </w:r>
                </w:p>
              </w:tc>
              <w:tc>
                <w:tcPr/>
                <w:p>
                  <w:pPr>
                    <w:pStyle w:val="Compact"/>
                    <w:jc w:val="right"/>
                    <w:jc w:val="center"/>
                  </w:pPr>
                  <w:r>
                    <w:t xml:space="preserve">1500</w:t>
                  </w:r>
                </w:p>
              </w:tc>
              <w:tc>
                <w:tcPr/>
                <w:p>
                  <w:pPr>
                    <w:pStyle w:val="Compact"/>
                    <w:jc w:val="left"/>
                    <w:jc w:val="center"/>
                  </w:pPr>
                  <w:r>
                    <w:t xml:space="preserve">1200</w:t>
                  </w:r>
                </w:p>
              </w:tc>
              <w:tc>
                <w:tcPr/>
                <w:p>
                  <w:pPr>
                    <w:pStyle w:val="Compact"/>
                    <w:jc w:val="left"/>
                    <w:jc w:val="center"/>
                  </w:pPr>
                  <w:r>
                    <w:t xml:space="preserve">1800</w:t>
                  </w:r>
                </w:p>
              </w:tc>
              <w:tc>
                <w:tcPr/>
                <w:p>
                  <w:pPr>
                    <w:pStyle w:val="Compact"/>
                    <w:jc w:val="left"/>
                    <w:jc w:val="center"/>
                  </w:pPr>
                  <w:r>
                    <w:t xml:space="preserve">GW</w:t>
                  </w:r>
                </w:p>
              </w:tc>
              <w:tc>
                <w:tcPr/>
                <w:p>
                  <w:pPr>
                    <w:pStyle w:val="Compact"/>
                    <w:jc w:val="left"/>
                    <w:jc w:val="center"/>
                  </w:pPr>
                  <w:r>
                    <w:t xml:space="preserve">IRENA (2024) Renewable Capacity Statistics: 1419 GW end-2023 + ~300 GW/yr additi…</w:t>
                  </w:r>
                </w:p>
              </w:tc>
            </w:tr>
            <w:tr>
              <w:tc>
                <w:tcPr/>
                <w:p>
                  <w:pPr>
                    <w:pStyle w:val="Compact"/>
                    <w:jc w:val="left"/>
                    <w:jc w:val="center"/>
                  </w:pPr>
                  <w:r>
                    <w:t xml:space="preserve">Global Annual Addition GW</w:t>
                  </w:r>
                </w:p>
              </w:tc>
              <w:tc>
                <w:tcPr/>
                <w:p>
                  <w:pPr>
                    <w:pStyle w:val="Compact"/>
                    <w:jc w:val="right"/>
                    <w:jc w:val="center"/>
                  </w:pPr>
                  <w:r>
                    <w:t xml:space="preserve">350</w:t>
                  </w:r>
                </w:p>
              </w:tc>
              <w:tc>
                <w:tcPr/>
                <w:p>
                  <w:pPr>
                    <w:pStyle w:val="Compact"/>
                    <w:jc w:val="left"/>
                    <w:jc w:val="center"/>
                  </w:pPr>
                  <w:r>
                    <w:t xml:space="preserve">250</w:t>
                  </w:r>
                </w:p>
              </w:tc>
              <w:tc>
                <w:tcPr/>
                <w:p>
                  <w:pPr>
                    <w:pStyle w:val="Compact"/>
                    <w:jc w:val="left"/>
                    <w:jc w:val="center"/>
                  </w:pPr>
                  <w:r>
                    <w:t xml:space="preserve">450</w:t>
                  </w:r>
                </w:p>
              </w:tc>
              <w:tc>
                <w:tcPr/>
                <w:p>
                  <w:pPr>
                    <w:pStyle w:val="Compact"/>
                    <w:jc w:val="left"/>
                    <w:jc w:val="center"/>
                  </w:pPr>
                  <w:r>
                    <w:t xml:space="preserve">GW/year</w:t>
                  </w:r>
                </w:p>
              </w:tc>
              <w:tc>
                <w:tcPr/>
                <w:p>
                  <w:pPr>
                    <w:pStyle w:val="Compact"/>
                    <w:jc w:val="left"/>
                    <w:jc w:val="center"/>
                  </w:pPr>
                  <w:r>
                    <w:t xml:space="preserve">IRENA (2024); IEA WEO 2024: 420 GW in 2023, ~350 GW/yr forward trend</w:t>
                  </w:r>
                </w:p>
              </w:tc>
            </w:tr>
            <w:tr>
              <w:tc>
                <w:tcPr/>
                <w:p>
                  <w:pPr>
                    <w:pStyle w:val="Compact"/>
                    <w:jc w:val="left"/>
                    <w:jc w:val="center"/>
                  </w:pPr>
                  <w:r>
                    <w:t xml:space="preserve">OPEX (% of CAPEX)</w:t>
                  </w:r>
                </w:p>
              </w:tc>
              <w:tc>
                <w:tcPr/>
                <w:p>
                  <w:pPr>
                    <w:pStyle w:val="Compact"/>
                    <w:jc w:val="right"/>
                    <w:jc w:val="center"/>
                  </w:pPr>
                  <w:r>
                    <w:t xml:space="preserve">0.015</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IRENA RPGC 2024 Â§3.3: utility PV O&amp;M 1-2% of CAPEX/yr globally; NREL ATB 2024: …</w:t>
                  </w:r>
                </w:p>
              </w:tc>
            </w:tr>
            <w:tr>
              <w:tc>
                <w:tcPr/>
                <w:p>
                  <w:pPr>
                    <w:pStyle w:val="Compact"/>
                    <w:jc w:val="left"/>
                    <w:jc w:val="center"/>
                  </w:pPr>
                  <w:r>
                    <w:t xml:space="preserve">Capacity Factor</w:t>
                  </w:r>
                </w:p>
              </w:tc>
              <w:tc>
                <w:tcPr/>
                <w:p>
                  <w:pPr>
                    <w:pStyle w:val="Compact"/>
                    <w:jc w:val="right"/>
                    <w:jc w:val="center"/>
                  </w:pPr>
                  <w:r>
                    <w:t xml:space="preserve">0.175</w:t>
                  </w:r>
                </w:p>
              </w:tc>
              <w:tc>
                <w:tcPr/>
                <w:p>
                  <w:pPr>
                    <w:pStyle w:val="Compact"/>
                    <w:jc w:val="left"/>
                    <w:jc w:val="center"/>
                  </w:pPr>
                  <w:r>
                    <w:t xml:space="preserve">0.15</w:t>
                  </w:r>
                </w:p>
              </w:tc>
              <w:tc>
                <w:tcPr/>
                <w:p>
                  <w:pPr>
                    <w:pStyle w:val="Compact"/>
                    <w:jc w:val="left"/>
                    <w:jc w:val="center"/>
                  </w:pPr>
                  <w:r>
                    <w:t xml:space="preserve">0.22</w:t>
                  </w:r>
                </w:p>
              </w:tc>
              <w:tc>
                <w:tcPr/>
                <w:p>
                  <w:pPr>
                    <w:pStyle w:val="Compact"/>
                    <w:jc w:val="left"/>
                    <w:jc w:val="center"/>
                  </w:pPr>
                  <w:r>
                    <w:t xml:space="preserve">ratio</w:t>
                  </w:r>
                </w:p>
              </w:tc>
              <w:tc>
                <w:tcPr/>
                <w:p>
                  <w:pPr>
                    <w:pStyle w:val="Compact"/>
                    <w:jc w:val="left"/>
                    <w:jc w:val="center"/>
                  </w:pPr>
                  <w:r>
                    <w:t xml:space="preserve">World Bank/Solargis Maldives Atlas</w:t>
                  </w:r>
                </w:p>
              </w:tc>
            </w:tr>
            <w:tr>
              <w:tc>
                <w:tcPr/>
                <w:p>
                  <w:pPr>
                    <w:pStyle w:val="Compact"/>
                    <w:jc w:val="left"/>
                    <w:jc w:val="center"/>
                  </w:pPr>
                  <w:r>
                    <w:t xml:space="preserve">Lifetime</w:t>
                  </w:r>
                </w:p>
              </w:tc>
              <w:tc>
                <w:tcPr/>
                <w:p>
                  <w:pPr>
                    <w:pStyle w:val="Compact"/>
                    <w:jc w:val="right"/>
                    <w:jc w:val="center"/>
                  </w:pPr>
                  <w:r>
                    <w:t xml:space="preserve">30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years</w:t>
                  </w:r>
                </w:p>
              </w:tc>
              <w:tc>
                <w:tcPr/>
                <w:p>
                  <w:pPr>
                    <w:pStyle w:val="Compact"/>
                    <w:jc w:val="left"/>
                    <w:jc w:val="center"/>
                  </w:pPr>
                  <w:r>
                    <w:t xml:space="preserve">IRENA RPGC 2024 Â§3.2: modern crystalline Si modules 25-30yr economic lifetime; …</w:t>
                  </w:r>
                </w:p>
              </w:tc>
            </w:tr>
            <w:tr>
              <w:tc>
                <w:tcPr/>
                <w:p>
                  <w:pPr>
                    <w:pStyle w:val="Compact"/>
                    <w:jc w:val="left"/>
                    <w:jc w:val="center"/>
                  </w:pPr>
                  <w:r>
                    <w:t xml:space="preserve">Degradation Rate</w:t>
                  </w:r>
                </w:p>
              </w:tc>
              <w:tc>
                <w:tcPr/>
                <w:p>
                  <w:pPr>
                    <w:pStyle w:val="Compact"/>
                    <w:jc w:val="right"/>
                    <w:jc w:val="center"/>
                  </w:pPr>
                  <w:r>
                    <w:t xml:space="preserve">0.005</w:t>
                  </w:r>
                </w:p>
              </w:tc>
              <w:tc>
                <w:tcPr/>
                <w:p>
                  <w:pPr>
                    <w:pStyle w:val="Compact"/>
                    <w:jc w:val="left"/>
                    <w:jc w:val="center"/>
                  </w:pPr>
                  <w:r>
                    <w:t xml:space="preserve">0.003</w:t>
                  </w:r>
                </w:p>
              </w:tc>
              <w:tc>
                <w:tcPr/>
                <w:p>
                  <w:pPr>
                    <w:pStyle w:val="Compact"/>
                    <w:jc w:val="left"/>
                    <w:jc w:val="center"/>
                  </w:pPr>
                  <w:r>
                    <w:t xml:space="preserve">0.008</w:t>
                  </w:r>
                </w:p>
              </w:tc>
              <w:tc>
                <w:tcPr/>
                <w:p>
                  <w:pPr>
                    <w:pStyle w:val="Compact"/>
                    <w:jc w:val="left"/>
                    <w:jc w:val="center"/>
                  </w:pPr>
                  <w:r>
                    <w:t xml:space="preserve">%/year</w:t>
                  </w:r>
                </w:p>
              </w:tc>
              <w:tc>
                <w:tcPr/>
                <w:p>
                  <w:pPr>
                    <w:pStyle w:val="Compact"/>
                    <w:jc w:val="left"/>
                    <w:jc w:val="center"/>
                  </w:pPr>
                  <w:r>
                    <w:t xml:space="preserve">Jordan &amp; Kurtz 2013 (NREL); IRENA RPGC 2024</w:t>
                  </w:r>
                </w:p>
              </w:tc>
            </w:tr>
            <w:tr>
              <w:tc>
                <w:tcPr/>
                <w:p>
                  <w:pPr>
                    <w:pStyle w:val="Compact"/>
                    <w:jc w:val="left"/>
                    <w:jc w:val="center"/>
                  </w:pPr>
                  <w:r>
                    <w:t xml:space="preserve">Lifecycle Emission Factor</w:t>
                  </w:r>
                </w:p>
              </w:tc>
              <w:tc>
                <w:tcPr/>
                <w:p>
                  <w:pPr>
                    <w:pStyle w:val="Compact"/>
                    <w:jc w:val="right"/>
                    <w:jc w:val="center"/>
                  </w:pPr>
                  <w:r>
                    <w:t xml:space="preserve">0.04</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kgCO2/kWh</w:t>
                  </w:r>
                </w:p>
              </w:tc>
              <w:tc>
                <w:tcPr/>
                <w:p>
                  <w:pPr>
                    <w:pStyle w:val="Compact"/>
                    <w:jc w:val="left"/>
                    <w:jc w:val="center"/>
                  </w:pPr>
                  <w:r>
                    <w:t xml:space="preserve">IPCC AR5 median for utility PV</w:t>
                  </w:r>
                </w:p>
              </w:tc>
            </w:tr>
            <w:tr>
              <w:tc>
                <w:tcPr/>
                <w:p>
                  <w:pPr>
                    <w:pStyle w:val="Compact"/>
                    <w:jc w:val="left"/>
                    <w:jc w:val="center"/>
                  </w:pPr>
                  <w:r>
                    <w:t xml:space="preserve">Temp Derating Coeff</w:t>
                  </w:r>
                </w:p>
              </w:tc>
              <w:tc>
                <w:tcPr/>
                <w:p>
                  <w:pPr>
                    <w:pStyle w:val="Compact"/>
                    <w:jc w:val="right"/>
                    <w:jc w:val="center"/>
                  </w:pPr>
                  <w:r>
                    <w:t xml:space="preserve">0.005</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/degC</w:t>
                  </w:r>
                </w:p>
              </w:tc>
              <w:tc>
                <w:tcPr/>
                <w:p>
                  <w:pPr>
                    <w:pStyle w:val="Compact"/>
                    <w:jc w:val="left"/>
                    <w:jc w:val="center"/>
                  </w:pPr>
                  <w:r>
                    <w:t xml:space="preserve">IEC 61215; GEP-OnSSET onsset.py L186</w:t>
                  </w:r>
                </w:p>
              </w:tc>
            </w:tr>
            <w:tr>
              <w:tc>
                <w:tcPr/>
                <w:p>
                  <w:pPr>
                    <w:pStyle w:val="Compact"/>
                    <w:jc w:val="left"/>
                    <w:jc w:val="center"/>
                  </w:pPr>
                  <w:r>
                    <w:t xml:space="preserve">NOCT Coeff</w:t>
                  </w:r>
                </w:p>
              </w:tc>
              <w:tc>
                <w:tcPr/>
                <w:p>
                  <w:pPr>
                    <w:pStyle w:val="Compact"/>
                    <w:jc w:val="right"/>
                    <w:jc w:val="center"/>
                  </w:pPr>
                  <w:r>
                    <w:t xml:space="preserve">25.6</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degC per kW/m2</w:t>
                  </w:r>
                </w:p>
              </w:tc>
              <w:tc>
                <w:tcPr/>
                <w:p>
                  <w:pPr>
                    <w:pStyle w:val="Compact"/>
                    <w:jc w:val="left"/>
                    <w:jc w:val="center"/>
                  </w:pPr>
                  <w:r>
                    <w:t xml:space="preserve">GEP-OnSSET onsset.py L247: t_cell = temp + 0.0256*ghi</w:t>
                  </w:r>
                </w:p>
              </w:tc>
            </w:tr>
            <w:tr>
              <w:tc>
                <w:tcPr/>
                <w:p>
                  <w:pPr>
                    <w:pStyle w:val="Compact"/>
                    <w:jc w:val="left"/>
                    <w:jc w:val="center"/>
                  </w:pPr>
                  <w:r>
                    <w:t xml:space="preserve">Default Ambient Temp</w:t>
                  </w:r>
                </w:p>
              </w:tc>
              <w:tc>
                <w:tcPr/>
                <w:p>
                  <w:pPr>
                    <w:pStyle w:val="Compact"/>
                    <w:jc w:val="right"/>
                    <w:jc w:val="center"/>
                  </w:pPr>
                  <w:r>
                    <w:t xml:space="preserve">28</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degC</w:t>
                  </w:r>
                </w:p>
              </w:tc>
              <w:tc>
                <w:tcPr/>
                <w:p>
                  <w:pPr>
                    <w:pStyle w:val="Compact"/>
                    <w:jc w:val="left"/>
                    <w:jc w:val="center"/>
                  </w:pPr>
                  <w:r>
                    <w:t xml:space="preserve">Maldives Meteorological Service: annual avg ~28Â°C; Global Solar Atlas confirms</w:t>
                  </w:r>
                </w:p>
              </w:tc>
            </w:tr>
            <w:tr>
              <w:tc>
                <w:tcPr/>
                <w:p>
                  <w:pPr>
                    <w:pStyle w:val="Compact"/>
                    <w:jc w:val="left"/>
                    <w:jc w:val="center"/>
                  </w:pPr>
                  <w:r>
                    <w:t xml:space="preserve">Default GHI</w:t>
                  </w:r>
                </w:p>
              </w:tc>
              <w:tc>
                <w:tcPr/>
                <w:p>
                  <w:pPr>
                    <w:pStyle w:val="Compact"/>
                    <w:jc w:val="right"/>
                    <w:jc w:val="center"/>
                  </w:pPr>
                  <w:r>
                    <w:t xml:space="preserve">5.55</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kWh/m2/day</w:t>
                  </w:r>
                </w:p>
              </w:tc>
              <w:tc>
                <w:tcPr/>
                <w:p>
                  <w:pPr>
                    <w:pStyle w:val="Compact"/>
                    <w:jc w:val="left"/>
                    <w:jc w:val="center"/>
                  </w:pPr>
                  <w:r>
                    <w:t xml:space="preserve">Global Solar Atlas: Maldives national avg GHI 5.49-5.60 kWh/mÂ²/day</w:t>
                  </w:r>
                </w:p>
              </w:tc>
            </w:tr>
            <w:tr>
              <w:tc>
                <w:tcPr/>
                <w:p>
                  <w:pPr>
                    <w:pStyle w:val="Compact"/>
                    <w:jc w:val="left"/>
                    <w:jc w:val="center"/>
                  </w:pPr>
                  <w:r>
                    <w:t xml:space="preserve">Max Land Fraction</w:t>
                  </w:r>
                </w:p>
              </w:tc>
              <w:tc>
                <w:tcPr/>
                <w:p>
                  <w:pPr>
                    <w:pStyle w:val="Compact"/>
                    <w:jc w:val="right"/>
                    <w:jc w:val="center"/>
                  </w:pPr>
                  <w:r>
                    <w:t xml:space="preserve">0.15</w:t>
                  </w:r>
                </w:p>
              </w:tc>
              <w:tc>
                <w:tcPr/>
                <w:p>
                  <w:pPr>
                    <w:pStyle w:val="Compact"/>
                    <w:jc w:val="left"/>
                    <w:jc w:val="center"/>
                  </w:pPr>
                  <w:r>
                    <w:t xml:space="preserve">0.1</w:t>
                  </w:r>
                </w:p>
              </w:tc>
              <w:tc>
                <w:tcPr/>
                <w:p>
                  <w:pPr>
                    <w:pStyle w:val="Compact"/>
                    <w:jc w:val="left"/>
                    <w:jc w:val="center"/>
                  </w:pPr>
                  <w:r>
                    <w:t xml:space="preserve">0.25</w:t>
                  </w:r>
                </w:p>
              </w:tc>
              <w:tc>
                <w:tcPr/>
                <w:p>
                  <w:pPr>
                    <w:pStyle w:val="Compact"/>
                    <w:jc w:val="left"/>
                    <w:jc w:val="center"/>
                  </w:pPr>
                  <w:r>
                    <w:t xml:space="preserve">fraction</w:t>
                  </w:r>
                </w:p>
              </w:tc>
              <w:tc>
                <w:tcPr/>
                <w:p>
                  <w:pPr>
                    <w:pStyle w:val="Compact"/>
                    <w:jc w:val="left"/>
                    <w:jc w:val="center"/>
                  </w:pPr>
                  <w:r>
                    <w:t xml:space="preserve">IMPROVEMENT_PLAN D20 analysis; typical urban planning 10-15%</w:t>
                  </w:r>
                </w:p>
              </w:tc>
            </w:tr>
            <w:tr>
              <w:tc>
                <w:tcPr/>
                <w:p>
                  <w:pPr>
                    <w:pStyle w:val="Compact"/>
                    <w:jc w:val="left"/>
                    <w:jc w:val="center"/>
                  </w:pPr>
                  <w:r>
                    <w:t xml:space="preserve">Area Per kW</w:t>
                  </w:r>
                </w:p>
              </w:tc>
              <w:tc>
                <w:tcPr/>
                <w:p>
                  <w:pPr>
                    <w:pStyle w:val="Compact"/>
                    <w:jc w:val="right"/>
                    <w:jc w:val="center"/>
                  </w:pPr>
                  <w:r>
                    <w:t xml:space="preserve">7</w:t>
                  </w:r>
                </w:p>
              </w:tc>
              <w:tc>
                <w:tcPr/>
                <w:p>
                  <w:pPr>
                    <w:pStyle w:val="Compact"/>
                    <w:jc w:val="left"/>
                    <w:jc w:val="center"/>
                  </w:pPr>
                  <w:r>
                    <w:t xml:space="preserve">5</w:t>
                  </w:r>
                </w:p>
              </w:tc>
              <w:tc>
                <w:tcPr/>
                <w:p>
                  <w:pPr>
                    <w:pStyle w:val="Compact"/>
                    <w:jc w:val="left"/>
                    <w:jc w:val="center"/>
                  </w:pPr>
                  <w:r>
                    <w:t xml:space="preserve">10</w:t>
                  </w:r>
                </w:p>
              </w:tc>
              <w:tc>
                <w:tcPr/>
                <w:p>
                  <w:pPr>
                    <w:pStyle w:val="Compact"/>
                    <w:jc w:val="left"/>
                    <w:jc w:val="center"/>
                  </w:pPr>
                  <w:r>
                    <w:t xml:space="preserve">m2/kW</w:t>
                  </w:r>
                </w:p>
              </w:tc>
              <w:tc>
                <w:tcPr/>
                <w:p>
                  <w:pPr>
                    <w:pStyle w:val="Compact"/>
                    <w:jc w:val="left"/>
                    <w:jc w:val="center"/>
                  </w:pPr>
                  <w:r>
                    <w:t xml:space="preserve">IRENA RPGC 2024; standard utility-scale ground-mount spacing</w:t>
                  </w:r>
                </w:p>
              </w:tc>
            </w:tr>
            <w:tr>
              <w:tc>
                <w:tcPr/>
                <w:p>
                  <w:pPr>
                    <w:pStyle w:val="Compact"/>
                    <w:jc w:val="left"/>
                    <w:jc w:val="center"/>
                  </w:pPr>
                  <w:r>
                    <w:t xml:space="preserve">Total Inhabited Island Area</w:t>
                  </w:r>
                </w:p>
              </w:tc>
              <w:tc>
                <w:tcPr/>
                <w:p>
                  <w:pPr>
                    <w:pStyle w:val="Compact"/>
                    <w:jc w:val="right"/>
                    <w:jc w:val="center"/>
                  </w:pPr>
                  <w:r>
                    <w:t xml:space="preserve">134.09</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km2</w:t>
                  </w:r>
                </w:p>
              </w:tc>
              <w:tc>
                <w:tcPr/>
                <w:p>
                  <w:pPr>
                    <w:pStyle w:val="Compact"/>
                    <w:jc w:val="left"/>
                    <w:jc w:val="center"/>
                  </w:pPr>
                  <w:r>
                    <w:t xml:space="preserve">islands_master.csv (176 inhabited islands; COD-AB + Census 2022)</w:t>
                  </w:r>
                </w:p>
              </w:tc>
            </w:tr>
          </w:tbl>
          <w:p>
            <w:pPr>
              <w:pStyle w:val="Heading3"/>
              <w:jc w:val="center"/>
            </w:pPr>
            <w:bookmarkStart w:id="295" w:name="battery"/>
            <w:r>
              <w:t xml:space="preserve">22.1.6 Battery</w:t>
            </w:r>
            <w:bookmarkEnd w:id="295"/>
          </w:p>
          <w:tbl>
            <w:tblPr>
              <w:tblStyle w:val="Table"/>
              <w:tblW w:type="pct" w:w="5000"/>
              <w:tblLayout w:type="fixed"/>
              <w:tblLook w:firstRow="1" w:lastRow="0" w:firstColumn="0" w:lastColumn="0" w:noHBand="0" w:noVBand="0" w:val="0020"/>
            </w:tblPr>
            <w:tblGrid>
              <w:gridCol w:w="1488"/>
              <w:gridCol w:w="478"/>
              <w:gridCol w:w="372"/>
              <w:gridCol w:w="425"/>
              <w:gridCol w:w="744"/>
              <w:gridCol w:w="4411"/>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left"/>
                    <w:jc w:val="center"/>
                  </w:pPr>
                  <w:r>
                    <w:t xml:space="preserve">Low</w:t>
                  </w:r>
                </w:p>
              </w:tc>
              <w:tc>
                <w:tcPr/>
                <w:p>
                  <w:pPr>
                    <w:pStyle w:val="Compact"/>
                    <w:jc w:val="lef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CAPEX 2026</w:t>
                  </w:r>
                </w:p>
              </w:tc>
              <w:tc>
                <w:tcPr/>
                <w:p>
                  <w:pPr>
                    <w:pStyle w:val="Compact"/>
                    <w:jc w:val="right"/>
                    <w:jc w:val="center"/>
                  </w:pPr>
                  <w:r>
                    <w:t xml:space="preserve">350</w:t>
                  </w:r>
                </w:p>
              </w:tc>
              <w:tc>
                <w:tcPr/>
                <w:p>
                  <w:pPr>
                    <w:pStyle w:val="Compact"/>
                    <w:jc w:val="left"/>
                    <w:jc w:val="center"/>
                  </w:pPr>
                  <w:r>
                    <w:t xml:space="preserve">200</w:t>
                  </w:r>
                </w:p>
              </w:tc>
              <w:tc>
                <w:tcPr/>
                <w:p>
                  <w:pPr>
                    <w:pStyle w:val="Compact"/>
                    <w:jc w:val="left"/>
                    <w:jc w:val="center"/>
                  </w:pPr>
                  <w:r>
                    <w:t xml:space="preserve">500</w:t>
                  </w:r>
                </w:p>
              </w:tc>
              <w:tc>
                <w:tcPr/>
                <w:p>
                  <w:pPr>
                    <w:pStyle w:val="Compact"/>
                    <w:jc w:val="left"/>
                    <w:jc w:val="center"/>
                  </w:pPr>
                  <w:r>
                    <w:t xml:space="preserve">USD/kWh</w:t>
                  </w:r>
                </w:p>
              </w:tc>
              <w:tc>
                <w:tcPr/>
                <w:p>
                  <w:pPr>
                    <w:pStyle w:val="Compact"/>
                    <w:jc w:val="left"/>
                    <w:jc w:val="center"/>
                  </w:pPr>
                  <w:r>
                    <w:t xml:space="preserve">AIIB (2021) Maldives Solar P000377: $23-25M CTF for 50 MWh BESS = $460-500/kWh t…</w:t>
                  </w:r>
                </w:p>
              </w:tc>
            </w:tr>
            <w:tr>
              <w:tc>
                <w:tcPr/>
                <w:p>
                  <w:pPr>
                    <w:pStyle w:val="Compact"/>
                    <w:jc w:val="left"/>
                    <w:jc w:val="center"/>
                  </w:pPr>
                  <w:r>
                    <w:t xml:space="preserve">CAPEX Annual Decline</w:t>
                  </w:r>
                </w:p>
              </w:tc>
              <w:tc>
                <w:tcPr/>
                <w:p>
                  <w:pPr>
                    <w:pStyle w:val="Compact"/>
                    <w:jc w:val="right"/>
                    <w:jc w:val="center"/>
                  </w:pPr>
                  <w:r>
                    <w:t xml:space="preserve">0.06</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w:t>
                  </w:r>
                </w:p>
              </w:tc>
              <w:tc>
                <w:tcPr/>
                <w:p>
                  <w:pPr>
                    <w:pStyle w:val="Compact"/>
                    <w:jc w:val="left"/>
                    <w:jc w:val="center"/>
                  </w:pPr>
                  <w:r>
                    <w:t xml:space="preserve">BNEF/NREL 2025 projections</w:t>
                  </w:r>
                </w:p>
              </w:tc>
            </w:tr>
            <w:tr>
              <w:tc>
                <w:tcPr/>
                <w:p>
                  <w:pPr>
                    <w:pStyle w:val="Compact"/>
                    <w:jc w:val="left"/>
                    <w:jc w:val="center"/>
                  </w:pPr>
                  <w:r>
                    <w:t xml:space="preserve">Learning Rate</w:t>
                  </w:r>
                </w:p>
              </w:tc>
              <w:tc>
                <w:tcPr/>
                <w:p>
                  <w:pPr>
                    <w:pStyle w:val="Compact"/>
                    <w:jc w:val="right"/>
                    <w:jc w:val="center"/>
                  </w:pPr>
                  <w:r>
                    <w:t xml:space="preserve">0.18</w:t>
                  </w:r>
                </w:p>
              </w:tc>
              <w:tc>
                <w:tcPr/>
                <w:p>
                  <w:pPr>
                    <w:pStyle w:val="Compact"/>
                    <w:jc w:val="left"/>
                    <w:jc w:val="center"/>
                  </w:pPr>
                  <w:r>
                    <w:t xml:space="preserve">0.12</w:t>
                  </w:r>
                </w:p>
              </w:tc>
              <w:tc>
                <w:tcPr/>
                <w:p>
                  <w:pPr>
                    <w:pStyle w:val="Compact"/>
                    <w:jc w:val="left"/>
                    <w:jc w:val="center"/>
                  </w:pPr>
                  <w:r>
                    <w:t xml:space="preserve">0.22</w:t>
                  </w:r>
                </w:p>
              </w:tc>
              <w:tc>
                <w:tcPr/>
                <w:p>
                  <w:pPr>
                    <w:pStyle w:val="Compact"/>
                    <w:jc w:val="left"/>
                    <w:jc w:val="center"/>
                  </w:pPr>
                  <w:r>
                    <w:t xml:space="preserve">ratio</w:t>
                  </w:r>
                </w:p>
              </w:tc>
              <w:tc>
                <w:tcPr/>
                <w:p>
                  <w:pPr>
                    <w:pStyle w:val="Compact"/>
                    <w:jc w:val="left"/>
                    <w:jc w:val="center"/>
                  </w:pPr>
                  <w:r>
                    <w:t xml:space="preserve">Ziegler &amp; Trancik (2021) Energy Policy 151; BNEF (2023) battery price survey: 18…</w:t>
                  </w:r>
                </w:p>
              </w:tc>
            </w:tr>
            <w:tr>
              <w:tc>
                <w:tcPr/>
                <w:p>
                  <w:pPr>
                    <w:pStyle w:val="Compact"/>
                    <w:jc w:val="left"/>
                    <w:jc w:val="center"/>
                  </w:pPr>
                  <w:r>
                    <w:t xml:space="preserve">Global Cumulative GWh 2026</w:t>
                  </w:r>
                </w:p>
              </w:tc>
              <w:tc>
                <w:tcPr/>
                <w:p>
                  <w:pPr>
                    <w:pStyle w:val="Compact"/>
                    <w:jc w:val="right"/>
                    <w:jc w:val="center"/>
                  </w:pPr>
                  <w:r>
                    <w:t xml:space="preserve">500</w:t>
                  </w:r>
                </w:p>
              </w:tc>
              <w:tc>
                <w:tcPr/>
                <w:p>
                  <w:pPr>
                    <w:pStyle w:val="Compact"/>
                    <w:jc w:val="left"/>
                    <w:jc w:val="center"/>
                  </w:pPr>
                  <w:r>
                    <w:t xml:space="preserve">350</w:t>
                  </w:r>
                </w:p>
              </w:tc>
              <w:tc>
                <w:tcPr/>
                <w:p>
                  <w:pPr>
                    <w:pStyle w:val="Compact"/>
                    <w:jc w:val="left"/>
                    <w:jc w:val="center"/>
                  </w:pPr>
                  <w:r>
                    <w:t xml:space="preserve">700</w:t>
                  </w:r>
                </w:p>
              </w:tc>
              <w:tc>
                <w:tcPr/>
                <w:p>
                  <w:pPr>
                    <w:pStyle w:val="Compact"/>
                    <w:jc w:val="left"/>
                    <w:jc w:val="center"/>
                  </w:pPr>
                  <w:r>
                    <w:t xml:space="preserve">GWh</w:t>
                  </w:r>
                </w:p>
              </w:tc>
              <w:tc>
                <w:tcPr/>
                <w:p>
                  <w:pPr>
                    <w:pStyle w:val="Compact"/>
                    <w:jc w:val="left"/>
                    <w:jc w:val="center"/>
                  </w:pPr>
                  <w:r>
                    <w:t xml:space="preserve">BNEF (2025) Global Energy Storage Outlook: ~450 GWh deployed end-2024 + growth</w:t>
                  </w:r>
                </w:p>
              </w:tc>
            </w:tr>
            <w:tr>
              <w:tc>
                <w:tcPr/>
                <w:p>
                  <w:pPr>
                    <w:pStyle w:val="Compact"/>
                    <w:jc w:val="left"/>
                    <w:jc w:val="center"/>
                  </w:pPr>
                  <w:r>
                    <w:t xml:space="preserve">Global Annual Addition GWh</w:t>
                  </w:r>
                </w:p>
              </w:tc>
              <w:tc>
                <w:tcPr/>
                <w:p>
                  <w:pPr>
                    <w:pStyle w:val="Compact"/>
                    <w:jc w:val="right"/>
                    <w:jc w:val="center"/>
                  </w:pPr>
                  <w:r>
                    <w:t xml:space="preserve">200</w:t>
                  </w:r>
                </w:p>
              </w:tc>
              <w:tc>
                <w:tcPr/>
                <w:p>
                  <w:pPr>
                    <w:pStyle w:val="Compact"/>
                    <w:jc w:val="left"/>
                    <w:jc w:val="center"/>
                  </w:pPr>
                  <w:r>
                    <w:t xml:space="preserve">120</w:t>
                  </w:r>
                </w:p>
              </w:tc>
              <w:tc>
                <w:tcPr/>
                <w:p>
                  <w:pPr>
                    <w:pStyle w:val="Compact"/>
                    <w:jc w:val="left"/>
                    <w:jc w:val="center"/>
                  </w:pPr>
                  <w:r>
                    <w:t xml:space="preserve">300</w:t>
                  </w:r>
                </w:p>
              </w:tc>
              <w:tc>
                <w:tcPr/>
                <w:p>
                  <w:pPr>
                    <w:pStyle w:val="Compact"/>
                    <w:jc w:val="left"/>
                    <w:jc w:val="center"/>
                  </w:pPr>
                  <w:r>
                    <w:t xml:space="preserve">GWh/year</w:t>
                  </w:r>
                </w:p>
              </w:tc>
              <w:tc>
                <w:tcPr/>
                <w:p>
                  <w:pPr>
                    <w:pStyle w:val="Compact"/>
                    <w:jc w:val="left"/>
                    <w:jc w:val="center"/>
                  </w:pPr>
                  <w:r>
                    <w:t xml:space="preserve">BNEF (2025); IEA GEVO 2024: 192 GWh added in 2024</w:t>
                  </w:r>
                </w:p>
              </w:tc>
            </w:tr>
            <w:tr>
              <w:tc>
                <w:tcPr/>
                <w:p>
                  <w:pPr>
                    <w:pStyle w:val="Compact"/>
                    <w:jc w:val="left"/>
                    <w:jc w:val="center"/>
                  </w:pPr>
                  <w:r>
                    <w:t xml:space="preserve">OPEX</w:t>
                  </w:r>
                </w:p>
              </w:tc>
              <w:tc>
                <w:tcPr/>
                <w:p>
                  <w:pPr>
                    <w:pStyle w:val="Compact"/>
                    <w:jc w:val="right"/>
                    <w:jc w:val="center"/>
                  </w:pPr>
                  <w:r>
                    <w:t xml:space="preserve">5</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USD/kWh/year</w:t>
                  </w:r>
                </w:p>
              </w:tc>
              <w:tc>
                <w:tcPr/>
                <w:p>
                  <w:pPr>
                    <w:pStyle w:val="Compact"/>
                    <w:jc w:val="left"/>
                    <w:jc w:val="center"/>
                  </w:pPr>
                  <w:r>
                    <w:t xml:space="preserve">Ember LCOS model 2025</w:t>
                  </w:r>
                </w:p>
              </w:tc>
            </w:tr>
            <w:tr>
              <w:tc>
                <w:tcPr/>
                <w:p>
                  <w:pPr>
                    <w:pStyle w:val="Compact"/>
                    <w:jc w:val="left"/>
                    <w:jc w:val="center"/>
                  </w:pPr>
                  <w:r>
                    <w:t xml:space="preserve">Round-trip Efficiency</w:t>
                  </w:r>
                </w:p>
              </w:tc>
              <w:tc>
                <w:tcPr/>
                <w:p>
                  <w:pPr>
                    <w:pStyle w:val="Compact"/>
                    <w:jc w:val="right"/>
                    <w:jc w:val="center"/>
                  </w:pPr>
                  <w:r>
                    <w:t xml:space="preserve">0.88</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ratio</w:t>
                  </w:r>
                </w:p>
              </w:tc>
              <w:tc>
                <w:tcPr/>
                <w:p>
                  <w:pPr>
                    <w:pStyle w:val="Compact"/>
                    <w:jc w:val="left"/>
                    <w:jc w:val="center"/>
                  </w:pPr>
                  <w:r>
                    <w:t xml:space="preserve">LFP battery specs 2025</w:t>
                  </w:r>
                </w:p>
              </w:tc>
            </w:tr>
            <w:tr>
              <w:tc>
                <w:tcPr/>
                <w:p>
                  <w:pPr>
                    <w:pStyle w:val="Compact"/>
                    <w:jc w:val="left"/>
                    <w:jc w:val="center"/>
                  </w:pPr>
                  <w:r>
                    <w:t xml:space="preserve">Lifetime</w:t>
                  </w:r>
                </w:p>
              </w:tc>
              <w:tc>
                <w:tcPr/>
                <w:p>
                  <w:pPr>
                    <w:pStyle w:val="Compact"/>
                    <w:jc w:val="right"/>
                    <w:jc w:val="center"/>
                  </w:pPr>
                  <w:r>
                    <w:t xml:space="preserve">15</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years</w:t>
                  </w:r>
                </w:p>
              </w:tc>
              <w:tc>
                <w:tcPr/>
                <w:p>
                  <w:pPr>
                    <w:pStyle w:val="Compact"/>
                    <w:jc w:val="left"/>
                    <w:jc w:val="center"/>
                  </w:pPr>
                  <w:r>
                    <w:t xml:space="preserve">BNEF; manufacturer specs</w:t>
                  </w:r>
                </w:p>
              </w:tc>
            </w:tr>
            <w:tr>
              <w:tc>
                <w:tcPr/>
                <w:p>
                  <w:pPr>
                    <w:pStyle w:val="Compact"/>
                    <w:jc w:val="left"/>
                    <w:jc w:val="center"/>
                  </w:pPr>
                  <w:r>
                    <w:t xml:space="preserve">Storage Hours</w:t>
                  </w:r>
                </w:p>
              </w:tc>
              <w:tc>
                <w:tcPr/>
                <w:p>
                  <w:pPr>
                    <w:pStyle w:val="Compact"/>
                    <w:jc w:val="right"/>
                    <w:jc w:val="center"/>
                  </w:pPr>
                  <w:r>
                    <w:t xml:space="preserve">4</w:t>
                  </w:r>
                </w:p>
              </w:tc>
              <w:tc>
                <w:tcPr/>
                <w:p>
                  <w:pPr>
                    <w:pStyle w:val="Compact"/>
                    <w:jc w:val="left"/>
                    <w:jc w:val="center"/>
                  </w:pPr>
                  <w:r>
                    <w:t xml:space="preserve">3</w:t>
                  </w:r>
                </w:p>
              </w:tc>
              <w:tc>
                <w:tcPr/>
                <w:p>
                  <w:pPr>
                    <w:pStyle w:val="Compact"/>
                    <w:jc w:val="left"/>
                    <w:jc w:val="center"/>
                  </w:pPr>
                  <w:r>
                    <w:t xml:space="preserve">6</w:t>
                  </w:r>
                </w:p>
              </w:tc>
              <w:tc>
                <w:tcPr/>
                <w:p>
                  <w:pPr>
                    <w:pStyle w:val="Compact"/>
                    <w:jc w:val="left"/>
                    <w:jc w:val="center"/>
                  </w:pPr>
                  <w:r>
                    <w:t xml:space="preserve">hours</w:t>
                  </w:r>
                </w:p>
              </w:tc>
              <w:tc>
                <w:tcPr/>
                <w:p>
                  <w:pPr>
                    <w:pStyle w:val="Compact"/>
                    <w:jc w:val="left"/>
                    <w:jc w:val="center"/>
                  </w:pPr>
                  <w:r>
                    <w:t xml:space="preserve">IRENA Innovation Outlook BESS 2023; NREL ATB 2024</w:t>
                  </w:r>
                </w:p>
              </w:tc>
            </w:tr>
          </w:tbl>
          <w:p>
            <w:pPr>
              <w:pStyle w:val="Heading3"/>
              <w:jc w:val="center"/>
            </w:pPr>
            <w:bookmarkStart w:id="296" w:name="diesel-gen"/>
            <w:r>
              <w:t xml:space="preserve">22.1.7 Diesel Gen</w:t>
            </w:r>
            <w:bookmarkEnd w:id="296"/>
          </w:p>
          <w:tbl>
            <w:tblPr>
              <w:tblStyle w:val="Table"/>
              <w:tblW w:type="pct" w:w="5000"/>
              <w:tblLayout w:type="fixed"/>
              <w:tblLook w:firstRow="1" w:lastRow="0" w:firstColumn="0" w:lastColumn="0" w:noHBand="0" w:noVBand="0" w:val="0020"/>
            </w:tblPr>
            <w:tblGrid>
              <w:gridCol w:w="780"/>
              <w:gridCol w:w="540"/>
              <w:gridCol w:w="540"/>
              <w:gridCol w:w="540"/>
              <w:gridCol w:w="540"/>
              <w:gridCol w:w="4980"/>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right"/>
                    <w:jc w:val="center"/>
                  </w:pPr>
                  <w:r>
                    <w:t xml:space="preserve">Low</w:t>
                  </w:r>
                </w:p>
              </w:tc>
              <w:tc>
                <w:tcPr/>
                <w:p>
                  <w:pPr>
                    <w:pStyle w:val="Compact"/>
                    <w:jc w:val="righ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CAPEX</w:t>
                  </w:r>
                </w:p>
              </w:tc>
              <w:tc>
                <w:tcPr/>
                <w:p>
                  <w:pPr>
                    <w:pStyle w:val="Compact"/>
                    <w:jc w:val="right"/>
                    <w:jc w:val="center"/>
                  </w:pPr>
                  <w:r>
                    <w:t xml:space="preserve">800</w:t>
                  </w:r>
                </w:p>
              </w:tc>
              <w:tc>
                <w:tcPr/>
                <w:p>
                  <w:pPr>
                    <w:pStyle w:val="Compact"/>
                    <w:jc w:val="right"/>
                    <w:jc w:val="center"/>
                  </w:pPr>
                  <w:r>
                    <w:t xml:space="preserve">600</w:t>
                  </w:r>
                </w:p>
              </w:tc>
              <w:tc>
                <w:tcPr/>
                <w:p>
                  <w:pPr>
                    <w:pStyle w:val="Compact"/>
                    <w:jc w:val="right"/>
                    <w:jc w:val="center"/>
                  </w:pPr>
                  <w:r>
                    <w:t xml:space="preserve">1200</w:t>
                  </w:r>
                </w:p>
              </w:tc>
              <w:tc>
                <w:tcPr/>
                <w:p>
                  <w:pPr>
                    <w:pStyle w:val="Compact"/>
                    <w:jc w:val="left"/>
                    <w:jc w:val="center"/>
                  </w:pPr>
                  <w:r>
                    <w:t xml:space="preserve">USD/kW</w:t>
                  </w:r>
                </w:p>
              </w:tc>
              <w:tc>
                <w:tcPr/>
                <w:p>
                  <w:pPr>
                    <w:pStyle w:val="Compact"/>
                    <w:jc w:val="left"/>
                    <w:jc w:val="center"/>
                  </w:pPr>
                  <w:r>
                    <w:t xml:space="preserve">EIA AEO 2025 Capital Cost &amp; Performance (Table 5: Combustion Turbine/Diesel); US…</w:t>
                  </w:r>
                </w:p>
              </w:tc>
            </w:tr>
            <w:tr>
              <w:tc>
                <w:tcPr/>
                <w:p>
                  <w:pPr>
                    <w:pStyle w:val="Compact"/>
                    <w:jc w:val="left"/>
                    <w:jc w:val="center"/>
                  </w:pPr>
                  <w:r>
                    <w:t xml:space="preserve">OPEX</w:t>
                  </w:r>
                </w:p>
              </w:tc>
              <w:tc>
                <w:tcPr/>
                <w:p>
                  <w:pPr>
                    <w:pStyle w:val="Compact"/>
                    <w:jc w:val="right"/>
                    <w:jc w:val="center"/>
                  </w:pPr>
                  <w:r>
                    <w:t xml:space="preserve">0.025</w:t>
                  </w:r>
                </w:p>
              </w:tc>
              <w:tc>
                <w:tcPr/>
                <w:p>
                  <w:pPr>
                    <w:pStyle w:val="Compact"/>
                    <w:jc w:val="right"/>
                    <w:jc w:val="center"/>
                  </w:pPr>
                  <w:r>
                    <w:t xml:space="preserve">0.015</w:t>
                  </w:r>
                </w:p>
              </w:tc>
              <w:tc>
                <w:tcPr/>
                <w:p>
                  <w:pPr>
                    <w:pStyle w:val="Compact"/>
                    <w:jc w:val="right"/>
                    <w:jc w:val="center"/>
                  </w:pPr>
                  <w:r>
                    <w:t xml:space="preserve">0.04</w:t>
                  </w:r>
                </w:p>
              </w:tc>
              <w:tc>
                <w:tcPr/>
                <w:p>
                  <w:pPr>
                    <w:pStyle w:val="Compact"/>
                    <w:jc w:val="left"/>
                    <w:jc w:val="center"/>
                  </w:pPr>
                  <w:r>
                    <w:t xml:space="preserve">USD/kWh</w:t>
                  </w:r>
                </w:p>
              </w:tc>
              <w:tc>
                <w:tcPr/>
                <w:p>
                  <w:pPr>
                    <w:pStyle w:val="Compact"/>
                    <w:jc w:val="left"/>
                    <w:jc w:val="center"/>
                  </w:pPr>
                  <w:r>
                    <w:t xml:space="preserve">EIA AEO 2025 Capital Cost &amp; Performance: diesel/CT VOM $0.015-0.030/kWh; Lazard …</w:t>
                  </w:r>
                </w:p>
              </w:tc>
            </w:tr>
            <w:tr>
              <w:tc>
                <w:tcPr/>
                <w:p>
                  <w:pPr>
                    <w:pStyle w:val="Compact"/>
                    <w:jc w:val="left"/>
                    <w:jc w:val="center"/>
                  </w:pPr>
                  <w:r>
                    <w:t xml:space="preserve">Lifetime</w:t>
                  </w:r>
                </w:p>
              </w:tc>
              <w:tc>
                <w:tcPr/>
                <w:p>
                  <w:pPr>
                    <w:pStyle w:val="Compact"/>
                    <w:jc w:val="right"/>
                    <w:jc w:val="center"/>
                  </w:pPr>
                  <w:r>
                    <w:t xml:space="preserve">20</w:t>
                  </w:r>
                </w:p>
              </w:tc>
              <w:tc>
                <w:tcPr/>
                <w:p>
                  <w:pPr>
                    <w:pStyle w:val="Compact"/>
                    <w:jc w:val="right"/>
                    <w:jc w:val="center"/>
                  </w:pPr>
                  <w:r>
                    <w:t xml:space="preserve">15</w:t>
                  </w:r>
                </w:p>
              </w:tc>
              <w:tc>
                <w:tcPr/>
                <w:p>
                  <w:pPr>
                    <w:pStyle w:val="Compact"/>
                    <w:jc w:val="right"/>
                    <w:jc w:val="center"/>
                  </w:pPr>
                  <w:r>
                    <w:t xml:space="preserve">25</w:t>
                  </w:r>
                </w:p>
              </w:tc>
              <w:tc>
                <w:tcPr/>
                <w:p>
                  <w:pPr>
                    <w:pStyle w:val="Compact"/>
                    <w:jc w:val="left"/>
                    <w:jc w:val="center"/>
                  </w:pPr>
                  <w:r>
                    <w:t xml:space="preserve">years</w:t>
                  </w:r>
                </w:p>
              </w:tc>
              <w:tc>
                <w:tcPr/>
                <w:p>
                  <w:pPr>
                    <w:pStyle w:val="Compact"/>
                    <w:jc w:val="left"/>
                    <w:jc w:val="center"/>
                  </w:pPr>
                  <w:r>
                    <w:t xml:space="preserve">OEM guidance: WÃ¤rtsilÃ¤ 32/CAT/MAN medium-speed rated 100k-150k hrs; at 6000-75…</w:t>
                  </w:r>
                </w:p>
              </w:tc>
            </w:tr>
          </w:tbl>
          <w:p>
            <w:pPr>
              <w:pStyle w:val="Heading3"/>
              <w:jc w:val="center"/>
            </w:pPr>
            <w:bookmarkStart w:id="297" w:name="cable"/>
            <w:r>
              <w:t xml:space="preserve">22.1.8 Cable</w:t>
            </w:r>
            <w:bookmarkEnd w:id="297"/>
          </w:p>
          <w:tbl>
            <w:tblPr>
              <w:tblStyle w:val="Table"/>
              <w:tblW w:type="pct" w:w="5000"/>
              <w:tblLayout w:type="fixed"/>
              <w:tblLook w:firstRow="1" w:lastRow="0" w:firstColumn="0" w:lastColumn="0" w:noHBand="0" w:noVBand="0" w:val="0020"/>
            </w:tblPr>
            <w:tblGrid>
              <w:gridCol w:w="1604"/>
              <w:gridCol w:w="621"/>
              <w:gridCol w:w="465"/>
              <w:gridCol w:w="414"/>
              <w:gridCol w:w="517"/>
              <w:gridCol w:w="4296"/>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left"/>
                    <w:jc w:val="center"/>
                  </w:pPr>
                  <w:r>
                    <w:t xml:space="preserve">Low</w:t>
                  </w:r>
                </w:p>
              </w:tc>
              <w:tc>
                <w:tcPr/>
                <w:p>
                  <w:pPr>
                    <w:pStyle w:val="Compact"/>
                    <w:jc w:val="lef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Length to India</w:t>
                  </w:r>
                </w:p>
              </w:tc>
              <w:tc>
                <w:tcPr/>
                <w:p>
                  <w:pPr>
                    <w:pStyle w:val="Compact"/>
                    <w:jc w:val="right"/>
                    <w:jc w:val="center"/>
                  </w:pPr>
                  <w:r>
                    <w:t xml:space="preserve">700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km</w:t>
                  </w:r>
                </w:p>
              </w:tc>
              <w:tc>
                <w:tcPr/>
                <w:p>
                  <w:pPr>
                    <w:pStyle w:val="Compact"/>
                    <w:jc w:val="left"/>
                    <w:jc w:val="center"/>
                  </w:pPr>
                  <w:r>
                    <w:t xml:space="preserve">Geographic + routing premium</w:t>
                  </w:r>
                </w:p>
              </w:tc>
            </w:tr>
            <w:tr>
              <w:tc>
                <w:tcPr/>
                <w:p>
                  <w:pPr>
                    <w:pStyle w:val="Compact"/>
                    <w:jc w:val="left"/>
                    <w:jc w:val="center"/>
                  </w:pPr>
                  <w:r>
                    <w:t xml:space="preserve">CAPEX per km</w:t>
                  </w:r>
                </w:p>
              </w:tc>
              <w:tc>
                <w:tcPr/>
                <w:p>
                  <w:pPr>
                    <w:pStyle w:val="Compact"/>
                    <w:jc w:val="right"/>
                    <w:jc w:val="center"/>
                  </w:pPr>
                  <w:r>
                    <w:t xml:space="preserve">3e+06</w:t>
                  </w:r>
                </w:p>
              </w:tc>
              <w:tc>
                <w:tcPr/>
                <w:p>
                  <w:pPr>
                    <w:pStyle w:val="Compact"/>
                    <w:jc w:val="left"/>
                    <w:jc w:val="center"/>
                  </w:pPr>
                  <w:r>
                    <w:t xml:space="preserve">2e+06</w:t>
                  </w:r>
                </w:p>
              </w:tc>
              <w:tc>
                <w:tcPr/>
                <w:p>
                  <w:pPr>
                    <w:pStyle w:val="Compact"/>
                    <w:jc w:val="left"/>
                    <w:jc w:val="center"/>
                  </w:pPr>
                  <w:r>
                    <w:t xml:space="preserve">5e+06</w:t>
                  </w:r>
                </w:p>
              </w:tc>
              <w:tc>
                <w:tcPr/>
                <w:p>
                  <w:pPr>
                    <w:pStyle w:val="Compact"/>
                    <w:jc w:val="left"/>
                    <w:jc w:val="center"/>
                  </w:pPr>
                  <w:r>
                    <w:t xml:space="preserve">USD/km</w:t>
                  </w:r>
                </w:p>
              </w:tc>
              <w:tc>
                <w:tcPr/>
                <w:p>
                  <w:pPr>
                    <w:pStyle w:val="Compact"/>
                    <w:jc w:val="left"/>
                    <w:jc w:val="center"/>
                  </w:pPr>
                  <w:r>
                    <w:t xml:space="preserve">IRENA; NordLink/NorNed/Basslink benchmarks</w:t>
                  </w:r>
                </w:p>
              </w:tc>
            </w:tr>
            <w:tr>
              <w:tc>
                <w:tcPr/>
                <w:p>
                  <w:pPr>
                    <w:pStyle w:val="Compact"/>
                    <w:jc w:val="left"/>
                    <w:jc w:val="center"/>
                  </w:pPr>
                  <w:r>
                    <w:t xml:space="preserve">Capacity</w:t>
                  </w:r>
                </w:p>
              </w:tc>
              <w:tc>
                <w:tcPr/>
                <w:p>
                  <w:pPr>
                    <w:pStyle w:val="Compact"/>
                    <w:jc w:val="right"/>
                    <w:jc w:val="center"/>
                  </w:pPr>
                  <w:r>
                    <w:t xml:space="preserve">200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MW</w:t>
                  </w:r>
                </w:p>
              </w:tc>
              <w:tc>
                <w:tcPr/>
                <w:p>
                  <w:pPr>
                    <w:pStyle w:val="Compact"/>
                    <w:jc w:val="left"/>
                    <w:jc w:val="center"/>
                  </w:pPr>
                  <w:r>
                    <w:t xml:space="preserve">OSOWOG proposal</w:t>
                  </w:r>
                </w:p>
              </w:tc>
            </w:tr>
            <w:tr>
              <w:tc>
                <w:tcPr/>
                <w:p>
                  <w:pPr>
                    <w:pStyle w:val="Compact"/>
                    <w:jc w:val="left"/>
                    <w:jc w:val="center"/>
                  </w:pPr>
                  <w:r>
                    <w:t xml:space="preserve">GoM Cost Share</w:t>
                  </w:r>
                </w:p>
              </w:tc>
              <w:tc>
                <w:tcPr/>
                <w:p>
                  <w:pPr>
                    <w:pStyle w:val="Compact"/>
                    <w:jc w:val="right"/>
                    <w:jc w:val="center"/>
                  </w:pPr>
                  <w:r>
                    <w:t xml:space="preserve">1</w:t>
                  </w:r>
                </w:p>
              </w:tc>
              <w:tc>
                <w:tcPr/>
                <w:p>
                  <w:pPr>
                    <w:pStyle w:val="Compact"/>
                    <w:jc w:val="left"/>
                    <w:jc w:val="center"/>
                  </w:pPr>
                  <w:r>
                    <w:t xml:space="preserve">0.5</w:t>
                  </w:r>
                </w:p>
              </w:tc>
              <w:tc>
                <w:tcPr/>
                <w:p>
                  <w:pPr>
                    <w:pStyle w:val="Compact"/>
                    <w:jc w:val="left"/>
                    <w:jc w:val="center"/>
                  </w:pPr>
                  <w:r>
                    <w:t xml:space="preserve">1</w:t>
                  </w:r>
                </w:p>
              </w:tc>
              <w:tc>
                <w:tcPr/>
                <w:p>
                  <w:pPr>
                    <w:pStyle w:val="Compact"/>
                    <w:jc w:val="left"/>
                    <w:jc w:val="center"/>
                  </w:pPr>
                  <w:r>
                    <w:t xml:space="preserve">%</w:t>
                  </w:r>
                </w:p>
              </w:tc>
              <w:tc>
                <w:tcPr/>
                <w:p>
                  <w:pPr>
                    <w:pStyle w:val="Compact"/>
                    <w:jc w:val="left"/>
                    <w:jc w:val="center"/>
                  </w:pPr>
                  <w:r>
                    <w:t xml:space="preserve">No cost-sharing agreement exists; Maldives bears full cost (conservative)</w:t>
                  </w:r>
                </w:p>
              </w:tc>
            </w:tr>
            <w:tr>
              <w:tc>
                <w:tcPr/>
                <w:p>
                  <w:pPr>
                    <w:pStyle w:val="Compact"/>
                    <w:jc w:val="left"/>
                    <w:jc w:val="center"/>
                  </w:pPr>
                  <w:r>
                    <w:t xml:space="preserve">Online Year</w:t>
                  </w:r>
                </w:p>
              </w:tc>
              <w:tc>
                <w:tcPr/>
                <w:p>
                  <w:pPr>
                    <w:pStyle w:val="Compact"/>
                    <w:jc w:val="right"/>
                    <w:jc w:val="center"/>
                  </w:pPr>
                  <w:r>
                    <w:t xml:space="preserve">2032</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w:t>
                  </w:r>
                </w:p>
              </w:tc>
              <w:tc>
                <w:tcPr/>
                <w:p>
                  <w:pPr>
                    <w:pStyle w:val="Compact"/>
                    <w:jc w:val="left"/>
                    <w:jc w:val="center"/>
                  </w:pPr>
                  <w:r>
                    <w:t xml:space="preserve">Realistic timeline</w:t>
                  </w:r>
                </w:p>
              </w:tc>
            </w:tr>
            <w:tr>
              <w:tc>
                <w:tcPr/>
                <w:p>
                  <w:pPr>
                    <w:pStyle w:val="Compact"/>
                    <w:jc w:val="left"/>
                    <w:jc w:val="center"/>
                  </w:pPr>
                  <w:r>
                    <w:t xml:space="preserve">O&amp;M Cost</w:t>
                  </w:r>
                </w:p>
              </w:tc>
              <w:tc>
                <w:tcPr/>
                <w:p>
                  <w:pPr>
                    <w:pStyle w:val="Compact"/>
                    <w:jc w:val="right"/>
                    <w:jc w:val="center"/>
                  </w:pPr>
                  <w:r>
                    <w:t xml:space="preserve">0.02</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w:t>
                  </w:r>
                </w:p>
              </w:tc>
              <w:tc>
                <w:tcPr/>
                <w:p>
                  <w:pPr>
                    <w:pStyle w:val="Compact"/>
                    <w:jc w:val="left"/>
                    <w:jc w:val="center"/>
                  </w:pPr>
                  <w:r>
                    <w:t xml:space="preserve">CIGRÃ‰ TB 852 (2024) Â§6: submarine cable O&amp;M typically 1.5-2.5% of CAPEX/yr; No…</w:t>
                  </w:r>
                </w:p>
              </w:tc>
            </w:tr>
            <w:tr>
              <w:tc>
                <w:tcPr/>
                <w:p>
                  <w:pPr>
                    <w:pStyle w:val="Compact"/>
                    <w:jc w:val="left"/>
                    <w:jc w:val="center"/>
                  </w:pPr>
                  <w:r>
                    <w:t xml:space="preserve">Lifetime</w:t>
                  </w:r>
                </w:p>
              </w:tc>
              <w:tc>
                <w:tcPr/>
                <w:p>
                  <w:pPr>
                    <w:pStyle w:val="Compact"/>
                    <w:jc w:val="right"/>
                    <w:jc w:val="center"/>
                  </w:pPr>
                  <w:r>
                    <w:t xml:space="preserve">40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years</w:t>
                  </w:r>
                </w:p>
              </w:tc>
              <w:tc>
                <w:tcPr/>
                <w:p>
                  <w:pPr>
                    <w:pStyle w:val="Compact"/>
                    <w:jc w:val="left"/>
                    <w:jc w:val="center"/>
                  </w:pPr>
                  <w:r>
                    <w:t xml:space="preserve">CIGRÃ‰ TB 852 (2024): Recommendations for Testing DC Extruded Cable Systems; 40y…</w:t>
                  </w:r>
                </w:p>
              </w:tc>
            </w:tr>
            <w:tr>
              <w:tc>
                <w:tcPr/>
                <w:p>
                  <w:pPr>
                    <w:pStyle w:val="Compact"/>
                    <w:jc w:val="left"/>
                    <w:jc w:val="center"/>
                  </w:pPr>
                  <w:r>
                    <w:t xml:space="preserve">Converter Station Cost per MW</w:t>
                  </w:r>
                </w:p>
              </w:tc>
              <w:tc>
                <w:tcPr/>
                <w:p>
                  <w:pPr>
                    <w:pStyle w:val="Compact"/>
                    <w:jc w:val="right"/>
                    <w:jc w:val="center"/>
                  </w:pPr>
                  <w:r>
                    <w:t xml:space="preserve">1.6e+06</w:t>
                  </w:r>
                </w:p>
              </w:tc>
              <w:tc>
                <w:tcPr/>
                <w:p>
                  <w:pPr>
                    <w:pStyle w:val="Compact"/>
                    <w:jc w:val="left"/>
                    <w:jc w:val="center"/>
                  </w:pPr>
                  <w:r>
                    <w:t xml:space="preserve">1.2e+06</w:t>
                  </w:r>
                </w:p>
              </w:tc>
              <w:tc>
                <w:tcPr/>
                <w:p>
                  <w:pPr>
                    <w:pStyle w:val="Compact"/>
                    <w:jc w:val="left"/>
                    <w:jc w:val="center"/>
                  </w:pPr>
                  <w:r>
                    <w:t xml:space="preserve">2e+06</w:t>
                  </w:r>
                </w:p>
              </w:tc>
              <w:tc>
                <w:tcPr/>
                <w:p>
                  <w:pPr>
                    <w:pStyle w:val="Compact"/>
                    <w:jc w:val="left"/>
                    <w:jc w:val="center"/>
                  </w:pPr>
                  <w:r>
                    <w:t xml:space="preserve">USD/MW</w:t>
                  </w:r>
                </w:p>
              </w:tc>
              <w:tc>
                <w:tcPr/>
                <w:p>
                  <w:pPr>
                    <w:pStyle w:val="Compact"/>
                    <w:jc w:val="left"/>
                    <w:jc w:val="center"/>
                  </w:pPr>
                  <w:r>
                    <w:t xml:space="preserve">HÃ¤rtel et al. (2017) EPSR 151:419-431; Vrana &amp; HÃ¤rtel (2023) EEM 2023; MISO MT…</w:t>
                  </w:r>
                </w:p>
              </w:tc>
            </w:tr>
            <w:tr>
              <w:tc>
                <w:tcPr/>
                <w:p>
                  <w:pPr>
                    <w:pStyle w:val="Compact"/>
                    <w:jc w:val="left"/>
                    <w:jc w:val="center"/>
                  </w:pPr>
                  <w:r>
                    <w:t xml:space="preserve">Landing Cost per End</w:t>
                  </w:r>
                </w:p>
              </w:tc>
              <w:tc>
                <w:tcPr/>
                <w:p>
                  <w:pPr>
                    <w:pStyle w:val="Compact"/>
                    <w:jc w:val="right"/>
                    <w:jc w:val="center"/>
                  </w:pPr>
                  <w:r>
                    <w:t xml:space="preserve">4e+07</w:t>
                  </w:r>
                </w:p>
              </w:tc>
              <w:tc>
                <w:tcPr/>
                <w:p>
                  <w:pPr>
                    <w:pStyle w:val="Compact"/>
                    <w:jc w:val="left"/>
                    <w:jc w:val="center"/>
                  </w:pPr>
                  <w:r>
                    <w:t xml:space="preserve">3e+07</w:t>
                  </w:r>
                </w:p>
              </w:tc>
              <w:tc>
                <w:tcPr/>
                <w:p>
                  <w:pPr>
                    <w:pStyle w:val="Compact"/>
                    <w:jc w:val="left"/>
                    <w:jc w:val="center"/>
                  </w:pPr>
                  <w:r>
                    <w:t xml:space="preserve">5e+07</w:t>
                  </w:r>
                </w:p>
              </w:tc>
              <w:tc>
                <w:tcPr/>
                <w:p>
                  <w:pPr>
                    <w:pStyle w:val="Compact"/>
                    <w:jc w:val="left"/>
                    <w:jc w:val="center"/>
                  </w:pPr>
                  <w:r>
                    <w:t xml:space="preserve">USD/end</w:t>
                  </w:r>
                </w:p>
              </w:tc>
              <w:tc>
                <w:tcPr/>
                <w:p>
                  <w:pPr>
                    <w:pStyle w:val="Compact"/>
                    <w:jc w:val="left"/>
                    <w:jc w:val="center"/>
                  </w:pPr>
                  <w:r>
                    <w:t xml:space="preserve">CIGRÃ‰ TB 815 (2021): Cable Systems Accessories; Worzyk (2009) Submarine Power C…</w:t>
                  </w:r>
                </w:p>
              </w:tc>
            </w:tr>
            <w:tr>
              <w:tc>
                <w:tcPr/>
                <w:p>
                  <w:pPr>
                    <w:pStyle w:val="Compact"/>
                    <w:jc w:val="left"/>
                    <w:jc w:val="center"/>
                  </w:pPr>
                  <w:r>
                    <w:t xml:space="preserve">Number of Landings</w:t>
                  </w:r>
                </w:p>
              </w:tc>
              <w:tc>
                <w:tcPr/>
                <w:p>
                  <w:pPr>
                    <w:pStyle w:val="Compact"/>
                    <w:jc w:val="right"/>
                    <w:jc w:val="center"/>
                  </w:pPr>
                  <w:r>
                    <w:t xml:space="preserve">2</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count</w:t>
                  </w:r>
                </w:p>
              </w:tc>
              <w:tc>
                <w:tcPr/>
                <w:p>
                  <w:pPr>
                    <w:pStyle w:val="Compact"/>
                    <w:jc w:val="left"/>
                    <w:jc w:val="center"/>
                  </w:pPr>
                  <w:r>
                    <w:t xml:space="preserve">Two-terminal link: India + Maldives</w:t>
                  </w:r>
                </w:p>
              </w:tc>
            </w:tr>
            <w:tr>
              <w:tc>
                <w:tcPr/>
                <w:p>
                  <w:pPr>
                    <w:pStyle w:val="Compact"/>
                    <w:jc w:val="left"/>
                    <w:jc w:val="center"/>
                  </w:pPr>
                  <w:r>
                    <w:t xml:space="preserve">IDC Rate</w:t>
                  </w:r>
                </w:p>
              </w:tc>
              <w:tc>
                <w:tcPr/>
                <w:p>
                  <w:pPr>
                    <w:pStyle w:val="Compact"/>
                    <w:jc w:val="right"/>
                    <w:jc w:val="center"/>
                  </w:pPr>
                  <w:r>
                    <w:t xml:space="preserve">0.15</w:t>
                  </w:r>
                </w:p>
              </w:tc>
              <w:tc>
                <w:tcPr/>
                <w:p>
                  <w:pPr>
                    <w:pStyle w:val="Compact"/>
                    <w:jc w:val="left"/>
                    <w:jc w:val="center"/>
                  </w:pPr>
                  <w:r>
                    <w:t xml:space="preserve">0.1</w:t>
                  </w:r>
                </w:p>
              </w:tc>
              <w:tc>
                <w:tcPr/>
                <w:p>
                  <w:pPr>
                    <w:pStyle w:val="Compact"/>
                    <w:jc w:val="left"/>
                    <w:jc w:val="center"/>
                  </w:pPr>
                  <w:r>
                    <w:t xml:space="preserve">0.2</w:t>
                  </w:r>
                </w:p>
              </w:tc>
              <w:tc>
                <w:tcPr/>
                <w:p>
                  <w:pPr>
                    <w:pStyle w:val="Compact"/>
                    <w:jc w:val="left"/>
                    <w:jc w:val="center"/>
                  </w:pPr>
                  <w:r>
                    <w:t xml:space="preserve">fraction</w:t>
                  </w:r>
                </w:p>
              </w:tc>
              <w:tc>
                <w:tcPr/>
                <w:p>
                  <w:pPr>
                    <w:pStyle w:val="Compact"/>
                    <w:jc w:val="left"/>
                    <w:jc w:val="center"/>
                  </w:pPr>
                  <w:r>
                    <w:t xml:space="preserve">ADB/IFC SIDS project finance norms: 3-5yr construction at 5-8% interest; typical…</w:t>
                  </w:r>
                </w:p>
              </w:tc>
            </w:tr>
            <w:tr>
              <w:tc>
                <w:tcPr/>
                <w:p>
                  <w:pPr>
                    <w:pStyle w:val="Compact"/>
                    <w:jc w:val="left"/>
                    <w:jc w:val="center"/>
                  </w:pPr>
                  <w:r>
                    <w:t xml:space="preserve">Grid Upgrade Cost</w:t>
                  </w:r>
                </w:p>
              </w:tc>
              <w:tc>
                <w:tcPr/>
                <w:p>
                  <w:pPr>
                    <w:pStyle w:val="Compact"/>
                    <w:jc w:val="right"/>
                    <w:jc w:val="center"/>
                  </w:pPr>
                  <w:r>
                    <w:t xml:space="preserve">7.5e+07</w:t>
                  </w:r>
                </w:p>
              </w:tc>
              <w:tc>
                <w:tcPr/>
                <w:p>
                  <w:pPr>
                    <w:pStyle w:val="Compact"/>
                    <w:jc w:val="left"/>
                    <w:jc w:val="center"/>
                  </w:pPr>
                  <w:r>
                    <w:t xml:space="preserve">5e+07</w:t>
                  </w:r>
                </w:p>
              </w:tc>
              <w:tc>
                <w:tcPr/>
                <w:p>
                  <w:pPr>
                    <w:pStyle w:val="Compact"/>
                    <w:jc w:val="left"/>
                    <w:jc w:val="center"/>
                  </w:pPr>
                  <w:r>
                    <w:t xml:space="preserve">1e+08</w:t>
                  </w:r>
                </w:p>
              </w:tc>
              <w:tc>
                <w:tcPr/>
                <w:p>
                  <w:pPr>
                    <w:pStyle w:val="Compact"/>
                    <w:jc w:val="left"/>
                    <w:jc w:val="center"/>
                  </w:pPr>
                  <w:r>
                    <w:t xml:space="preserve">USD</w:t>
                  </w:r>
                </w:p>
              </w:tc>
              <w:tc>
                <w:tcPr/>
                <w:p>
                  <w:pPr>
                    <w:pStyle w:val="Compact"/>
                    <w:jc w:val="left"/>
                    <w:jc w:val="center"/>
                  </w:pPr>
                  <w:r>
                    <w:t xml:space="preserve">STELCO Grid Modernization Plan (via GoM Energy Roadmap Nov 2024); ADB POISED PCR…</w:t>
                  </w:r>
                </w:p>
              </w:tc>
            </w:tr>
          </w:tbl>
          <w:p>
            <w:pPr>
              <w:pStyle w:val="Heading3"/>
              <w:jc w:val="center"/>
            </w:pPr>
            <w:bookmarkStart w:id="298" w:name="network"/>
            <w:r>
              <w:t xml:space="preserve">22.1.9 Network</w:t>
            </w:r>
            <w:bookmarkEnd w:id="298"/>
          </w:p>
          <w:tbl>
            <w:tblPr>
              <w:tblStyle w:val="Table"/>
              <w:tblW w:type="pct" w:w="5000"/>
              <w:tblLayout w:type="fixed"/>
              <w:tblLook w:firstRow="1" w:lastRow="0" w:firstColumn="0" w:lastColumn="0" w:noHBand="0" w:noVBand="0" w:val="0020"/>
            </w:tblPr>
            <w:tblGrid>
              <w:gridCol w:w="1131"/>
              <w:gridCol w:w="598"/>
              <w:gridCol w:w="465"/>
              <w:gridCol w:w="532"/>
              <w:gridCol w:w="798"/>
              <w:gridCol w:w="4392"/>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right"/>
                    <w:jc w:val="center"/>
                  </w:pPr>
                  <w:r>
                    <w:t xml:space="preserve">Low</w:t>
                  </w:r>
                </w:p>
              </w:tc>
              <w:tc>
                <w:tcPr/>
                <w:p>
                  <w:pPr>
                    <w:pStyle w:val="Compact"/>
                    <w:jc w:val="righ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Routing Premium</w:t>
                  </w:r>
                </w:p>
              </w:tc>
              <w:tc>
                <w:tcPr/>
                <w:p>
                  <w:pPr>
                    <w:pStyle w:val="Compact"/>
                    <w:jc w:val="right"/>
                    <w:jc w:val="center"/>
                  </w:pPr>
                  <w:r>
                    <w:t xml:space="preserve">1.15</w:t>
                  </w:r>
                </w:p>
              </w:tc>
              <w:tc>
                <w:tcPr/>
                <w:p>
                  <w:pPr>
                    <w:pStyle w:val="Compact"/>
                    <w:jc w:val="right"/>
                    <w:jc w:val="center"/>
                  </w:pPr>
                  <w:r>
                    <w:t xml:space="preserve">1.1</w:t>
                  </w:r>
                </w:p>
              </w:tc>
              <w:tc>
                <w:tcPr/>
                <w:p>
                  <w:pPr>
                    <w:pStyle w:val="Compact"/>
                    <w:jc w:val="right"/>
                    <w:jc w:val="center"/>
                  </w:pPr>
                  <w:r>
                    <w:t xml:space="preserve">1.25</w:t>
                  </w:r>
                </w:p>
              </w:tc>
              <w:tc>
                <w:tcPr/>
                <w:p>
                  <w:pPr>
                    <w:pStyle w:val="Compact"/>
                    <w:jc w:val="left"/>
                    <w:jc w:val="center"/>
                  </w:pPr>
                  <w:r>
                    <w:t xml:space="preserve">multiplier</w:t>
                  </w:r>
                </w:p>
              </w:tc>
              <w:tc>
                <w:tcPr/>
                <w:p>
                  <w:pPr>
                    <w:pStyle w:val="Compact"/>
                    <w:jc w:val="left"/>
                    <w:jc w:val="center"/>
                  </w:pPr>
                  <w:r>
                    <w:t xml:space="preserve">Engineering assumption â€” reef avoidance and bathymetry routing</w:t>
                  </w:r>
                </w:p>
              </w:tc>
            </w:tr>
          </w:tbl>
          <w:p>
            <w:pPr>
              <w:pStyle w:val="Heading3"/>
              <w:jc w:val="center"/>
            </w:pPr>
            <w:bookmarkStart w:id="299" w:name="inter-island-grid"/>
            <w:r>
              <w:t xml:space="preserve">22.1.10 Inter-Island Grid</w:t>
            </w:r>
            <w:bookmarkEnd w:id="299"/>
          </w:p>
          <w:tbl>
            <w:tblPr>
              <w:tblStyle w:val="Table"/>
              <w:tblW w:type="pct" w:w="5000"/>
              <w:tblLayout w:type="fixed"/>
              <w:tblLook w:firstRow="1" w:lastRow="0" w:firstColumn="0" w:lastColumn="0" w:noHBand="0" w:noVBand="0" w:val="0020"/>
            </w:tblPr>
            <w:tblGrid>
              <w:gridCol w:w="1033"/>
              <w:gridCol w:w="688"/>
              <w:gridCol w:w="459"/>
              <w:gridCol w:w="516"/>
              <w:gridCol w:w="459"/>
              <w:gridCol w:w="4763"/>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left"/>
                    <w:jc w:val="center"/>
                  </w:pPr>
                  <w:r>
                    <w:t xml:space="preserve">Low</w:t>
                  </w:r>
                </w:p>
              </w:tc>
              <w:tc>
                <w:tcPr/>
                <w:p>
                  <w:pPr>
                    <w:pStyle w:val="Compact"/>
                    <w:jc w:val="lef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Total Length</w:t>
                  </w:r>
                </w:p>
              </w:tc>
              <w:tc>
                <w:tcPr/>
                <w:p>
                  <w:pPr>
                    <w:pStyle w:val="Compact"/>
                    <w:jc w:val="right"/>
                    <w:jc w:val="center"/>
                  </w:pPr>
                  <w:r>
                    <w:t xml:space="preserve">14</w:t>
                  </w:r>
                </w:p>
              </w:tc>
              <w:tc>
                <w:tcPr/>
                <w:p>
                  <w:pPr>
                    <w:pStyle w:val="Compact"/>
                    <w:jc w:val="left"/>
                    <w:jc w:val="center"/>
                  </w:pPr>
                  <w:r>
                    <w:t xml:space="preserve">8</w:t>
                  </w:r>
                </w:p>
              </w:tc>
              <w:tc>
                <w:tcPr/>
                <w:p>
                  <w:pPr>
                    <w:pStyle w:val="Compact"/>
                    <w:jc w:val="left"/>
                    <w:jc w:val="center"/>
                  </w:pPr>
                  <w:r>
                    <w:t xml:space="preserve">25</w:t>
                  </w:r>
                </w:p>
              </w:tc>
              <w:tc>
                <w:tcPr/>
                <w:p>
                  <w:pPr>
                    <w:pStyle w:val="Compact"/>
                    <w:jc w:val="left"/>
                    <w:jc w:val="center"/>
                  </w:pPr>
                  <w:r>
                    <w:t xml:space="preserve">km</w:t>
                  </w:r>
                </w:p>
              </w:tc>
              <w:tc>
                <w:tcPr/>
                <w:p>
                  <w:pPr>
                    <w:pStyle w:val="Compact"/>
                    <w:jc w:val="left"/>
                    <w:jc w:val="center"/>
                  </w:pPr>
                  <w:r>
                    <w:t xml:space="preserve">Least-cost engine: only 3 islands justify grid extension (HulhumalÃ© 7.5km, Vili…</w:t>
                  </w:r>
                </w:p>
              </w:tc>
            </w:tr>
            <w:tr>
              <w:tc>
                <w:tcPr/>
                <w:p>
                  <w:pPr>
                    <w:pStyle w:val="Compact"/>
                    <w:jc w:val="left"/>
                    <w:jc w:val="center"/>
                  </w:pPr>
                  <w:r>
                    <w:t xml:space="preserve">CAPEX per km</w:t>
                  </w:r>
                </w:p>
              </w:tc>
              <w:tc>
                <w:tcPr/>
                <w:p>
                  <w:pPr>
                    <w:pStyle w:val="Compact"/>
                    <w:jc w:val="right"/>
                    <w:jc w:val="center"/>
                  </w:pPr>
                  <w:r>
                    <w:t xml:space="preserve">1.5e+06</w:t>
                  </w:r>
                </w:p>
              </w:tc>
              <w:tc>
                <w:tcPr/>
                <w:p>
                  <w:pPr>
                    <w:pStyle w:val="Compact"/>
                    <w:jc w:val="left"/>
                    <w:jc w:val="center"/>
                  </w:pPr>
                  <w:r>
                    <w:t xml:space="preserve">800000</w:t>
                  </w:r>
                </w:p>
              </w:tc>
              <w:tc>
                <w:tcPr/>
                <w:p>
                  <w:pPr>
                    <w:pStyle w:val="Compact"/>
                    <w:jc w:val="left"/>
                    <w:jc w:val="center"/>
                  </w:pPr>
                  <w:r>
                    <w:t xml:space="preserve">2.5e+06</w:t>
                  </w:r>
                </w:p>
              </w:tc>
              <w:tc>
                <w:tcPr/>
                <w:p>
                  <w:pPr>
                    <w:pStyle w:val="Compact"/>
                    <w:jc w:val="left"/>
                    <w:jc w:val="center"/>
                  </w:pPr>
                  <w:r>
                    <w:t xml:space="preserve">USD/km</w:t>
                  </w:r>
                </w:p>
              </w:tc>
              <w:tc>
                <w:tcPr/>
                <w:p>
                  <w:pPr>
                    <w:pStyle w:val="Compact"/>
                    <w:jc w:val="left"/>
                    <w:jc w:val="center"/>
                  </w:pPr>
                  <w:r>
                    <w:t xml:space="preserve">NREL (2023) NREL/TP-5700-87184: subsea cable costs $200-600/m ($200k-600k/km) fo…</w:t>
                  </w:r>
                </w:p>
              </w:tc>
            </w:tr>
            <w:tr>
              <w:tc>
                <w:tcPr/>
                <w:p>
                  <w:pPr>
                    <w:pStyle w:val="Compact"/>
                    <w:jc w:val="left"/>
                    <w:jc w:val="center"/>
                  </w:pPr>
                  <w:r>
                    <w:t xml:space="preserve">Build Start Year</w:t>
                  </w:r>
                </w:p>
              </w:tc>
              <w:tc>
                <w:tcPr/>
                <w:p>
                  <w:pPr>
                    <w:pStyle w:val="Compact"/>
                    <w:jc w:val="right"/>
                    <w:jc w:val="center"/>
                  </w:pPr>
                  <w:r>
                    <w:t xml:space="preserve">2027</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w:t>
                  </w:r>
                </w:p>
              </w:tc>
              <w:tc>
                <w:tcPr/>
                <w:p>
                  <w:pPr>
                    <w:pStyle w:val="Compact"/>
                    <w:jc w:val="left"/>
                    <w:jc w:val="center"/>
                  </w:pPr>
                  <w:r>
                    <w:t xml:space="preserve">Model design choice â€” aligned with GoM Energy Roadmap 2024-2033 near-term infr…</w:t>
                  </w:r>
                </w:p>
              </w:tc>
            </w:tr>
            <w:tr>
              <w:tc>
                <w:tcPr/>
                <w:p>
                  <w:pPr>
                    <w:pStyle w:val="Compact"/>
                    <w:jc w:val="left"/>
                    <w:jc w:val="center"/>
                  </w:pPr>
                  <w:r>
                    <w:t xml:space="preserve">Build End Year</w:t>
                  </w:r>
                </w:p>
              </w:tc>
              <w:tc>
                <w:tcPr/>
                <w:p>
                  <w:pPr>
                    <w:pStyle w:val="Compact"/>
                    <w:jc w:val="right"/>
                    <w:jc w:val="center"/>
                  </w:pPr>
                  <w:r>
                    <w:t xml:space="preserve">2030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w:t>
                  </w:r>
                </w:p>
              </w:tc>
              <w:tc>
                <w:tcPr/>
                <w:p>
                  <w:pPr>
                    <w:pStyle w:val="Compact"/>
                    <w:jc w:val="left"/>
                    <w:jc w:val="center"/>
                  </w:pPr>
                  <w:r>
                    <w:t xml:space="preserve">Model design choice â€” 3yr phased construction aligned with GoM Roadmap and out…</w:t>
                  </w:r>
                </w:p>
              </w:tc>
            </w:tr>
          </w:tbl>
          <w:p>
            <w:pPr>
              <w:pStyle w:val="Heading3"/>
              <w:jc w:val="center"/>
            </w:pPr>
            <w:bookmarkStart w:id="300" w:name="ppa"/>
            <w:r>
              <w:t xml:space="preserve">22.1.11 PPA</w:t>
            </w:r>
            <w:bookmarkEnd w:id="300"/>
          </w:p>
          <w:tbl>
            <w:tblPr>
              <w:tblStyle w:val="Table"/>
              <w:tblW w:type="pct" w:w="5000"/>
              <w:tblLayout w:type="fixed"/>
              <w:tblLook w:firstRow="1" w:lastRow="0" w:firstColumn="0" w:lastColumn="0" w:noHBand="0" w:noVBand="0" w:val="0020"/>
            </w:tblPr>
            <w:tblGrid>
              <w:gridCol w:w="1562"/>
              <w:gridCol w:w="484"/>
              <w:gridCol w:w="377"/>
              <w:gridCol w:w="431"/>
              <w:gridCol w:w="592"/>
              <w:gridCol w:w="4471"/>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left"/>
                    <w:jc w:val="center"/>
                  </w:pPr>
                  <w:r>
                    <w:t xml:space="preserve">Low</w:t>
                  </w:r>
                </w:p>
              </w:tc>
              <w:tc>
                <w:tcPr/>
                <w:p>
                  <w:pPr>
                    <w:pStyle w:val="Compact"/>
                    <w:jc w:val="lef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Import Price 2030</w:t>
                  </w:r>
                </w:p>
              </w:tc>
              <w:tc>
                <w:tcPr/>
                <w:p>
                  <w:pPr>
                    <w:pStyle w:val="Compact"/>
                    <w:jc w:val="right"/>
                    <w:jc w:val="center"/>
                  </w:pPr>
                  <w:r>
                    <w:t xml:space="preserve">0.06</w:t>
                  </w:r>
                </w:p>
              </w:tc>
              <w:tc>
                <w:tcPr/>
                <w:p>
                  <w:pPr>
                    <w:pStyle w:val="Compact"/>
                    <w:jc w:val="left"/>
                    <w:jc w:val="center"/>
                  </w:pPr>
                  <w:r>
                    <w:t xml:space="preserve">0.04</w:t>
                  </w:r>
                </w:p>
              </w:tc>
              <w:tc>
                <w:tcPr/>
                <w:p>
                  <w:pPr>
                    <w:pStyle w:val="Compact"/>
                    <w:jc w:val="left"/>
                    <w:jc w:val="center"/>
                  </w:pPr>
                  <w:r>
                    <w:t xml:space="preserve">0.1</w:t>
                  </w:r>
                </w:p>
              </w:tc>
              <w:tc>
                <w:tcPr/>
                <w:p>
                  <w:pPr>
                    <w:pStyle w:val="Compact"/>
                    <w:jc w:val="left"/>
                    <w:jc w:val="center"/>
                  </w:pPr>
                  <w:r>
                    <w:t xml:space="preserve">USD/kWh</w:t>
                  </w:r>
                </w:p>
              </w:tc>
              <w:tc>
                <w:tcPr/>
                <w:p>
                  <w:pPr>
                    <w:pStyle w:val="Compact"/>
                    <w:jc w:val="left"/>
                    <w:jc w:val="center"/>
                  </w:pPr>
                  <w:r>
                    <w:t xml:space="preserve">India Energy Exchange (IEX) 2024-25</w:t>
                  </w:r>
                </w:p>
              </w:tc>
            </w:tr>
            <w:tr>
              <w:tc>
                <w:tcPr/>
                <w:p>
                  <w:pPr>
                    <w:pStyle w:val="Compact"/>
                    <w:jc w:val="left"/>
                    <w:jc w:val="center"/>
                  </w:pPr>
                  <w:r>
                    <w:t xml:space="preserve">Price Escalation</w:t>
                  </w:r>
                </w:p>
              </w:tc>
              <w:tc>
                <w:tcPr/>
                <w:p>
                  <w:pPr>
                    <w:pStyle w:val="Compact"/>
                    <w:jc w:val="right"/>
                    <w:jc w:val="center"/>
                  </w:pPr>
                  <w:r>
                    <w:t xml:space="preserve">0.01</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w:t>
                  </w:r>
                </w:p>
              </w:tc>
              <w:tc>
                <w:tcPr/>
                <w:p>
                  <w:pPr>
                    <w:pStyle w:val="Compact"/>
                    <w:jc w:val="left"/>
                    <w:jc w:val="center"/>
                  </w:pPr>
                  <w:r>
                    <w:t xml:space="preserve">IEA WEO 2024 India Energy Outlook: real electricity price growth ~0.5-1.5%/yr un…</w:t>
                  </w:r>
                </w:p>
              </w:tc>
            </w:tr>
            <w:tr>
              <w:tc>
                <w:tcPr/>
                <w:p>
                  <w:pPr>
                    <w:pStyle w:val="Compact"/>
                    <w:jc w:val="left"/>
                    <w:jc w:val="center"/>
                  </w:pPr>
                  <w:r>
                    <w:t xml:space="preserve">Transmission Charge</w:t>
                  </w:r>
                </w:p>
              </w:tc>
              <w:tc>
                <w:tcPr/>
                <w:p>
                  <w:pPr>
                    <w:pStyle w:val="Compact"/>
                    <w:jc w:val="right"/>
                    <w:jc w:val="center"/>
                  </w:pPr>
                  <w:r>
                    <w:t xml:space="preserve">0.01</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USD/kWh</w:t>
                  </w:r>
                </w:p>
              </w:tc>
              <w:tc>
                <w:tcPr/>
                <w:p>
                  <w:pPr>
                    <w:pStyle w:val="Compact"/>
                    <w:jc w:val="left"/>
                    <w:jc w:val="center"/>
                  </w:pPr>
                  <w:r>
                    <w:t xml:space="preserve">India CERC Open Access Regulations (2024): inter-state transmission charge Rs 0.…</w:t>
                  </w:r>
                </w:p>
              </w:tc>
            </w:tr>
            <w:tr>
              <w:tc>
                <w:tcPr/>
                <w:p>
                  <w:pPr>
                    <w:pStyle w:val="Compact"/>
                    <w:jc w:val="left"/>
                    <w:jc w:val="center"/>
                  </w:pPr>
                  <w:r>
                    <w:t xml:space="preserve">India Grid Emission Factor</w:t>
                  </w:r>
                </w:p>
              </w:tc>
              <w:tc>
                <w:tcPr/>
                <w:p>
                  <w:pPr>
                    <w:pStyle w:val="Compact"/>
                    <w:jc w:val="right"/>
                    <w:jc w:val="center"/>
                  </w:pPr>
                  <w:r>
                    <w:t xml:space="preserve">0.7</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kgCO2/kWh</w:t>
                  </w:r>
                </w:p>
              </w:tc>
              <w:tc>
                <w:tcPr/>
                <w:p>
                  <w:pPr>
                    <w:pStyle w:val="Compact"/>
                    <w:jc w:val="left"/>
                    <w:jc w:val="center"/>
                  </w:pPr>
                  <w:r>
                    <w:t xml:space="preserve">CEA CO2 Database 2023 (India); IEA WEO 2023</w:t>
                  </w:r>
                </w:p>
              </w:tc>
            </w:tr>
            <w:tr>
              <w:tc>
                <w:tcPr/>
                <w:p>
                  <w:pPr>
                    <w:pStyle w:val="Compact"/>
                    <w:jc w:val="left"/>
                    <w:jc w:val="center"/>
                  </w:pPr>
                  <w:r>
                    <w:t xml:space="preserve">India Grid Emission Decline</w:t>
                  </w:r>
                </w:p>
              </w:tc>
              <w:tc>
                <w:tcPr/>
                <w:p>
                  <w:pPr>
                    <w:pStyle w:val="Compact"/>
                    <w:jc w:val="right"/>
                    <w:jc w:val="center"/>
                  </w:pPr>
                  <w:r>
                    <w:t xml:space="preserve">0.02</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w:t>
                  </w:r>
                </w:p>
              </w:tc>
              <w:tc>
                <w:tcPr/>
                <w:p>
                  <w:pPr>
                    <w:pStyle w:val="Compact"/>
                    <w:jc w:val="left"/>
                    <w:jc w:val="center"/>
                  </w:pPr>
                  <w:r>
                    <w:t xml:space="preserve">IEA India Energy Outlook 2021; India NDC trajectory</w:t>
                  </w:r>
                </w:p>
              </w:tc>
            </w:tr>
            <w:tr>
              <w:tc>
                <w:tcPr/>
                <w:p>
                  <w:pPr>
                    <w:pStyle w:val="Compact"/>
                    <w:jc w:val="left"/>
                    <w:jc w:val="center"/>
                  </w:pPr>
                  <w:r>
                    <w:t xml:space="preserve">India Grid Base Year</w:t>
                  </w:r>
                </w:p>
              </w:tc>
              <w:tc>
                <w:tcPr/>
                <w:p>
                  <w:pPr>
                    <w:pStyle w:val="Compact"/>
                    <w:jc w:val="right"/>
                    <w:jc w:val="center"/>
                  </w:pPr>
                  <w:r>
                    <w:t xml:space="preserve">2024</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w:t>
                  </w:r>
                </w:p>
              </w:tc>
              <w:tc>
                <w:tcPr/>
                <w:p>
                  <w:pPr>
                    <w:pStyle w:val="Compact"/>
                    <w:jc w:val="left"/>
                    <w:jc w:val="center"/>
                  </w:pPr>
                  <w:r>
                    <w:t xml:space="preserve">Base year for India grid decarbonisation trajectory</w:t>
                  </w:r>
                </w:p>
              </w:tc>
            </w:tr>
          </w:tbl>
          <w:p>
            <w:pPr>
              <w:pStyle w:val="Heading3"/>
              <w:jc w:val="center"/>
            </w:pPr>
            <w:bookmarkStart w:id="301" w:name="re-deployment"/>
            <w:r>
              <w:t xml:space="preserve">22.1.12 RE Deployment</w:t>
            </w:r>
            <w:bookmarkEnd w:id="301"/>
          </w:p>
          <w:tbl>
            <w:tblPr>
              <w:tblStyle w:val="Table"/>
              <w:tblW w:type="pct" w:w="5000"/>
              <w:tblLayout w:type="fixed"/>
              <w:tblLook w:firstRow="1" w:lastRow="0" w:firstColumn="0" w:lastColumn="0" w:noHBand="0" w:noVBand="0" w:val="0020"/>
            </w:tblPr>
            <w:tblGrid>
              <w:gridCol w:w="1573"/>
              <w:gridCol w:w="488"/>
              <w:gridCol w:w="379"/>
              <w:gridCol w:w="433"/>
              <w:gridCol w:w="542"/>
              <w:gridCol w:w="4502"/>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left"/>
                    <w:jc w:val="center"/>
                  </w:pPr>
                  <w:r>
                    <w:t xml:space="preserve">Low</w:t>
                  </w:r>
                </w:p>
              </w:tc>
              <w:tc>
                <w:tcPr/>
                <w:p>
                  <w:pPr>
                    <w:pStyle w:val="Compact"/>
                    <w:jc w:val="lef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Deployment Ramp MW per Year</w:t>
                  </w:r>
                </w:p>
              </w:tc>
              <w:tc>
                <w:tcPr/>
                <w:p>
                  <w:pPr>
                    <w:pStyle w:val="Compact"/>
                    <w:jc w:val="right"/>
                    <w:jc w:val="center"/>
                  </w:pPr>
                  <w:r>
                    <w:t xml:space="preserve">50</w:t>
                  </w:r>
                </w:p>
              </w:tc>
              <w:tc>
                <w:tcPr/>
                <w:p>
                  <w:pPr>
                    <w:pStyle w:val="Compact"/>
                    <w:jc w:val="left"/>
                    <w:jc w:val="center"/>
                  </w:pPr>
                  <w:r>
                    <w:t xml:space="preserve">30</w:t>
                  </w:r>
                </w:p>
              </w:tc>
              <w:tc>
                <w:tcPr/>
                <w:p>
                  <w:pPr>
                    <w:pStyle w:val="Compact"/>
                    <w:jc w:val="left"/>
                    <w:jc w:val="center"/>
                  </w:pPr>
                  <w:r>
                    <w:t xml:space="preserve">100</w:t>
                  </w:r>
                </w:p>
              </w:tc>
              <w:tc>
                <w:tcPr/>
                <w:p>
                  <w:pPr>
                    <w:pStyle w:val="Compact"/>
                    <w:jc w:val="left"/>
                    <w:jc w:val="center"/>
                  </w:pPr>
                  <w:r>
                    <w:t xml:space="preserve">MW/yr</w:t>
                  </w:r>
                </w:p>
              </w:tc>
              <w:tc>
                <w:tcPr/>
                <w:p>
                  <w:pPr>
                    <w:pStyle w:val="Compact"/>
                    <w:jc w:val="left"/>
                    <w:jc w:val="center"/>
                  </w:pPr>
                  <w:r>
                    <w:t xml:space="preserve">GoM pipeline 164 MW over ~3yr (55 MW/yr); SIDS logistics constraint. Low=conserv…</w:t>
                  </w:r>
                </w:p>
              </w:tc>
            </w:tr>
            <w:tr>
              <w:tc>
                <w:tcPr/>
                <w:p>
                  <w:pPr>
                    <w:pStyle w:val="Compact"/>
                    <w:jc w:val="left"/>
                    <w:jc w:val="center"/>
                  </w:pPr>
                  <w:r>
                    <w:t xml:space="preserve">Initial RE Share Outer</w:t>
                  </w:r>
                </w:p>
              </w:tc>
              <w:tc>
                <w:tcPr/>
                <w:p>
                  <w:pPr>
                    <w:pStyle w:val="Compact"/>
                    <w:jc w:val="right"/>
                    <w:jc w:val="center"/>
                  </w:pPr>
                  <w:r>
                    <w:t xml:space="preserve">0.1</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fraction</w:t>
                  </w:r>
                </w:p>
              </w:tc>
              <w:tc>
                <w:tcPr/>
                <w:p>
                  <w:pPr>
                    <w:pStyle w:val="Compact"/>
                    <w:jc w:val="left"/>
                    <w:jc w:val="center"/>
                  </w:pPr>
                  <w:r>
                    <w:t xml:space="preserve">68.5 MW installed (2024) Ã· outer-island demand (~516 GWh) â‰ˆ 10%</w:t>
                  </w:r>
                </w:p>
              </w:tc>
            </w:tr>
            <w:tr>
              <w:tc>
                <w:tcPr/>
                <w:p>
                  <w:pPr>
                    <w:pStyle w:val="Compact"/>
                    <w:jc w:val="left"/>
                    <w:jc w:val="center"/>
                  </w:pPr>
                  <w:r>
                    <w:t xml:space="preserve">Male Max RE Share</w:t>
                  </w:r>
                </w:p>
              </w:tc>
              <w:tc>
                <w:tcPr/>
                <w:p>
                  <w:pPr>
                    <w:pStyle w:val="Compact"/>
                    <w:jc w:val="right"/>
                    <w:jc w:val="center"/>
                  </w:pPr>
                  <w:r>
                    <w:t xml:space="preserve">0.04</w:t>
                  </w:r>
                </w:p>
              </w:tc>
              <w:tc>
                <w:tcPr/>
                <w:p>
                  <w:pPr>
                    <w:pStyle w:val="Compact"/>
                    <w:jc w:val="left"/>
                    <w:jc w:val="center"/>
                  </w:pPr>
                  <w:r>
                    <w:t xml:space="preserve">0.02</w:t>
                  </w:r>
                </w:p>
              </w:tc>
              <w:tc>
                <w:tcPr/>
                <w:p>
                  <w:pPr>
                    <w:pStyle w:val="Compact"/>
                    <w:jc w:val="left"/>
                    <w:jc w:val="center"/>
                  </w:pPr>
                  <w:r>
                    <w:t xml:space="preserve">0.08</w:t>
                  </w:r>
                </w:p>
              </w:tc>
              <w:tc>
                <w:tcPr/>
                <w:p>
                  <w:pPr>
                    <w:pStyle w:val="Compact"/>
                    <w:jc w:val="left"/>
                    <w:jc w:val="center"/>
                  </w:pPr>
                  <w:r>
                    <w:t xml:space="preserve">fraction</w:t>
                  </w:r>
                </w:p>
              </w:tc>
              <w:tc>
                <w:tcPr/>
                <w:p>
                  <w:pPr>
                    <w:pStyle w:val="Compact"/>
                    <w:jc w:val="left"/>
                    <w:jc w:val="center"/>
                  </w:pPr>
                  <w:r>
                    <w:t xml:space="preserve">ZNES Flensburg: 18 MWp rooftop â†’ 27.6 GWh/yr vs 684 GWh MalÃ© demand = 4%. Low…</w:t>
                  </w:r>
                </w:p>
              </w:tc>
            </w:tr>
            <w:tr>
              <w:tc>
                <w:tcPr/>
                <w:p>
                  <w:pPr>
                    <w:pStyle w:val="Compact"/>
                    <w:jc w:val="left"/>
                    <w:jc w:val="center"/>
                  </w:pPr>
                  <w:r>
                    <w:t xml:space="preserve">Domestic RE Target 2050</w:t>
                  </w:r>
                </w:p>
              </w:tc>
              <w:tc>
                <w:tcPr/>
                <w:p>
                  <w:pPr>
                    <w:pStyle w:val="Compact"/>
                    <w:jc w:val="right"/>
                    <w:jc w:val="center"/>
                  </w:pPr>
                  <w:r>
                    <w:t xml:space="preserve">0.3</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Model assumption â€” FI domestic RE cap (most demand met by cable import)</w:t>
                  </w:r>
                </w:p>
              </w:tc>
            </w:tr>
            <w:tr>
              <w:tc>
                <w:tcPr/>
                <w:p>
                  <w:pPr>
                    <w:pStyle w:val="Compact"/>
                    <w:jc w:val="left"/>
                    <w:jc w:val="center"/>
                  </w:pPr>
                  <w:r>
                    <w:t xml:space="preserve">Inter Island Grid</w:t>
                  </w:r>
                </w:p>
              </w:tc>
              <w:tc>
                <w:tcPr/>
                <w:p>
                  <w:pPr>
                    <w:pStyle w:val="Compact"/>
                    <w:jc w:val="right"/>
                    <w:jc w:val="center"/>
                  </w:pPr>
                  <w:r>
                    <w:t xml:space="preserve">1</w:t>
                  </w:r>
                </w:p>
              </w:tc>
              <w:tc>
                <w:tcPr/>
                <w:p>
                  <w:pPr>
                    <w:pStyle w:val="Compact"/>
                    <w:jc w:val="left"/>
                    <w:jc w:val="center"/>
                  </w:pPr>
                  <w:r>
                    <w:t xml:space="preserve">0</w:t>
                  </w:r>
                </w:p>
              </w:tc>
              <w:tc>
                <w:tcPr/>
                <w:p>
                  <w:pPr>
                    <w:pStyle w:val="Compact"/>
                    <w:jc w:val="left"/>
                    <w:jc w:val="center"/>
                  </w:pPr>
                  <w:r>
                    <w:t xml:space="preserve">1</w:t>
                  </w:r>
                </w:p>
              </w:tc>
              <w:tc>
                <w:tcPr/>
                <w:p>
                  <w:pPr>
                    <w:pStyle w:val="Compact"/>
                    <w:jc w:val="left"/>
                    <w:jc w:val="center"/>
                  </w:pPr>
                  <w:r>
                    <w:t xml:space="preserve">boolean</w:t>
                  </w:r>
                </w:p>
              </w:tc>
              <w:tc>
                <w:tcPr/>
                <w:p>
                  <w:pPr>
                    <w:pStyle w:val="Compact"/>
                    <w:jc w:val="left"/>
                    <w:jc w:val="center"/>
                  </w:pPr>
                  <w:r>
                    <w:t xml:space="preserve">Model design â€” controls inclusion of inter-island cable costs</w:t>
                  </w:r>
                </w:p>
              </w:tc>
            </w:tr>
          </w:tbl>
          <w:p>
            <w:pPr>
              <w:pStyle w:val="Heading3"/>
              <w:jc w:val="center"/>
            </w:pPr>
            <w:bookmarkStart w:id="302" w:name="near-shore-solar"/>
            <w:r>
              <w:t xml:space="preserve">22.1.13 Near-Shore Solar</w:t>
            </w:r>
            <w:bookmarkEnd w:id="302"/>
          </w:p>
          <w:tbl>
            <w:tblPr>
              <w:tblStyle w:val="Table"/>
              <w:tblW w:type="pct" w:w="5000"/>
              <w:tblLayout w:type="fixed"/>
              <w:tblLook w:firstRow="1" w:lastRow="0" w:firstColumn="0" w:lastColumn="0" w:noHBand="0" w:noVBand="0" w:val="0020"/>
            </w:tblPr>
            <w:tblGrid>
              <w:gridCol w:w="1573"/>
              <w:gridCol w:w="524"/>
              <w:gridCol w:w="419"/>
              <w:gridCol w:w="419"/>
              <w:gridCol w:w="629"/>
              <w:gridCol w:w="4353"/>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left"/>
                    <w:jc w:val="center"/>
                  </w:pPr>
                  <w:r>
                    <w:t xml:space="preserve">Low</w:t>
                  </w:r>
                </w:p>
              </w:tc>
              <w:tc>
                <w:tcPr/>
                <w:p>
                  <w:pPr>
                    <w:pStyle w:val="Compact"/>
                    <w:jc w:val="lef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Near-Shore Solar MW</w:t>
                  </w:r>
                </w:p>
              </w:tc>
              <w:tc>
                <w:tcPr/>
                <w:p>
                  <w:pPr>
                    <w:pStyle w:val="Compact"/>
                    <w:jc w:val="right"/>
                    <w:jc w:val="center"/>
                  </w:pPr>
                  <w:r>
                    <w:t xml:space="preserve">104</w:t>
                  </w:r>
                </w:p>
              </w:tc>
              <w:tc>
                <w:tcPr/>
                <w:p>
                  <w:pPr>
                    <w:pStyle w:val="Compact"/>
                    <w:jc w:val="left"/>
                    <w:jc w:val="center"/>
                  </w:pPr>
                  <w:r>
                    <w:t xml:space="preserve">60</w:t>
                  </w:r>
                </w:p>
              </w:tc>
              <w:tc>
                <w:tcPr/>
                <w:p>
                  <w:pPr>
                    <w:pStyle w:val="Compact"/>
                    <w:jc w:val="left"/>
                    <w:jc w:val="center"/>
                  </w:pPr>
                  <w:r>
                    <w:t xml:space="preserve">150</w:t>
                  </w:r>
                </w:p>
              </w:tc>
              <w:tc>
                <w:tcPr/>
                <w:p>
                  <w:pPr>
                    <w:pStyle w:val="Compact"/>
                    <w:jc w:val="left"/>
                    <w:jc w:val="center"/>
                  </w:pPr>
                  <w:r>
                    <w:t xml:space="preserve">MW</w:t>
                  </w:r>
                </w:p>
              </w:tc>
              <w:tc>
                <w:tcPr/>
                <w:p>
                  <w:pPr>
                    <w:pStyle w:val="Compact"/>
                    <w:jc w:val="left"/>
                    <w:jc w:val="center"/>
                  </w:pPr>
                  <w:r>
                    <w:t xml:space="preserve">GIS analysis: uninhabited islands within 10km of MalÃ© (Thilafushi 0.43kmÂ² 6.9k…</w:t>
                  </w:r>
                </w:p>
              </w:tc>
            </w:tr>
            <w:tr>
              <w:tc>
                <w:tcPr/>
                <w:p>
                  <w:pPr>
                    <w:pStyle w:val="Compact"/>
                    <w:jc w:val="left"/>
                    <w:jc w:val="center"/>
                  </w:pPr>
                  <w:r>
                    <w:t xml:space="preserve">Near-Shore Cable Cost per MW</w:t>
                  </w:r>
                </w:p>
              </w:tc>
              <w:tc>
                <w:tcPr/>
                <w:p>
                  <w:pPr>
                    <w:pStyle w:val="Compact"/>
                    <w:jc w:val="right"/>
                    <w:jc w:val="center"/>
                  </w:pPr>
                  <w:r>
                    <w:t xml:space="preserve">250000</w:t>
                  </w:r>
                </w:p>
              </w:tc>
              <w:tc>
                <w:tcPr/>
                <w:p>
                  <w:pPr>
                    <w:pStyle w:val="Compact"/>
                    <w:jc w:val="left"/>
                    <w:jc w:val="center"/>
                  </w:pPr>
                  <w:r>
                    <w:t xml:space="preserve">200000</w:t>
                  </w:r>
                </w:p>
              </w:tc>
              <w:tc>
                <w:tcPr/>
                <w:p>
                  <w:pPr>
                    <w:pStyle w:val="Compact"/>
                    <w:jc w:val="left"/>
                    <w:jc w:val="center"/>
                  </w:pPr>
                  <w:r>
                    <w:t xml:space="preserve">350000</w:t>
                  </w:r>
                </w:p>
              </w:tc>
              <w:tc>
                <w:tcPr/>
                <w:p>
                  <w:pPr>
                    <w:pStyle w:val="Compact"/>
                    <w:jc w:val="left"/>
                    <w:jc w:val="center"/>
                  </w:pPr>
                  <w:r>
                    <w:t xml:space="preserve">USD/MW</w:t>
                  </w:r>
                </w:p>
              </w:tc>
              <w:tc>
                <w:tcPr/>
                <w:p>
                  <w:pPr>
                    <w:pStyle w:val="Compact"/>
                    <w:jc w:val="left"/>
                    <w:jc w:val="center"/>
                  </w:pPr>
                  <w:r>
                    <w:t xml:space="preserve">Engineering estimate: $5-8M for 5-10km shallow-water cable connecting solar farm…</w:t>
                  </w:r>
                </w:p>
              </w:tc>
            </w:tr>
            <w:tr>
              <w:tc>
                <w:tcPr/>
                <w:p>
                  <w:pPr>
                    <w:pStyle w:val="Compact"/>
                    <w:jc w:val="left"/>
                    <w:jc w:val="center"/>
                  </w:pPr>
                  <w:r>
                    <w:t xml:space="preserve">Near-Shore Build Start</w:t>
                  </w:r>
                </w:p>
              </w:tc>
              <w:tc>
                <w:tcPr/>
                <w:p>
                  <w:pPr>
                    <w:pStyle w:val="Compact"/>
                    <w:jc w:val="right"/>
                    <w:jc w:val="center"/>
                  </w:pPr>
                  <w:r>
                    <w:t xml:space="preserve">2030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w:t>
                  </w:r>
                </w:p>
              </w:tc>
              <w:tc>
                <w:tcPr/>
                <w:p>
                  <w:pPr>
                    <w:pStyle w:val="Compact"/>
                    <w:jc w:val="left"/>
                    <w:jc w:val="center"/>
                  </w:pPr>
                  <w:r>
                    <w:t xml:space="preserve">Realistic timeline â€” permitting; EIA; cable manufacturing after initial outer-…</w:t>
                  </w:r>
                </w:p>
              </w:tc>
            </w:tr>
            <w:tr>
              <w:tc>
                <w:tcPr/>
                <w:p>
                  <w:pPr>
                    <w:pStyle w:val="Compact"/>
                    <w:jc w:val="left"/>
                    <w:jc w:val="center"/>
                  </w:pPr>
                  <w:r>
                    <w:t xml:space="preserve">Near-Shore Build Years</w:t>
                  </w:r>
                </w:p>
              </w:tc>
              <w:tc>
                <w:tcPr/>
                <w:p>
                  <w:pPr>
                    <w:pStyle w:val="Compact"/>
                    <w:jc w:val="right"/>
                    <w:jc w:val="center"/>
                  </w:pPr>
                  <w:r>
                    <w:t xml:space="preserve">3</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years</w:t>
                  </w:r>
                </w:p>
              </w:tc>
              <w:tc>
                <w:tcPr/>
                <w:p>
                  <w:pPr>
                    <w:pStyle w:val="Compact"/>
                    <w:jc w:val="left"/>
                    <w:jc w:val="center"/>
                  </w:pPr>
                  <w:r>
                    <w:t xml:space="preserve">3-year phased construction: land prep; cable laying; panel installation</w:t>
                  </w:r>
                </w:p>
              </w:tc>
            </w:tr>
            <w:tr>
              <w:tc>
                <w:tcPr/>
                <w:p>
                  <w:pPr>
                    <w:pStyle w:val="Compact"/>
                    <w:jc w:val="left"/>
                    <w:jc w:val="center"/>
                  </w:pPr>
                  <w:r>
                    <w:t xml:space="preserve">Floating Solar MW</w:t>
                  </w:r>
                </w:p>
              </w:tc>
              <w:tc>
                <w:tcPr/>
                <w:p>
                  <w:pPr>
                    <w:pStyle w:val="Compact"/>
                    <w:jc w:val="right"/>
                    <w:jc w:val="center"/>
                  </w:pPr>
                  <w:r>
                    <w:t xml:space="preserve">195</w:t>
                  </w:r>
                </w:p>
              </w:tc>
              <w:tc>
                <w:tcPr/>
                <w:p>
                  <w:pPr>
                    <w:pStyle w:val="Compact"/>
                    <w:jc w:val="left"/>
                    <w:jc w:val="center"/>
                  </w:pPr>
                  <w:r>
                    <w:t xml:space="preserve">100</w:t>
                  </w:r>
                </w:p>
              </w:tc>
              <w:tc>
                <w:tcPr/>
                <w:p>
                  <w:pPr>
                    <w:pStyle w:val="Compact"/>
                    <w:jc w:val="left"/>
                    <w:jc w:val="center"/>
                  </w:pPr>
                  <w:r>
                    <w:t xml:space="preserve">250</w:t>
                  </w:r>
                </w:p>
              </w:tc>
              <w:tc>
                <w:tcPr/>
                <w:p>
                  <w:pPr>
                    <w:pStyle w:val="Compact"/>
                    <w:jc w:val="left"/>
                    <w:jc w:val="center"/>
                  </w:pPr>
                  <w:r>
                    <w:t xml:space="preserve">MW</w:t>
                  </w:r>
                </w:p>
              </w:tc>
              <w:tc>
                <w:tcPr/>
                <w:p>
                  <w:pPr>
                    <w:pStyle w:val="Compact"/>
                    <w:jc w:val="left"/>
                    <w:jc w:val="center"/>
                  </w:pPr>
                  <w:r>
                    <w:t xml:space="preserve">GoM/MCCEE (2024) Energy Road Map 2024â€“2033: 100 MW Greater MalÃ© lagoon + 95 M…</w:t>
                  </w:r>
                </w:p>
              </w:tc>
            </w:tr>
            <w:tr>
              <w:tc>
                <w:tcPr/>
                <w:p>
                  <w:pPr>
                    <w:pStyle w:val="Compact"/>
                    <w:jc w:val="left"/>
                    <w:jc w:val="center"/>
                  </w:pPr>
                  <w:r>
                    <w:t xml:space="preserve">Floating Solar CAPEX Premium</w:t>
                  </w:r>
                </w:p>
              </w:tc>
              <w:tc>
                <w:tcPr/>
                <w:p>
                  <w:pPr>
                    <w:pStyle w:val="Compact"/>
                    <w:jc w:val="right"/>
                    <w:jc w:val="center"/>
                  </w:pPr>
                  <w:r>
                    <w:t xml:space="preserve">1.5</w:t>
                  </w:r>
                </w:p>
              </w:tc>
              <w:tc>
                <w:tcPr/>
                <w:p>
                  <w:pPr>
                    <w:pStyle w:val="Compact"/>
                    <w:jc w:val="left"/>
                    <w:jc w:val="center"/>
                  </w:pPr>
                  <w:r>
                    <w:t xml:space="preserve">1.3</w:t>
                  </w:r>
                </w:p>
              </w:tc>
              <w:tc>
                <w:tcPr/>
                <w:p>
                  <w:pPr>
                    <w:pStyle w:val="Compact"/>
                    <w:jc w:val="left"/>
                    <w:jc w:val="center"/>
                  </w:pPr>
                  <w:r>
                    <w:t xml:space="preserve">1.8</w:t>
                  </w:r>
                </w:p>
              </w:tc>
              <w:tc>
                <w:tcPr/>
                <w:p>
                  <w:pPr>
                    <w:pStyle w:val="Compact"/>
                    <w:jc w:val="left"/>
                    <w:jc w:val="center"/>
                  </w:pPr>
                  <w:r>
                    <w:t xml:space="preserve">multiplier</w:t>
                  </w:r>
                </w:p>
              </w:tc>
              <w:tc>
                <w:tcPr/>
                <w:p>
                  <w:pPr>
                    <w:pStyle w:val="Compact"/>
                    <w:jc w:val="left"/>
                    <w:jc w:val="center"/>
                  </w:pPr>
                  <w:r>
                    <w:t xml:space="preserve">IRENA (2020) Where Sun Meets Water: floating PV 10-25% cost premium over ground-…</w:t>
                  </w:r>
                </w:p>
              </w:tc>
            </w:tr>
            <w:tr>
              <w:tc>
                <w:tcPr/>
                <w:p>
                  <w:pPr>
                    <w:pStyle w:val="Compact"/>
                    <w:jc w:val="left"/>
                    <w:jc w:val="center"/>
                  </w:pPr>
                  <w:r>
                    <w:t xml:space="preserve">Floating Solar Build Start</w:t>
                  </w:r>
                </w:p>
              </w:tc>
              <w:tc>
                <w:tcPr/>
                <w:p>
                  <w:pPr>
                    <w:pStyle w:val="Compact"/>
                    <w:jc w:val="right"/>
                    <w:jc w:val="center"/>
                  </w:pPr>
                  <w:r>
                    <w:t xml:space="preserve">2033</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w:t>
                  </w:r>
                </w:p>
              </w:tc>
              <w:tc>
                <w:tcPr/>
                <w:p>
                  <w:pPr>
                    <w:pStyle w:val="Compact"/>
                    <w:jc w:val="left"/>
                    <w:jc w:val="center"/>
                  </w:pPr>
                  <w:r>
                    <w:t xml:space="preserve">After near-shore islands; requires proven floating PV technology in marine envir…</w:t>
                  </w:r>
                </w:p>
              </w:tc>
            </w:tr>
            <w:tr>
              <w:tc>
                <w:tcPr/>
                <w:p>
                  <w:pPr>
                    <w:pStyle w:val="Compact"/>
                    <w:jc w:val="left"/>
                    <w:jc w:val="center"/>
                  </w:pPr>
                  <w:r>
                    <w:t xml:space="preserve">Floating Solar Build Years</w:t>
                  </w:r>
                </w:p>
              </w:tc>
              <w:tc>
                <w:tcPr/>
                <w:p>
                  <w:pPr>
                    <w:pStyle w:val="Compact"/>
                    <w:jc w:val="right"/>
                    <w:jc w:val="center"/>
                  </w:pPr>
                  <w:r>
                    <w:t xml:space="preserve">5</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years</w:t>
                  </w:r>
                </w:p>
              </w:tc>
              <w:tc>
                <w:tcPr/>
                <w:p>
                  <w:pPr>
                    <w:pStyle w:val="Compact"/>
                    <w:jc w:val="left"/>
                    <w:jc w:val="center"/>
                  </w:pPr>
                  <w:r>
                    <w:t xml:space="preserve">5-year phased construction for large-scale floating PV on lagoon</w:t>
                  </w:r>
                </w:p>
              </w:tc>
            </w:tr>
          </w:tbl>
          <w:p>
            <w:pPr>
              <w:pStyle w:val="Heading3"/>
              <w:jc w:val="center"/>
            </w:pPr>
            <w:bookmarkStart w:id="303" w:name="lng"/>
            <w:r>
              <w:t xml:space="preserve">22.1.14 LNG</w:t>
            </w:r>
            <w:bookmarkEnd w:id="303"/>
          </w:p>
          <w:tbl>
            <w:tblPr>
              <w:tblStyle w:val="Table"/>
              <w:tblW w:type="pct" w:w="5000"/>
              <w:tblLayout w:type="fixed"/>
              <w:tblLook w:firstRow="1" w:lastRow="0" w:firstColumn="0" w:lastColumn="0" w:noHBand="0" w:noVBand="0" w:val="0020"/>
            </w:tblPr>
            <w:tblGrid>
              <w:gridCol w:w="1234"/>
              <w:gridCol w:w="617"/>
              <w:gridCol w:w="617"/>
              <w:gridCol w:w="617"/>
              <w:gridCol w:w="565"/>
              <w:gridCol w:w="4268"/>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right"/>
                    <w:jc w:val="center"/>
                  </w:pPr>
                  <w:r>
                    <w:t xml:space="preserve">Low</w:t>
                  </w:r>
                </w:p>
              </w:tc>
              <w:tc>
                <w:tcPr/>
                <w:p>
                  <w:pPr>
                    <w:pStyle w:val="Compact"/>
                    <w:jc w:val="righ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LNG Plant Capacity MW</w:t>
                  </w:r>
                </w:p>
              </w:tc>
              <w:tc>
                <w:tcPr/>
                <w:p>
                  <w:pPr>
                    <w:pStyle w:val="Compact"/>
                    <w:jc w:val="right"/>
                    <w:jc w:val="center"/>
                  </w:pPr>
                  <w:r>
                    <w:t xml:space="preserve">140</w:t>
                  </w:r>
                </w:p>
              </w:tc>
              <w:tc>
                <w:tcPr/>
                <w:p>
                  <w:pPr>
                    <w:pStyle w:val="Compact"/>
                    <w:jc w:val="right"/>
                    <w:jc w:val="center"/>
                  </w:pPr>
                  <w:r>
                    <w:t xml:space="preserve">100</w:t>
                  </w:r>
                </w:p>
              </w:tc>
              <w:tc>
                <w:tcPr/>
                <w:p>
                  <w:pPr>
                    <w:pStyle w:val="Compact"/>
                    <w:jc w:val="right"/>
                    <w:jc w:val="center"/>
                  </w:pPr>
                  <w:r>
                    <w:t xml:space="preserve">400</w:t>
                  </w:r>
                </w:p>
              </w:tc>
              <w:tc>
                <w:tcPr/>
                <w:p>
                  <w:pPr>
                    <w:pStyle w:val="Compact"/>
                    <w:jc w:val="left"/>
                    <w:jc w:val="center"/>
                  </w:pPr>
                  <w:r>
                    <w:t xml:space="preserve">MW</w:t>
                  </w:r>
                </w:p>
              </w:tc>
              <w:tc>
                <w:tcPr/>
                <w:p>
                  <w:pPr>
                    <w:pStyle w:val="Compact"/>
                    <w:jc w:val="left"/>
                    <w:jc w:val="center"/>
                  </w:pPr>
                  <w:r>
                    <w:t xml:space="preserve">GoM Energy Roadmap 2024-2033: 140 MW initial; scalable to 400 MW</w:t>
                  </w:r>
                </w:p>
              </w:tc>
            </w:tr>
            <w:tr>
              <w:tc>
                <w:tcPr/>
                <w:p>
                  <w:pPr>
                    <w:pStyle w:val="Compact"/>
                    <w:jc w:val="left"/>
                    <w:jc w:val="center"/>
                  </w:pPr>
                  <w:r>
                    <w:t xml:space="preserve">LNG CAPEX per MW</w:t>
                  </w:r>
                </w:p>
              </w:tc>
              <w:tc>
                <w:tcPr/>
                <w:p>
                  <w:pPr>
                    <w:pStyle w:val="Compact"/>
                    <w:jc w:val="right"/>
                    <w:jc w:val="center"/>
                  </w:pPr>
                  <w:r>
                    <w:t xml:space="preserve">1.2e+06</w:t>
                  </w:r>
                </w:p>
              </w:tc>
              <w:tc>
                <w:tcPr/>
                <w:p>
                  <w:pPr>
                    <w:pStyle w:val="Compact"/>
                    <w:jc w:val="right"/>
                    <w:jc w:val="center"/>
                  </w:pPr>
                  <w:r>
                    <w:t xml:space="preserve">900000</w:t>
                  </w:r>
                </w:p>
              </w:tc>
              <w:tc>
                <w:tcPr/>
                <w:p>
                  <w:pPr>
                    <w:pStyle w:val="Compact"/>
                    <w:jc w:val="right"/>
                    <w:jc w:val="center"/>
                  </w:pPr>
                  <w:r>
                    <w:t xml:space="preserve">1.5e+06</w:t>
                  </w:r>
                </w:p>
              </w:tc>
              <w:tc>
                <w:tcPr/>
                <w:p>
                  <w:pPr>
                    <w:pStyle w:val="Compact"/>
                    <w:jc w:val="left"/>
                    <w:jc w:val="center"/>
                  </w:pPr>
                  <w:r>
                    <w:t xml:space="preserve">USD/MW</w:t>
                  </w:r>
                </w:p>
              </w:tc>
              <w:tc>
                <w:tcPr/>
                <w:p>
                  <w:pPr>
                    <w:pStyle w:val="Compact"/>
                    <w:jc w:val="left"/>
                    <w:jc w:val="center"/>
                  </w:pPr>
                  <w:r>
                    <w:t xml:space="preserve">ADB/Mahurkar LNG Prefeasibility 2023; IEA WEO 2024 small-scale LNG</w:t>
                  </w:r>
                </w:p>
              </w:tc>
            </w:tr>
            <w:tr>
              <w:tc>
                <w:tcPr/>
                <w:p>
                  <w:pPr>
                    <w:pStyle w:val="Compact"/>
                    <w:jc w:val="left"/>
                    <w:jc w:val="center"/>
                  </w:pPr>
                  <w:r>
                    <w:t xml:space="preserve">LNG OPEX per MWh</w:t>
                  </w:r>
                </w:p>
              </w:tc>
              <w:tc>
                <w:tcPr/>
                <w:p>
                  <w:pPr>
                    <w:pStyle w:val="Compact"/>
                    <w:jc w:val="right"/>
                    <w:jc w:val="center"/>
                  </w:pPr>
                  <w:r>
                    <w:t xml:space="preserve">8</w:t>
                  </w:r>
                </w:p>
              </w:tc>
              <w:tc>
                <w:tcPr/>
                <w:p>
                  <w:pPr>
                    <w:pStyle w:val="Compact"/>
                    <w:jc w:val="right"/>
                    <w:jc w:val="center"/>
                  </w:pPr>
                  <w:r>
                    <w:t xml:space="preserve">5</w:t>
                  </w:r>
                </w:p>
              </w:tc>
              <w:tc>
                <w:tcPr/>
                <w:p>
                  <w:pPr>
                    <w:pStyle w:val="Compact"/>
                    <w:jc w:val="right"/>
                    <w:jc w:val="center"/>
                  </w:pPr>
                  <w:r>
                    <w:t xml:space="preserve">12</w:t>
                  </w:r>
                </w:p>
              </w:tc>
              <w:tc>
                <w:tcPr/>
                <w:p>
                  <w:pPr>
                    <w:pStyle w:val="Compact"/>
                    <w:jc w:val="left"/>
                    <w:jc w:val="center"/>
                  </w:pPr>
                  <w:r>
                    <w:t xml:space="preserve">USD/MWh</w:t>
                  </w:r>
                </w:p>
              </w:tc>
              <w:tc>
                <w:tcPr/>
                <w:p>
                  <w:pPr>
                    <w:pStyle w:val="Compact"/>
                    <w:jc w:val="left"/>
                    <w:jc w:val="center"/>
                  </w:pPr>
                  <w:r>
                    <w:t xml:space="preserve">IEA Gas Market Report 2024; Lazard LCOE v16 (2023) gas peaker O&amp;M</w:t>
                  </w:r>
                </w:p>
              </w:tc>
            </w:tr>
            <w:tr>
              <w:tc>
                <w:tcPr/>
                <w:p>
                  <w:pPr>
                    <w:pStyle w:val="Compact"/>
                    <w:jc w:val="left"/>
                    <w:jc w:val="center"/>
                  </w:pPr>
                  <w:r>
                    <w:t xml:space="preserve">LNG Fuel Cost per MWh</w:t>
                  </w:r>
                </w:p>
              </w:tc>
              <w:tc>
                <w:tcPr/>
                <w:p>
                  <w:pPr>
                    <w:pStyle w:val="Compact"/>
                    <w:jc w:val="right"/>
                    <w:jc w:val="center"/>
                  </w:pPr>
                  <w:r>
                    <w:t xml:space="preserve">70</w:t>
                  </w:r>
                </w:p>
              </w:tc>
              <w:tc>
                <w:tcPr/>
                <w:p>
                  <w:pPr>
                    <w:pStyle w:val="Compact"/>
                    <w:jc w:val="right"/>
                    <w:jc w:val="center"/>
                  </w:pPr>
                  <w:r>
                    <w:t xml:space="preserve">50</w:t>
                  </w:r>
                </w:p>
              </w:tc>
              <w:tc>
                <w:tcPr/>
                <w:p>
                  <w:pPr>
                    <w:pStyle w:val="Compact"/>
                    <w:jc w:val="right"/>
                    <w:jc w:val="center"/>
                  </w:pPr>
                  <w:r>
                    <w:t xml:space="preserve">100</w:t>
                  </w:r>
                </w:p>
              </w:tc>
              <w:tc>
                <w:tcPr/>
                <w:p>
                  <w:pPr>
                    <w:pStyle w:val="Compact"/>
                    <w:jc w:val="left"/>
                    <w:jc w:val="center"/>
                  </w:pPr>
                  <w:r>
                    <w:t xml:space="preserve">USD/MWh</w:t>
                  </w:r>
                </w:p>
              </w:tc>
              <w:tc>
                <w:tcPr/>
                <w:p>
                  <w:pPr>
                    <w:pStyle w:val="Compact"/>
                    <w:jc w:val="left"/>
                    <w:jc w:val="center"/>
                  </w:pPr>
                  <w:r>
                    <w:t xml:space="preserve">IEA Gas Market Report 2024; Platts LNG marker Dec 2025 ~$14/MMBtu Ã— 7 MMBtu/MWh</w:t>
                  </w:r>
                </w:p>
              </w:tc>
            </w:tr>
            <w:tr>
              <w:tc>
                <w:tcPr/>
                <w:p>
                  <w:pPr>
                    <w:pStyle w:val="Compact"/>
                    <w:jc w:val="left"/>
                    <w:jc w:val="center"/>
                  </w:pPr>
                  <w:r>
                    <w:t xml:space="preserve">LNG Fuel Escalation</w:t>
                  </w:r>
                </w:p>
              </w:tc>
              <w:tc>
                <w:tcPr/>
                <w:p>
                  <w:pPr>
                    <w:pStyle w:val="Compact"/>
                    <w:jc w:val="right"/>
                    <w:jc w:val="center"/>
                  </w:pPr>
                  <w:r>
                    <w:t xml:space="preserve">0.015</w:t>
                  </w:r>
                </w:p>
              </w:tc>
              <w:tc>
                <w:tcPr/>
                <w:p>
                  <w:pPr>
                    <w:pStyle w:val="Compact"/>
                    <w:jc w:val="right"/>
                    <w:jc w:val="center"/>
                  </w:pPr>
                  <w:r>
                    <w:t xml:space="preserve">0.005</w:t>
                  </w:r>
                </w:p>
              </w:tc>
              <w:tc>
                <w:tcPr/>
                <w:p>
                  <w:pPr>
                    <w:pStyle w:val="Compact"/>
                    <w:jc w:val="right"/>
                    <w:jc w:val="center"/>
                  </w:pPr>
                  <w:r>
                    <w:t xml:space="preserve">0.025</w:t>
                  </w:r>
                </w:p>
              </w:tc>
              <w:tc>
                <w:tcPr/>
                <w:p>
                  <w:pPr>
                    <w:pStyle w:val="Compact"/>
                    <w:jc w:val="left"/>
                    <w:jc w:val="center"/>
                  </w:pPr>
                  <w:r>
                    <w:t xml:space="preserve">%/yr</w:t>
                  </w:r>
                </w:p>
              </w:tc>
              <w:tc>
                <w:tcPr/>
                <w:p>
                  <w:pPr>
                    <w:pStyle w:val="Compact"/>
                    <w:jc w:val="left"/>
                    <w:jc w:val="center"/>
                  </w:pPr>
                  <w:r>
                    <w:t xml:space="preserve">IEA WEO 2024 Stated Policies: LNG real price escalation 1-2%/yr</w:t>
                  </w:r>
                </w:p>
              </w:tc>
            </w:tr>
            <w:tr>
              <w:tc>
                <w:tcPr/>
                <w:p>
                  <w:pPr>
                    <w:pStyle w:val="Compact"/>
                    <w:jc w:val="left"/>
                    <w:jc w:val="center"/>
                  </w:pPr>
                  <w:r>
                    <w:t xml:space="preserve">LNG Emission Factor</w:t>
                  </w:r>
                </w:p>
              </w:tc>
              <w:tc>
                <w:tcPr/>
                <w:p>
                  <w:pPr>
                    <w:pStyle w:val="Compact"/>
                    <w:jc w:val="right"/>
                    <w:jc w:val="center"/>
                  </w:pPr>
                  <w:r>
                    <w:t xml:space="preserve">0.4</w:t>
                  </w:r>
                </w:p>
              </w:tc>
              <w:tc>
                <w:tcPr/>
                <w:p>
                  <w:pPr>
                    <w:pStyle w:val="Compact"/>
                    <w:jc w:val="right"/>
                    <w:jc w:val="center"/>
                  </w:pPr>
                  <w:r>
                    <w:t xml:space="preserve">0.35</w:t>
                  </w:r>
                </w:p>
              </w:tc>
              <w:tc>
                <w:tcPr/>
                <w:p>
                  <w:pPr>
                    <w:pStyle w:val="Compact"/>
                    <w:jc w:val="right"/>
                    <w:jc w:val="center"/>
                  </w:pPr>
                  <w:r>
                    <w:t xml:space="preserve">0.45</w:t>
                  </w:r>
                </w:p>
              </w:tc>
              <w:tc>
                <w:tcPr/>
                <w:p>
                  <w:pPr>
                    <w:pStyle w:val="Compact"/>
                    <w:jc w:val="left"/>
                    <w:jc w:val="center"/>
                  </w:pPr>
                  <w:r>
                    <w:t xml:space="preserve">kgCO2/kWh</w:t>
                  </w:r>
                </w:p>
              </w:tc>
              <w:tc>
                <w:tcPr/>
                <w:p>
                  <w:pPr>
                    <w:pStyle w:val="Compact"/>
                    <w:jc w:val="left"/>
                    <w:jc w:val="center"/>
                  </w:pPr>
                  <w:r>
                    <w:t xml:space="preserve">IPCC 2006 Vol.2 Ch.2 Table 2.2: natural gas 56.1 kgCO2/GJ; 40-45% efficiency â†’…</w:t>
                  </w:r>
                </w:p>
              </w:tc>
            </w:tr>
            <w:tr>
              <w:tc>
                <w:tcPr/>
                <w:p>
                  <w:pPr>
                    <w:pStyle w:val="Compact"/>
                    <w:jc w:val="left"/>
                    <w:jc w:val="center"/>
                  </w:pPr>
                  <w:r>
                    <w:t xml:space="preserve">LNG Construction Start</w:t>
                  </w:r>
                </w:p>
              </w:tc>
              <w:tc>
                <w:tcPr/>
                <w:p>
                  <w:pPr>
                    <w:pStyle w:val="Compact"/>
                    <w:jc w:val="right"/>
                    <w:jc w:val="center"/>
                  </w:pPr>
                  <w:r>
                    <w:t xml:space="preserve">2028</w:t>
                  </w:r>
                </w:p>
              </w:tc>
              <w:tc>
                <w:tcPr/>
                <w:p>
                  <w:pPr>
                    <w:pStyle w:val="Compact"/>
                    <w:jc w:val="right"/>
                    <w:jc w:val="center"/>
                  </w:pPr>
                  <w:r>
                    <w:t xml:space="preserve">2027</w:t>
                  </w:r>
                </w:p>
              </w:tc>
              <w:tc>
                <w:tcPr/>
                <w:p>
                  <w:pPr>
                    <w:pStyle w:val="Compact"/>
                    <w:jc w:val="right"/>
                    <w:jc w:val="center"/>
                  </w:pPr>
                  <w:r>
                    <w:t xml:space="preserve">2030</w:t>
                  </w:r>
                </w:p>
              </w:tc>
              <w:tc>
                <w:tcPr/>
                <w:p>
                  <w:pPr>
                    <w:pStyle w:val="Compact"/>
                    <w:jc w:val="left"/>
                    <w:jc w:val="center"/>
                  </w:pPr>
                  <w:r>
                    <w:t xml:space="preserve">year</w:t>
                  </w:r>
                </w:p>
              </w:tc>
              <w:tc>
                <w:tcPr/>
                <w:p>
                  <w:pPr>
                    <w:pStyle w:val="Compact"/>
                    <w:jc w:val="left"/>
                    <w:jc w:val="center"/>
                  </w:pPr>
                  <w:r>
                    <w:t xml:space="preserve">GoM Energy Roadmap: Gulhifalhu terminal planning underway; 3-4 yr construction</w:t>
                  </w:r>
                </w:p>
              </w:tc>
            </w:tr>
            <w:tr>
              <w:tc>
                <w:tcPr/>
                <w:p>
                  <w:pPr>
                    <w:pStyle w:val="Compact"/>
                    <w:jc w:val="left"/>
                    <w:jc w:val="center"/>
                  </w:pPr>
                  <w:r>
                    <w:t xml:space="preserve">LNG Online Year</w:t>
                  </w:r>
                </w:p>
              </w:tc>
              <w:tc>
                <w:tcPr/>
                <w:p>
                  <w:pPr>
                    <w:pStyle w:val="Compact"/>
                    <w:jc w:val="right"/>
                    <w:jc w:val="center"/>
                  </w:pPr>
                  <w:r>
                    <w:t xml:space="preserve">2031</w:t>
                  </w:r>
                </w:p>
              </w:tc>
              <w:tc>
                <w:tcPr/>
                <w:p>
                  <w:pPr>
                    <w:pStyle w:val="Compact"/>
                    <w:jc w:val="right"/>
                    <w:jc w:val="center"/>
                  </w:pPr>
                  <w:r>
                    <w:t xml:space="preserve">2030</w:t>
                  </w:r>
                </w:p>
              </w:tc>
              <w:tc>
                <w:tcPr/>
                <w:p>
                  <w:pPr>
                    <w:pStyle w:val="Compact"/>
                    <w:jc w:val="right"/>
                    <w:jc w:val="center"/>
                  </w:pPr>
                  <w:r>
                    <w:t xml:space="preserve">2033</w:t>
                  </w:r>
                </w:p>
              </w:tc>
              <w:tc>
                <w:tcPr/>
                <w:p>
                  <w:pPr>
                    <w:pStyle w:val="Compact"/>
                    <w:jc w:val="left"/>
                    <w:jc w:val="center"/>
                  </w:pPr>
                  <w:r>
                    <w:t xml:space="preserve">year</w:t>
                  </w:r>
                </w:p>
              </w:tc>
              <w:tc>
                <w:tcPr/>
                <w:p>
                  <w:pPr>
                    <w:pStyle w:val="Compact"/>
                    <w:jc w:val="left"/>
                    <w:jc w:val="center"/>
                  </w:pPr>
                  <w:r>
                    <w:t xml:space="preserve">GoM Energy Roadmap: 3-year construction from 2028</w:t>
                  </w:r>
                </w:p>
              </w:tc>
            </w:tr>
            <w:tr>
              <w:tc>
                <w:tcPr/>
                <w:p>
                  <w:pPr>
                    <w:pStyle w:val="Compact"/>
                    <w:jc w:val="left"/>
                    <w:jc w:val="center"/>
                  </w:pPr>
                  <w:r>
                    <w:t xml:space="preserve">LNG Plant Lifetime</w:t>
                  </w:r>
                </w:p>
              </w:tc>
              <w:tc>
                <w:tcPr/>
                <w:p>
                  <w:pPr>
                    <w:pStyle w:val="Compact"/>
                    <w:jc w:val="right"/>
                    <w:jc w:val="center"/>
                  </w:pPr>
                  <w:r>
                    <w:t xml:space="preserve">30</w:t>
                  </w:r>
                </w:p>
              </w:tc>
              <w:tc>
                <w:tcPr/>
                <w:p>
                  <w:pPr>
                    <w:pStyle w:val="Compact"/>
                    <w:jc w:val="right"/>
                    <w:jc w:val="center"/>
                  </w:pPr>
                  <w:r>
                    <w:t xml:space="preserve">25</w:t>
                  </w:r>
                </w:p>
              </w:tc>
              <w:tc>
                <w:tcPr/>
                <w:p>
                  <w:pPr>
                    <w:pStyle w:val="Compact"/>
                    <w:jc w:val="right"/>
                    <w:jc w:val="center"/>
                  </w:pPr>
                  <w:r>
                    <w:t xml:space="preserve">35</w:t>
                  </w:r>
                </w:p>
              </w:tc>
              <w:tc>
                <w:tcPr/>
                <w:p>
                  <w:pPr>
                    <w:pStyle w:val="Compact"/>
                    <w:jc w:val="left"/>
                    <w:jc w:val="center"/>
                  </w:pPr>
                  <w:r>
                    <w:t xml:space="preserve">years</w:t>
                  </w:r>
                </w:p>
              </w:tc>
              <w:tc>
                <w:tcPr/>
                <w:p>
                  <w:pPr>
                    <w:pStyle w:val="Compact"/>
                    <w:jc w:val="left"/>
                    <w:jc w:val="center"/>
                  </w:pPr>
                  <w:r>
                    <w:t xml:space="preserve">IEA WEO 2024; typical CCGT/gas engine lifetime</w:t>
                  </w:r>
                </w:p>
              </w:tc>
            </w:tr>
            <w:tr>
              <w:tc>
                <w:tcPr/>
                <w:p>
                  <w:pPr>
                    <w:pStyle w:val="Compact"/>
                    <w:jc w:val="left"/>
                    <w:jc w:val="center"/>
                  </w:pPr>
                  <w:r>
                    <w:t xml:space="preserve">LNG Capacity Factor</w:t>
                  </w:r>
                </w:p>
              </w:tc>
              <w:tc>
                <w:tcPr/>
                <w:p>
                  <w:pPr>
                    <w:pStyle w:val="Compact"/>
                    <w:jc w:val="right"/>
                    <w:jc w:val="center"/>
                  </w:pPr>
                  <w:r>
                    <w:t xml:space="preserve">0.8</w:t>
                  </w:r>
                </w:p>
              </w:tc>
              <w:tc>
                <w:tcPr/>
                <w:p>
                  <w:pPr>
                    <w:pStyle w:val="Compact"/>
                    <w:jc w:val="right"/>
                    <w:jc w:val="center"/>
                  </w:pPr>
                  <w:r>
                    <w:t xml:space="preserve">0.7</w:t>
                  </w:r>
                </w:p>
              </w:tc>
              <w:tc>
                <w:tcPr/>
                <w:p>
                  <w:pPr>
                    <w:pStyle w:val="Compact"/>
                    <w:jc w:val="right"/>
                    <w:jc w:val="center"/>
                  </w:pPr>
                  <w:r>
                    <w:t xml:space="preserve">0.9</w:t>
                  </w:r>
                </w:p>
              </w:tc>
              <w:tc>
                <w:tcPr/>
                <w:p>
                  <w:pPr>
                    <w:pStyle w:val="Compact"/>
                    <w:jc w:val="left"/>
                    <w:jc w:val="center"/>
                  </w:pPr>
                  <w:r>
                    <w:t xml:space="preserve">fraction</w:t>
                  </w:r>
                </w:p>
              </w:tc>
              <w:tc>
                <w:tcPr/>
                <w:p>
                  <w:pPr>
                    <w:pStyle w:val="Compact"/>
                    <w:jc w:val="left"/>
                    <w:jc w:val="center"/>
                  </w:pPr>
                  <w:r>
                    <w:t xml:space="preserve">IEA WEO 2024; baseload LNG in island context</w:t>
                  </w:r>
                </w:p>
              </w:tc>
            </w:tr>
          </w:tbl>
          <w:p>
            <w:pPr>
              <w:pStyle w:val="Heading3"/>
              <w:jc w:val="center"/>
            </w:pPr>
            <w:bookmarkStart w:id="304" w:name="mca-scores-lng"/>
            <w:r>
              <w:t xml:space="preserve">22.1.15 MCA Scores LNG</w:t>
            </w:r>
            <w:bookmarkEnd w:id="304"/>
          </w:p>
          <w:tbl>
            <w:tblPr>
              <w:tblStyle w:val="Table"/>
              <w:tblW w:type="pct" w:w="5000"/>
              <w:tblLayout w:type="fixed"/>
              <w:tblLook w:firstRow="1" w:lastRow="0" w:firstColumn="0" w:lastColumn="0" w:noHBand="0" w:noVBand="0" w:val="0020"/>
            </w:tblPr>
            <w:tblGrid>
              <w:gridCol w:w="1550"/>
              <w:gridCol w:w="498"/>
              <w:gridCol w:w="387"/>
              <w:gridCol w:w="443"/>
              <w:gridCol w:w="443"/>
              <w:gridCol w:w="4596"/>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right"/>
                    <w:jc w:val="center"/>
                  </w:pPr>
                  <w:r>
                    <w:t xml:space="preserve">Low</w:t>
                  </w:r>
                </w:p>
              </w:tc>
              <w:tc>
                <w:tcPr/>
                <w:p>
                  <w:pPr>
                    <w:pStyle w:val="Compact"/>
                    <w:jc w:val="righ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Implementation Feasibility</w:t>
                  </w:r>
                </w:p>
              </w:tc>
              <w:tc>
                <w:tcPr/>
                <w:p>
                  <w:pPr>
                    <w:pStyle w:val="Compact"/>
                    <w:jc w:val="right"/>
                    <w:jc w:val="center"/>
                  </w:pPr>
                  <w:r>
                    <w:t xml:space="preserve">0.6</w:t>
                  </w:r>
                </w:p>
              </w:tc>
              <w:tc>
                <w:tcPr/>
                <w:p>
                  <w:pPr>
                    <w:pStyle w:val="Compact"/>
                    <w:jc w:val="right"/>
                    <w:jc w:val="center"/>
                  </w:pPr>
                  <w:r>
                    <w:t xml:space="preserve">0.4</w:t>
                  </w:r>
                </w:p>
              </w:tc>
              <w:tc>
                <w:tcPr/>
                <w:p>
                  <w:pPr>
                    <w:pStyle w:val="Compact"/>
                    <w:jc w:val="right"/>
                    <w:jc w:val="center"/>
                  </w:pPr>
                  <w:r>
                    <w:t xml:space="preserve">0.75</w:t>
                  </w:r>
                </w:p>
              </w:tc>
              <w:tc>
                <w:tcPr/>
                <w:p>
                  <w:pPr>
                    <w:pStyle w:val="Compact"/>
                    <w:jc w:val="left"/>
                    <w:jc w:val="center"/>
                  </w:pPr>
                  <w:r>
                    <w:t xml:space="preserve">score</w:t>
                  </w:r>
                </w:p>
              </w:tc>
              <w:tc>
                <w:tcPr/>
                <w:p>
                  <w:pPr>
                    <w:pStyle w:val="Compact"/>
                    <w:jc w:val="left"/>
                    <w:jc w:val="center"/>
                  </w:pPr>
                  <w:r>
                    <w:t xml:space="preserve">Expert assessment â€” proven technology; single-site construction; moderate comp…</w:t>
                  </w:r>
                </w:p>
              </w:tc>
            </w:tr>
            <w:tr>
              <w:tc>
                <w:tcPr/>
                <w:p>
                  <w:pPr>
                    <w:pStyle w:val="Compact"/>
                    <w:jc w:val="left"/>
                    <w:jc w:val="center"/>
                  </w:pPr>
                  <w:r>
                    <w:t xml:space="preserve">Social Equity</w:t>
                  </w:r>
                </w:p>
              </w:tc>
              <w:tc>
                <w:tcPr/>
                <w:p>
                  <w:pPr>
                    <w:pStyle w:val="Compact"/>
                    <w:jc w:val="right"/>
                    <w:jc w:val="center"/>
                  </w:pPr>
                  <w:r>
                    <w:t xml:space="preserve">0.5</w:t>
                  </w:r>
                </w:p>
              </w:tc>
              <w:tc>
                <w:tcPr/>
                <w:p>
                  <w:pPr>
                    <w:pStyle w:val="Compact"/>
                    <w:jc w:val="right"/>
                    <w:jc w:val="center"/>
                  </w:pPr>
                  <w:r>
                    <w:t xml:space="preserve">0.3</w:t>
                  </w:r>
                </w:p>
              </w:tc>
              <w:tc>
                <w:tcPr/>
                <w:p>
                  <w:pPr>
                    <w:pStyle w:val="Compact"/>
                    <w:jc w:val="right"/>
                    <w:jc w:val="center"/>
                  </w:pPr>
                  <w:r>
                    <w:t xml:space="preserve">0.65</w:t>
                  </w:r>
                </w:p>
              </w:tc>
              <w:tc>
                <w:tcPr/>
                <w:p>
                  <w:pPr>
                    <w:pStyle w:val="Compact"/>
                    <w:jc w:val="left"/>
                    <w:jc w:val="center"/>
                  </w:pPr>
                  <w:r>
                    <w:t xml:space="preserve">score</w:t>
                  </w:r>
                </w:p>
              </w:tc>
              <w:tc>
                <w:tcPr/>
                <w:p>
                  <w:pPr>
                    <w:pStyle w:val="Compact"/>
                    <w:jc w:val="left"/>
                    <w:jc w:val="center"/>
                  </w:pPr>
                  <w:r>
                    <w:t xml:space="preserve">Expert assessment â€” benefits concentrated in Greater MalÃ©; outer islands same…</w:t>
                  </w:r>
                </w:p>
              </w:tc>
            </w:tr>
            <w:tr>
              <w:tc>
                <w:tcPr/>
                <w:p>
                  <w:pPr>
                    <w:pStyle w:val="Compact"/>
                    <w:jc w:val="left"/>
                    <w:jc w:val="center"/>
                  </w:pPr>
                  <w:r>
                    <w:t xml:space="preserve">Climate Resilience</w:t>
                  </w:r>
                </w:p>
              </w:tc>
              <w:tc>
                <w:tcPr/>
                <w:p>
                  <w:pPr>
                    <w:pStyle w:val="Compact"/>
                    <w:jc w:val="right"/>
                    <w:jc w:val="center"/>
                  </w:pPr>
                  <w:r>
                    <w:t xml:space="preserve">0.55</w:t>
                  </w:r>
                </w:p>
              </w:tc>
              <w:tc>
                <w:tcPr/>
                <w:p>
                  <w:pPr>
                    <w:pStyle w:val="Compact"/>
                    <w:jc w:val="right"/>
                    <w:jc w:val="center"/>
                  </w:pPr>
                  <w:r>
                    <w:t xml:space="preserve">0.35</w:t>
                  </w:r>
                </w:p>
              </w:tc>
              <w:tc>
                <w:tcPr/>
                <w:p>
                  <w:pPr>
                    <w:pStyle w:val="Compact"/>
                    <w:jc w:val="right"/>
                    <w:jc w:val="center"/>
                  </w:pPr>
                  <w:r>
                    <w:t xml:space="preserve">0.7</w:t>
                  </w:r>
                </w:p>
              </w:tc>
              <w:tc>
                <w:tcPr/>
                <w:p>
                  <w:pPr>
                    <w:pStyle w:val="Compact"/>
                    <w:jc w:val="left"/>
                    <w:jc w:val="center"/>
                  </w:pPr>
                  <w:r>
                    <w:t xml:space="preserve">score</w:t>
                  </w:r>
                </w:p>
              </w:tc>
              <w:tc>
                <w:tcPr/>
                <w:p>
                  <w:pPr>
                    <w:pStyle w:val="Compact"/>
                    <w:jc w:val="left"/>
                    <w:jc w:val="center"/>
                  </w:pPr>
                  <w:r>
                    <w:t xml:space="preserve">Expert assessment â€” LNG supply chain vulnerability; but diversifies away from …</w:t>
                  </w:r>
                </w:p>
              </w:tc>
            </w:tr>
          </w:tbl>
          <w:p>
            <w:pPr>
              <w:pStyle w:val="Heading3"/>
              <w:jc w:val="center"/>
            </w:pPr>
            <w:bookmarkStart w:id="305" w:name="mca-scores-ns"/>
            <w:r>
              <w:t xml:space="preserve">22.1.16 MCA Scores NS</w:t>
            </w:r>
            <w:bookmarkEnd w:id="305"/>
          </w:p>
          <w:tbl>
            <w:tblPr>
              <w:tblStyle w:val="Table"/>
              <w:tblW w:type="pct" w:w="5000"/>
              <w:tblLayout w:type="fixed"/>
              <w:tblLook w:firstRow="1" w:lastRow="0" w:firstColumn="0" w:lastColumn="0" w:noHBand="0" w:noVBand="0" w:val="0020"/>
            </w:tblPr>
            <w:tblGrid>
              <w:gridCol w:w="1550"/>
              <w:gridCol w:w="498"/>
              <w:gridCol w:w="387"/>
              <w:gridCol w:w="443"/>
              <w:gridCol w:w="443"/>
              <w:gridCol w:w="4596"/>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right"/>
                    <w:jc w:val="center"/>
                  </w:pPr>
                  <w:r>
                    <w:t xml:space="preserve">Low</w:t>
                  </w:r>
                </w:p>
              </w:tc>
              <w:tc>
                <w:tcPr/>
                <w:p>
                  <w:pPr>
                    <w:pStyle w:val="Compact"/>
                    <w:jc w:val="righ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Implementation Feasibility</w:t>
                  </w:r>
                </w:p>
              </w:tc>
              <w:tc>
                <w:tcPr/>
                <w:p>
                  <w:pPr>
                    <w:pStyle w:val="Compact"/>
                    <w:jc w:val="right"/>
                    <w:jc w:val="center"/>
                  </w:pPr>
                  <w:r>
                    <w:t xml:space="preserve">0.6</w:t>
                  </w:r>
                </w:p>
              </w:tc>
              <w:tc>
                <w:tcPr/>
                <w:p>
                  <w:pPr>
                    <w:pStyle w:val="Compact"/>
                    <w:jc w:val="right"/>
                    <w:jc w:val="center"/>
                  </w:pPr>
                  <w:r>
                    <w:t xml:space="preserve">0.4</w:t>
                  </w:r>
                </w:p>
              </w:tc>
              <w:tc>
                <w:tcPr/>
                <w:p>
                  <w:pPr>
                    <w:pStyle w:val="Compact"/>
                    <w:jc w:val="right"/>
                    <w:jc w:val="center"/>
                  </w:pPr>
                  <w:r>
                    <w:t xml:space="preserve">0.75</w:t>
                  </w:r>
                </w:p>
              </w:tc>
              <w:tc>
                <w:tcPr/>
                <w:p>
                  <w:pPr>
                    <w:pStyle w:val="Compact"/>
                    <w:jc w:val="left"/>
                    <w:jc w:val="center"/>
                  </w:pPr>
                  <w:r>
                    <w:t xml:space="preserve">score</w:t>
                  </w:r>
                </w:p>
              </w:tc>
              <w:tc>
                <w:tcPr/>
                <w:p>
                  <w:pPr>
                    <w:pStyle w:val="Compact"/>
                    <w:jc w:val="left"/>
                    <w:jc w:val="center"/>
                  </w:pPr>
                  <w:r>
                    <w:t xml:space="preserve">Expert assessment â€” uninhabited island solar farms + submarine cables to nearb…</w:t>
                  </w:r>
                </w:p>
              </w:tc>
            </w:tr>
            <w:tr>
              <w:tc>
                <w:tcPr/>
                <w:p>
                  <w:pPr>
                    <w:pStyle w:val="Compact"/>
                    <w:jc w:val="left"/>
                    <w:jc w:val="center"/>
                  </w:pPr>
                  <w:r>
                    <w:t xml:space="preserve">Social Equity</w:t>
                  </w:r>
                </w:p>
              </w:tc>
              <w:tc>
                <w:tcPr/>
                <w:p>
                  <w:pPr>
                    <w:pStyle w:val="Compact"/>
                    <w:jc w:val="right"/>
                    <w:jc w:val="center"/>
                  </w:pPr>
                  <w:r>
                    <w:t xml:space="preserve">0.75</w:t>
                  </w:r>
                </w:p>
              </w:tc>
              <w:tc>
                <w:tcPr/>
                <w:p>
                  <w:pPr>
                    <w:pStyle w:val="Compact"/>
                    <w:jc w:val="right"/>
                    <w:jc w:val="center"/>
                  </w:pPr>
                  <w:r>
                    <w:t xml:space="preserve">0.55</w:t>
                  </w:r>
                </w:p>
              </w:tc>
              <w:tc>
                <w:tcPr/>
                <w:p>
                  <w:pPr>
                    <w:pStyle w:val="Compact"/>
                    <w:jc w:val="right"/>
                    <w:jc w:val="center"/>
                  </w:pPr>
                  <w:r>
                    <w:t xml:space="preserve">0.9</w:t>
                  </w:r>
                </w:p>
              </w:tc>
              <w:tc>
                <w:tcPr/>
                <w:p>
                  <w:pPr>
                    <w:pStyle w:val="Compact"/>
                    <w:jc w:val="left"/>
                    <w:jc w:val="center"/>
                  </w:pPr>
                  <w:r>
                    <w:t xml:space="preserve">score</w:t>
                  </w:r>
                </w:p>
              </w:tc>
              <w:tc>
                <w:tcPr/>
                <w:p>
                  <w:pPr>
                    <w:pStyle w:val="Compact"/>
                    <w:jc w:val="left"/>
                    <w:jc w:val="center"/>
                  </w:pPr>
                  <w:r>
                    <w:t xml:space="preserve">Expert assessment â€” benefits distributed across atolls with nearby uninhabited…</w:t>
                  </w:r>
                </w:p>
              </w:tc>
            </w:tr>
            <w:tr>
              <w:tc>
                <w:tcPr/>
                <w:p>
                  <w:pPr>
                    <w:pStyle w:val="Compact"/>
                    <w:jc w:val="left"/>
                    <w:jc w:val="center"/>
                  </w:pPr>
                  <w:r>
                    <w:t xml:space="preserve">Climate Resilience</w:t>
                  </w:r>
                </w:p>
              </w:tc>
              <w:tc>
                <w:tcPr/>
                <w:p>
                  <w:pPr>
                    <w:pStyle w:val="Compact"/>
                    <w:jc w:val="right"/>
                    <w:jc w:val="center"/>
                  </w:pPr>
                  <w:r>
                    <w:t xml:space="preserve">0.75</w:t>
                  </w:r>
                </w:p>
              </w:tc>
              <w:tc>
                <w:tcPr/>
                <w:p>
                  <w:pPr>
                    <w:pStyle w:val="Compact"/>
                    <w:jc w:val="right"/>
                    <w:jc w:val="center"/>
                  </w:pPr>
                  <w:r>
                    <w:t xml:space="preserve">0.55</w:t>
                  </w:r>
                </w:p>
              </w:tc>
              <w:tc>
                <w:tcPr/>
                <w:p>
                  <w:pPr>
                    <w:pStyle w:val="Compact"/>
                    <w:jc w:val="right"/>
                    <w:jc w:val="center"/>
                  </w:pPr>
                  <w:r>
                    <w:t xml:space="preserve">0.9</w:t>
                  </w:r>
                </w:p>
              </w:tc>
              <w:tc>
                <w:tcPr/>
                <w:p>
                  <w:pPr>
                    <w:pStyle w:val="Compact"/>
                    <w:jc w:val="left"/>
                    <w:jc w:val="center"/>
                  </w:pPr>
                  <w:r>
                    <w:t xml:space="preserve">score</w:t>
                  </w:r>
                </w:p>
              </w:tc>
              <w:tc>
                <w:tcPr/>
                <w:p>
                  <w:pPr>
                    <w:pStyle w:val="Compact"/>
                    <w:jc w:val="left"/>
                    <w:jc w:val="center"/>
                  </w:pPr>
                  <w:r>
                    <w:t xml:space="preserve">Expert assessment â€” distributed solar assets; no single failure point; cyclone…</w:t>
                  </w:r>
                </w:p>
              </w:tc>
            </w:tr>
          </w:tbl>
          <w:p>
            <w:pPr>
              <w:pStyle w:val="Heading3"/>
              <w:jc w:val="center"/>
            </w:pPr>
            <w:bookmarkStart w:id="306" w:name="mca-scores-mx"/>
            <w:r>
              <w:t xml:space="preserve">22.1.17 MCA Scores MX</w:t>
            </w:r>
            <w:bookmarkEnd w:id="306"/>
          </w:p>
          <w:tbl>
            <w:tblPr>
              <w:tblStyle w:val="Table"/>
              <w:tblW w:type="pct" w:w="5000"/>
              <w:tblLayout w:type="fixed"/>
              <w:tblLook w:firstRow="1" w:lastRow="0" w:firstColumn="0" w:lastColumn="0" w:noHBand="0" w:noVBand="0" w:val="0020"/>
            </w:tblPr>
            <w:tblGrid>
              <w:gridCol w:w="1550"/>
              <w:gridCol w:w="498"/>
              <w:gridCol w:w="387"/>
              <w:gridCol w:w="443"/>
              <w:gridCol w:w="443"/>
              <w:gridCol w:w="4596"/>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right"/>
                    <w:jc w:val="center"/>
                  </w:pPr>
                  <w:r>
                    <w:t xml:space="preserve">Low</w:t>
                  </w:r>
                </w:p>
              </w:tc>
              <w:tc>
                <w:tcPr/>
                <w:p>
                  <w:pPr>
                    <w:pStyle w:val="Compact"/>
                    <w:jc w:val="righ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Implementation Feasibility</w:t>
                  </w:r>
                </w:p>
              </w:tc>
              <w:tc>
                <w:tcPr/>
                <w:p>
                  <w:pPr>
                    <w:pStyle w:val="Compact"/>
                    <w:jc w:val="right"/>
                    <w:jc w:val="center"/>
                  </w:pPr>
                  <w:r>
                    <w:t xml:space="preserve">0.4</w:t>
                  </w:r>
                </w:p>
              </w:tc>
              <w:tc>
                <w:tcPr/>
                <w:p>
                  <w:pPr>
                    <w:pStyle w:val="Compact"/>
                    <w:jc w:val="right"/>
                    <w:jc w:val="center"/>
                  </w:pPr>
                  <w:r>
                    <w:t xml:space="preserve">0.25</w:t>
                  </w:r>
                </w:p>
              </w:tc>
              <w:tc>
                <w:tcPr/>
                <w:p>
                  <w:pPr>
                    <w:pStyle w:val="Compact"/>
                    <w:jc w:val="right"/>
                    <w:jc w:val="center"/>
                  </w:pPr>
                  <w:r>
                    <w:t xml:space="preserve">0.55</w:t>
                  </w:r>
                </w:p>
              </w:tc>
              <w:tc>
                <w:tcPr/>
                <w:p>
                  <w:pPr>
                    <w:pStyle w:val="Compact"/>
                    <w:jc w:val="left"/>
                    <w:jc w:val="center"/>
                  </w:pPr>
                  <w:r>
                    <w:t xml:space="preserve">score</w:t>
                  </w:r>
                </w:p>
              </w:tc>
              <w:tc>
                <w:tcPr/>
                <w:p>
                  <w:pPr>
                    <w:pStyle w:val="Compact"/>
                    <w:jc w:val="left"/>
                    <w:jc w:val="center"/>
                  </w:pPr>
                  <w:r>
                    <w:t xml:space="preserve">Expert assessment â€” requires floating solar (novel for SIDS) + rooftop + near-…</w:t>
                  </w:r>
                </w:p>
              </w:tc>
            </w:tr>
            <w:tr>
              <w:tc>
                <w:tcPr/>
                <w:p>
                  <w:pPr>
                    <w:pStyle w:val="Compact"/>
                    <w:jc w:val="left"/>
                    <w:jc w:val="center"/>
                  </w:pPr>
                  <w:r>
                    <w:t xml:space="preserve">Social Equity</w:t>
                  </w:r>
                </w:p>
              </w:tc>
              <w:tc>
                <w:tcPr/>
                <w:p>
                  <w:pPr>
                    <w:pStyle w:val="Compact"/>
                    <w:jc w:val="right"/>
                    <w:jc w:val="center"/>
                  </w:pPr>
                  <w:r>
                    <w:t xml:space="preserve">0.8</w:t>
                  </w:r>
                </w:p>
              </w:tc>
              <w:tc>
                <w:tcPr/>
                <w:p>
                  <w:pPr>
                    <w:pStyle w:val="Compact"/>
                    <w:jc w:val="right"/>
                    <w:jc w:val="center"/>
                  </w:pPr>
                  <w:r>
                    <w:t xml:space="preserve">0.6</w:t>
                  </w:r>
                </w:p>
              </w:tc>
              <w:tc>
                <w:tcPr/>
                <w:p>
                  <w:pPr>
                    <w:pStyle w:val="Compact"/>
                    <w:jc w:val="right"/>
                    <w:jc w:val="center"/>
                  </w:pPr>
                  <w:r>
                    <w:t xml:space="preserve">0.95</w:t>
                  </w:r>
                </w:p>
              </w:tc>
              <w:tc>
                <w:tcPr/>
                <w:p>
                  <w:pPr>
                    <w:pStyle w:val="Compact"/>
                    <w:jc w:val="left"/>
                    <w:jc w:val="center"/>
                  </w:pPr>
                  <w:r>
                    <w:t xml:space="preserve">score</w:t>
                  </w:r>
                </w:p>
              </w:tc>
              <w:tc>
                <w:tcPr/>
                <w:p>
                  <w:pPr>
                    <w:pStyle w:val="Compact"/>
                    <w:jc w:val="left"/>
                    <w:jc w:val="center"/>
                  </w:pPr>
                  <w:r>
                    <w:t xml:space="preserve">Expert assessment â€” most comprehensive RE coverage; all islands benefit; float…</w:t>
                  </w:r>
                </w:p>
              </w:tc>
            </w:tr>
            <w:tr>
              <w:tc>
                <w:tcPr/>
                <w:p>
                  <w:pPr>
                    <w:pStyle w:val="Compact"/>
                    <w:jc w:val="left"/>
                    <w:jc w:val="center"/>
                  </w:pPr>
                  <w:r>
                    <w:t xml:space="preserve">Climate Resilience</w:t>
                  </w:r>
                </w:p>
              </w:tc>
              <w:tc>
                <w:tcPr/>
                <w:p>
                  <w:pPr>
                    <w:pStyle w:val="Compact"/>
                    <w:jc w:val="right"/>
                    <w:jc w:val="center"/>
                  </w:pPr>
                  <w:r>
                    <w:t xml:space="preserve">0.85</w:t>
                  </w:r>
                </w:p>
              </w:tc>
              <w:tc>
                <w:tcPr/>
                <w:p>
                  <w:pPr>
                    <w:pStyle w:val="Compact"/>
                    <w:jc w:val="right"/>
                    <w:jc w:val="center"/>
                  </w:pPr>
                  <w:r>
                    <w:t xml:space="preserve">0.65</w:t>
                  </w:r>
                </w:p>
              </w:tc>
              <w:tc>
                <w:tcPr/>
                <w:p>
                  <w:pPr>
                    <w:pStyle w:val="Compact"/>
                    <w:jc w:val="right"/>
                    <w:jc w:val="center"/>
                  </w:pPr>
                  <w:r>
                    <w:t xml:space="preserve">0.95</w:t>
                  </w:r>
                </w:p>
              </w:tc>
              <w:tc>
                <w:tcPr/>
                <w:p>
                  <w:pPr>
                    <w:pStyle w:val="Compact"/>
                    <w:jc w:val="left"/>
                    <w:jc w:val="center"/>
                  </w:pPr>
                  <w:r>
                    <w:t xml:space="preserve">score</w:t>
                  </w:r>
                </w:p>
              </w:tc>
              <w:tc>
                <w:tcPr/>
                <w:p>
                  <w:pPr>
                    <w:pStyle w:val="Compact"/>
                    <w:jc w:val="left"/>
                    <w:jc w:val="center"/>
                  </w:pPr>
                  <w:r>
                    <w:t xml:space="preserve">Expert assessment â€” maximum fuel independence; most diversified technology por…</w:t>
                  </w:r>
                </w:p>
              </w:tc>
            </w:tr>
          </w:tbl>
          <w:p>
            <w:pPr>
              <w:pStyle w:val="Heading3"/>
              <w:jc w:val="center"/>
            </w:pPr>
            <w:bookmarkStart w:id="307" w:name="wte"/>
            <w:r>
              <w:t xml:space="preserve">22.1.18 WTE</w:t>
            </w:r>
            <w:bookmarkEnd w:id="307"/>
          </w:p>
          <w:tbl>
            <w:tblPr>
              <w:tblStyle w:val="Table"/>
              <w:tblW w:type="pct" w:w="5000"/>
              <w:tblLayout w:type="fixed"/>
              <w:tblLook w:firstRow="1" w:lastRow="0" w:firstColumn="0" w:lastColumn="0" w:noHBand="0" w:noVBand="0" w:val="0020"/>
            </w:tblPr>
            <w:tblGrid>
              <w:gridCol w:w="1256"/>
              <w:gridCol w:w="491"/>
              <w:gridCol w:w="491"/>
              <w:gridCol w:w="546"/>
              <w:gridCol w:w="600"/>
              <w:gridCol w:w="4533"/>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right"/>
                    <w:jc w:val="center"/>
                  </w:pPr>
                  <w:r>
                    <w:t xml:space="preserve">Low</w:t>
                  </w:r>
                </w:p>
              </w:tc>
              <w:tc>
                <w:tcPr/>
                <w:p>
                  <w:pPr>
                    <w:pStyle w:val="Compact"/>
                    <w:jc w:val="righ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WTE Total Capacity MW</w:t>
                  </w:r>
                </w:p>
              </w:tc>
              <w:tc>
                <w:tcPr/>
                <w:p>
                  <w:pPr>
                    <w:pStyle w:val="Compact"/>
                    <w:jc w:val="right"/>
                    <w:jc w:val="center"/>
                  </w:pPr>
                  <w:r>
                    <w:t xml:space="preserve">14</w:t>
                  </w:r>
                </w:p>
              </w:tc>
              <w:tc>
                <w:tcPr/>
                <w:p>
                  <w:pPr>
                    <w:pStyle w:val="Compact"/>
                    <w:jc w:val="right"/>
                    <w:jc w:val="center"/>
                  </w:pPr>
                  <w:r>
                    <w:t xml:space="preserve">10</w:t>
                  </w:r>
                </w:p>
              </w:tc>
              <w:tc>
                <w:tcPr/>
                <w:p>
                  <w:pPr>
                    <w:pStyle w:val="Compact"/>
                    <w:jc w:val="right"/>
                    <w:jc w:val="center"/>
                  </w:pPr>
                  <w:r>
                    <w:t xml:space="preserve">20</w:t>
                  </w:r>
                </w:p>
              </w:tc>
              <w:tc>
                <w:tcPr/>
                <w:p>
                  <w:pPr>
                    <w:pStyle w:val="Compact"/>
                    <w:jc w:val="left"/>
                    <w:jc w:val="center"/>
                  </w:pPr>
                  <w:r>
                    <w:t xml:space="preserve">MW</w:t>
                  </w:r>
                </w:p>
              </w:tc>
              <w:tc>
                <w:tcPr/>
                <w:p>
                  <w:pPr>
                    <w:pStyle w:val="Compact"/>
                    <w:jc w:val="left"/>
                    <w:jc w:val="center"/>
                  </w:pPr>
                  <w:r>
                    <w:t xml:space="preserve">GoM Energy Roadmap 2024-2033: 12 MW Thilafushi + 1.5 Addu + 0.5 Vandhoo</w:t>
                  </w:r>
                </w:p>
              </w:tc>
            </w:tr>
            <w:tr>
              <w:tc>
                <w:tcPr/>
                <w:p>
                  <w:pPr>
                    <w:pStyle w:val="Compact"/>
                    <w:jc w:val="left"/>
                    <w:jc w:val="center"/>
                  </w:pPr>
                  <w:r>
                    <w:t xml:space="preserve">WTE CAPEX per kW</w:t>
                  </w:r>
                </w:p>
              </w:tc>
              <w:tc>
                <w:tcPr/>
                <w:p>
                  <w:pPr>
                    <w:pStyle w:val="Compact"/>
                    <w:jc w:val="right"/>
                    <w:jc w:val="center"/>
                  </w:pPr>
                  <w:r>
                    <w:t xml:space="preserve">8000</w:t>
                  </w:r>
                </w:p>
              </w:tc>
              <w:tc>
                <w:tcPr/>
                <w:p>
                  <w:pPr>
                    <w:pStyle w:val="Compact"/>
                    <w:jc w:val="right"/>
                    <w:jc w:val="center"/>
                  </w:pPr>
                  <w:r>
                    <w:t xml:space="preserve">6000</w:t>
                  </w:r>
                </w:p>
              </w:tc>
              <w:tc>
                <w:tcPr/>
                <w:p>
                  <w:pPr>
                    <w:pStyle w:val="Compact"/>
                    <w:jc w:val="right"/>
                    <w:jc w:val="center"/>
                  </w:pPr>
                  <w:r>
                    <w:t xml:space="preserve">12000</w:t>
                  </w:r>
                </w:p>
              </w:tc>
              <w:tc>
                <w:tcPr/>
                <w:p>
                  <w:pPr>
                    <w:pStyle w:val="Compact"/>
                    <w:jc w:val="left"/>
                    <w:jc w:val="center"/>
                  </w:pPr>
                  <w:r>
                    <w:t xml:space="preserve">USD/kW</w:t>
                  </w:r>
                </w:p>
              </w:tc>
              <w:tc>
                <w:tcPr/>
                <w:p>
                  <w:pPr>
                    <w:pStyle w:val="Compact"/>
                    <w:jc w:val="left"/>
                    <w:jc w:val="center"/>
                  </w:pPr>
                  <w:r>
                    <w:t xml:space="preserve">ICLEI Waste-to-Energy Guidebook 2021: $8k-12k/kW for &lt;20 MW; EIA AEO 2024 ref $8…</w:t>
                  </w:r>
                </w:p>
              </w:tc>
            </w:tr>
            <w:tr>
              <w:tc>
                <w:tcPr/>
                <w:p>
                  <w:pPr>
                    <w:pStyle w:val="Compact"/>
                    <w:jc w:val="left"/>
                    <w:jc w:val="center"/>
                  </w:pPr>
                  <w:r>
                    <w:t xml:space="preserve">WTE OPEX pct</w:t>
                  </w:r>
                </w:p>
              </w:tc>
              <w:tc>
                <w:tcPr/>
                <w:p>
                  <w:pPr>
                    <w:pStyle w:val="Compact"/>
                    <w:jc w:val="right"/>
                    <w:jc w:val="center"/>
                  </w:pPr>
                  <w:r>
                    <w:t xml:space="preserve">0.04</w:t>
                  </w:r>
                </w:p>
              </w:tc>
              <w:tc>
                <w:tcPr/>
                <w:p>
                  <w:pPr>
                    <w:pStyle w:val="Compact"/>
                    <w:jc w:val="right"/>
                    <w:jc w:val="center"/>
                  </w:pPr>
                  <w:r>
                    <w:t xml:space="preserve">0.03</w:t>
                  </w:r>
                </w:p>
              </w:tc>
              <w:tc>
                <w:tcPr/>
                <w:p>
                  <w:pPr>
                    <w:pStyle w:val="Compact"/>
                    <w:jc w:val="right"/>
                    <w:jc w:val="center"/>
                  </w:pPr>
                  <w:r>
                    <w:t xml:space="preserve">0.05</w:t>
                  </w:r>
                </w:p>
              </w:tc>
              <w:tc>
                <w:tcPr/>
                <w:p>
                  <w:pPr>
                    <w:pStyle w:val="Compact"/>
                    <w:jc w:val="left"/>
                    <w:jc w:val="center"/>
                  </w:pPr>
                  <w:r>
                    <w:t xml:space="preserve">fraction</w:t>
                  </w:r>
                </w:p>
              </w:tc>
              <w:tc>
                <w:tcPr/>
                <w:p>
                  <w:pPr>
                    <w:pStyle w:val="Compact"/>
                    <w:jc w:val="left"/>
                    <w:jc w:val="center"/>
                  </w:pPr>
                  <w:r>
                    <w:t xml:space="preserve">Engineering estimate â€” 3-5% of CAPEX/yr for thermal plants; ICLEI WtE Guideboo…</w:t>
                  </w:r>
                </w:p>
              </w:tc>
            </w:tr>
            <w:tr>
              <w:tc>
                <w:tcPr/>
                <w:p>
                  <w:pPr>
                    <w:pStyle w:val="Compact"/>
                    <w:jc w:val="left"/>
                    <w:jc w:val="center"/>
                  </w:pPr>
                  <w:r>
                    <w:t xml:space="preserve">WTE Capacity Factor</w:t>
                  </w:r>
                </w:p>
              </w:tc>
              <w:tc>
                <w:tcPr/>
                <w:p>
                  <w:pPr>
                    <w:pStyle w:val="Compact"/>
                    <w:jc w:val="right"/>
                    <w:jc w:val="center"/>
                  </w:pPr>
                  <w:r>
                    <w:t xml:space="preserve">0.8</w:t>
                  </w:r>
                </w:p>
              </w:tc>
              <w:tc>
                <w:tcPr/>
                <w:p>
                  <w:pPr>
                    <w:pStyle w:val="Compact"/>
                    <w:jc w:val="right"/>
                    <w:jc w:val="center"/>
                  </w:pPr>
                  <w:r>
                    <w:t xml:space="preserve">0.7</w:t>
                  </w:r>
                </w:p>
              </w:tc>
              <w:tc>
                <w:tcPr/>
                <w:p>
                  <w:pPr>
                    <w:pStyle w:val="Compact"/>
                    <w:jc w:val="right"/>
                    <w:jc w:val="center"/>
                  </w:pPr>
                  <w:r>
                    <w:t xml:space="preserve">0.85</w:t>
                  </w:r>
                </w:p>
              </w:tc>
              <w:tc>
                <w:tcPr/>
                <w:p>
                  <w:pPr>
                    <w:pStyle w:val="Compact"/>
                    <w:jc w:val="left"/>
                    <w:jc w:val="center"/>
                  </w:pPr>
                  <w:r>
                    <w:t xml:space="preserve">fraction</w:t>
                  </w:r>
                </w:p>
              </w:tc>
              <w:tc>
                <w:tcPr/>
                <w:p>
                  <w:pPr>
                    <w:pStyle w:val="Compact"/>
                    <w:jc w:val="left"/>
                    <w:jc w:val="center"/>
                  </w:pPr>
                  <w:r>
                    <w:t xml:space="preserve">Engineering estimate â€” baseload operation limited by waste supply; 80% typical…</w:t>
                  </w:r>
                </w:p>
              </w:tc>
            </w:tr>
            <w:tr>
              <w:tc>
                <w:tcPr/>
                <w:p>
                  <w:pPr>
                    <w:pStyle w:val="Compact"/>
                    <w:jc w:val="left"/>
                    <w:jc w:val="center"/>
                  </w:pPr>
                  <w:r>
                    <w:t xml:space="preserve">WTE Plant Lifetime</w:t>
                  </w:r>
                </w:p>
              </w:tc>
              <w:tc>
                <w:tcPr/>
                <w:p>
                  <w:pPr>
                    <w:pStyle w:val="Compact"/>
                    <w:jc w:val="right"/>
                    <w:jc w:val="center"/>
                  </w:pPr>
                  <w:r>
                    <w:t xml:space="preserve">20</w:t>
                  </w:r>
                </w:p>
              </w:tc>
              <w:tc>
                <w:tcPr/>
                <w:p>
                  <w:pPr>
                    <w:pStyle w:val="Compact"/>
                    <w:jc w:val="right"/>
                    <w:jc w:val="center"/>
                  </w:pPr>
                  <w:r>
                    <w:t xml:space="preserve">15</w:t>
                  </w:r>
                </w:p>
              </w:tc>
              <w:tc>
                <w:tcPr/>
                <w:p>
                  <w:pPr>
                    <w:pStyle w:val="Compact"/>
                    <w:jc w:val="right"/>
                    <w:jc w:val="center"/>
                  </w:pPr>
                  <w:r>
                    <w:t xml:space="preserve">25</w:t>
                  </w:r>
                </w:p>
              </w:tc>
              <w:tc>
                <w:tcPr/>
                <w:p>
                  <w:pPr>
                    <w:pStyle w:val="Compact"/>
                    <w:jc w:val="left"/>
                    <w:jc w:val="center"/>
                  </w:pPr>
                  <w:r>
                    <w:t xml:space="preserve">years</w:t>
                  </w:r>
                </w:p>
              </w:tc>
              <w:tc>
                <w:tcPr/>
                <w:p>
                  <w:pPr>
                    <w:pStyle w:val="Compact"/>
                    <w:jc w:val="left"/>
                    <w:jc w:val="center"/>
                  </w:pPr>
                  <w:r>
                    <w:t xml:space="preserve">ICLEI WtE Guidebook 2021: 20-year economic lifetime for medium-scale incineratio…</w:t>
                  </w:r>
                </w:p>
              </w:tc>
            </w:tr>
            <w:tr>
              <w:tc>
                <w:tcPr/>
                <w:p>
                  <w:pPr>
                    <w:pStyle w:val="Compact"/>
                    <w:jc w:val="left"/>
                    <w:jc w:val="center"/>
                  </w:pPr>
                  <w:r>
                    <w:t xml:space="preserve">WTE Online Year</w:t>
                  </w:r>
                </w:p>
              </w:tc>
              <w:tc>
                <w:tcPr/>
                <w:p>
                  <w:pPr>
                    <w:pStyle w:val="Compact"/>
                    <w:jc w:val="right"/>
                    <w:jc w:val="center"/>
                  </w:pPr>
                  <w:r>
                    <w:t xml:space="preserve">2029</w:t>
                  </w:r>
                </w:p>
              </w:tc>
              <w:tc>
                <w:tcPr/>
                <w:p>
                  <w:pPr>
                    <w:pStyle w:val="Compact"/>
                    <w:jc w:val="right"/>
                    <w:jc w:val="center"/>
                  </w:pPr>
                  <w:r>
                    <w:t xml:space="preserve">2028</w:t>
                  </w:r>
                </w:p>
              </w:tc>
              <w:tc>
                <w:tcPr/>
                <w:p>
                  <w:pPr>
                    <w:pStyle w:val="Compact"/>
                    <w:jc w:val="right"/>
                    <w:jc w:val="center"/>
                  </w:pPr>
                  <w:r>
                    <w:t xml:space="preserve">2031</w:t>
                  </w:r>
                </w:p>
              </w:tc>
              <w:tc>
                <w:tcPr/>
                <w:p>
                  <w:pPr>
                    <w:pStyle w:val="Compact"/>
                    <w:jc w:val="left"/>
                    <w:jc w:val="center"/>
                  </w:pPr>
                  <w:r>
                    <w:t xml:space="preserve">year</w:t>
                  </w:r>
                </w:p>
              </w:tc>
              <w:tc>
                <w:tcPr/>
                <w:p>
                  <w:pPr>
                    <w:pStyle w:val="Compact"/>
                    <w:jc w:val="left"/>
                    <w:jc w:val="center"/>
                  </w:pPr>
                  <w:r>
                    <w:t xml:space="preserve">GoM Energy Roadmap: Thilafushi WTE under construction; expected operational by 2…</w:t>
                  </w:r>
                </w:p>
              </w:tc>
            </w:tr>
            <w:tr>
              <w:tc>
                <w:tcPr/>
                <w:p>
                  <w:pPr>
                    <w:pStyle w:val="Compact"/>
                    <w:jc w:val="left"/>
                    <w:jc w:val="center"/>
                  </w:pPr>
                  <w:r>
                    <w:t xml:space="preserve">WTE Emission Factor</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0.15</w:t>
                  </w:r>
                </w:p>
              </w:tc>
              <w:tc>
                <w:tcPr/>
                <w:p>
                  <w:pPr>
                    <w:pStyle w:val="Compact"/>
                    <w:jc w:val="left"/>
                    <w:jc w:val="center"/>
                  </w:pPr>
                  <w:r>
                    <w:t xml:space="preserve">kgCO2/kWh</w:t>
                  </w:r>
                </w:p>
              </w:tc>
              <w:tc>
                <w:tcPr/>
                <w:p>
                  <w:pPr>
                    <w:pStyle w:val="Compact"/>
                    <w:jc w:val="left"/>
                    <w:jc w:val="center"/>
                  </w:pPr>
                  <w:r>
                    <w:t xml:space="preserve">UNFCCC CDM methodology: biogenic MSW is carbon-neutral; fossil fraction ~40% pla…</w:t>
                  </w:r>
                </w:p>
              </w:tc>
            </w:tr>
          </w:tbl>
          <w:p>
            <w:pPr>
              <w:pStyle w:val="Heading3"/>
              <w:jc w:val="center"/>
            </w:pPr>
            <w:bookmarkStart w:id="308" w:name="economics"/>
            <w:r>
              <w:t xml:space="preserve">22.1.19 Economics</w:t>
            </w:r>
            <w:bookmarkEnd w:id="308"/>
          </w:p>
          <w:tbl>
            <w:tblPr>
              <w:tblStyle w:val="Table"/>
              <w:tblW w:type="pct" w:w="5000"/>
              <w:tblLayout w:type="fixed"/>
              <w:tblLook w:firstRow="1" w:lastRow="0" w:firstColumn="0" w:lastColumn="0" w:noHBand="0" w:noVBand="0" w:val="0020"/>
            </w:tblPr>
            <w:tblGrid>
              <w:gridCol w:w="1430"/>
              <w:gridCol w:w="550"/>
              <w:gridCol w:w="385"/>
              <w:gridCol w:w="440"/>
              <w:gridCol w:w="550"/>
              <w:gridCol w:w="4565"/>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left"/>
                    <w:jc w:val="center"/>
                  </w:pPr>
                  <w:r>
                    <w:t xml:space="preserve">Low</w:t>
                  </w:r>
                </w:p>
              </w:tc>
              <w:tc>
                <w:tcPr/>
                <w:p>
                  <w:pPr>
                    <w:pStyle w:val="Compact"/>
                    <w:jc w:val="lef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Discount Rate</w:t>
                  </w:r>
                </w:p>
              </w:tc>
              <w:tc>
                <w:tcPr/>
                <w:p>
                  <w:pPr>
                    <w:pStyle w:val="Compact"/>
                    <w:jc w:val="right"/>
                    <w:jc w:val="center"/>
                  </w:pPr>
                  <w:r>
                    <w:t xml:space="preserve">0.06</w:t>
                  </w:r>
                </w:p>
              </w:tc>
              <w:tc>
                <w:tcPr/>
                <w:p>
                  <w:pPr>
                    <w:pStyle w:val="Compact"/>
                    <w:jc w:val="left"/>
                    <w:jc w:val="center"/>
                  </w:pPr>
                  <w:r>
                    <w:t xml:space="preserve">0.03</w:t>
                  </w:r>
                </w:p>
              </w:tc>
              <w:tc>
                <w:tcPr/>
                <w:p>
                  <w:pPr>
                    <w:pStyle w:val="Compact"/>
                    <w:jc w:val="left"/>
                    <w:jc w:val="center"/>
                  </w:pPr>
                  <w:r>
                    <w:t xml:space="preserve">0.12</w:t>
                  </w:r>
                </w:p>
              </w:tc>
              <w:tc>
                <w:tcPr/>
                <w:p>
                  <w:pPr>
                    <w:pStyle w:val="Compact"/>
                    <w:jc w:val="left"/>
                    <w:jc w:val="center"/>
                  </w:pPr>
                  <w:r>
                    <w:t xml:space="preserve">%</w:t>
                  </w:r>
                </w:p>
              </w:tc>
              <w:tc>
                <w:tcPr/>
                <w:p>
                  <w:pPr>
                    <w:pStyle w:val="Compact"/>
                    <w:jc w:val="left"/>
                    <w:jc w:val="center"/>
                  </w:pPr>
                  <w:r>
                    <w:t xml:space="preserve">ADB Guidelines for Economic Analysis of Projects (2017) Â§4.12: 6% default EOCC …</w:t>
                  </w:r>
                </w:p>
              </w:tc>
            </w:tr>
            <w:tr>
              <w:tc>
                <w:tcPr/>
                <w:p>
                  <w:pPr>
                    <w:pStyle w:val="Compact"/>
                    <w:jc w:val="left"/>
                    <w:jc w:val="center"/>
                  </w:pPr>
                  <w:r>
                    <w:t xml:space="preserve">DDR Rate 0-30yr</w:t>
                  </w:r>
                </w:p>
              </w:tc>
              <w:tc>
                <w:tcPr/>
                <w:p>
                  <w:pPr>
                    <w:pStyle w:val="Compact"/>
                    <w:jc w:val="right"/>
                    <w:jc w:val="center"/>
                  </w:pPr>
                  <w:r>
                    <w:t xml:space="preserve">0.035</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ratio</w:t>
                  </w:r>
                </w:p>
              </w:tc>
              <w:tc>
                <w:tcPr/>
                <w:p>
                  <w:pPr>
                    <w:pStyle w:val="Compact"/>
                    <w:jc w:val="left"/>
                    <w:jc w:val="center"/>
                  </w:pPr>
                  <w:r>
                    <w:t xml:space="preserve">HM Treasury Green Book (2026) Table 8; Drupp et al. (2018) AEJ: Economic Policy …</w:t>
                  </w:r>
                </w:p>
              </w:tc>
            </w:tr>
            <w:tr>
              <w:tc>
                <w:tcPr/>
                <w:p>
                  <w:pPr>
                    <w:pStyle w:val="Compact"/>
                    <w:jc w:val="left"/>
                    <w:jc w:val="center"/>
                  </w:pPr>
                  <w:r>
                    <w:t xml:space="preserve">DDR Rate 31-75yr</w:t>
                  </w:r>
                </w:p>
              </w:tc>
              <w:tc>
                <w:tcPr/>
                <w:p>
                  <w:pPr>
                    <w:pStyle w:val="Compact"/>
                    <w:jc w:val="right"/>
                    <w:jc w:val="center"/>
                  </w:pPr>
                  <w:r>
                    <w:t xml:space="preserve">0.03</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ratio</w:t>
                  </w:r>
                </w:p>
              </w:tc>
              <w:tc>
                <w:tcPr/>
                <w:p>
                  <w:pPr>
                    <w:pStyle w:val="Compact"/>
                    <w:jc w:val="left"/>
                    <w:jc w:val="center"/>
                  </w:pPr>
                  <w:r>
                    <w:t xml:space="preserve">HM Treasury Green Book (2026) Table 8; Weitzman (2001) AER 91(1):260-271</w:t>
                  </w:r>
                </w:p>
              </w:tc>
            </w:tr>
            <w:tr>
              <w:tc>
                <w:tcPr/>
                <w:p>
                  <w:pPr>
                    <w:pStyle w:val="Compact"/>
                    <w:jc w:val="left"/>
                    <w:jc w:val="center"/>
                  </w:pPr>
                  <w:r>
                    <w:t xml:space="preserve">DDR Rate 76-125yr</w:t>
                  </w:r>
                </w:p>
              </w:tc>
              <w:tc>
                <w:tcPr/>
                <w:p>
                  <w:pPr>
                    <w:pStyle w:val="Compact"/>
                    <w:jc w:val="right"/>
                    <w:jc w:val="center"/>
                  </w:pPr>
                  <w:r>
                    <w:t xml:space="preserve">0.025</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ratio</w:t>
                  </w:r>
                </w:p>
              </w:tc>
              <w:tc>
                <w:tcPr/>
                <w:p>
                  <w:pPr>
                    <w:pStyle w:val="Compact"/>
                    <w:jc w:val="left"/>
                    <w:jc w:val="center"/>
                  </w:pPr>
                  <w:r>
                    <w:t xml:space="preserve">HM Treasury Green Book (2026) Table 8</w:t>
                  </w:r>
                </w:p>
              </w:tc>
            </w:tr>
            <w:tr>
              <w:tc>
                <w:tcPr/>
                <w:p>
                  <w:pPr>
                    <w:pStyle w:val="Compact"/>
                    <w:jc w:val="left"/>
                    <w:jc w:val="center"/>
                  </w:pPr>
                  <w:r>
                    <w:t xml:space="preserve">Commercial Interest Rate</w:t>
                  </w:r>
                </w:p>
              </w:tc>
              <w:tc>
                <w:tcPr/>
                <w:p>
                  <w:pPr>
                    <w:pStyle w:val="Compact"/>
                    <w:jc w:val="right"/>
                    <w:jc w:val="center"/>
                  </w:pPr>
                  <w:r>
                    <w:t xml:space="preserve">0.1155</w:t>
                  </w:r>
                </w:p>
              </w:tc>
              <w:tc>
                <w:tcPr/>
                <w:p>
                  <w:pPr>
                    <w:pStyle w:val="Compact"/>
                    <w:jc w:val="left"/>
                    <w:jc w:val="center"/>
                  </w:pPr>
                  <w:r>
                    <w:t xml:space="preserve">0.08</w:t>
                  </w:r>
                </w:p>
              </w:tc>
              <w:tc>
                <w:tcPr/>
                <w:p>
                  <w:pPr>
                    <w:pStyle w:val="Compact"/>
                    <w:jc w:val="left"/>
                    <w:jc w:val="center"/>
                  </w:pPr>
                  <w:r>
                    <w:t xml:space="preserve">0.15</w:t>
                  </w:r>
                </w:p>
              </w:tc>
              <w:tc>
                <w:tcPr/>
                <w:p>
                  <w:pPr>
                    <w:pStyle w:val="Compact"/>
                    <w:jc w:val="left"/>
                    <w:jc w:val="center"/>
                  </w:pPr>
                  <w:r>
                    <w:t xml:space="preserve">%</w:t>
                  </w:r>
                </w:p>
              </w:tc>
              <w:tc>
                <w:tcPr/>
                <w:p>
                  <w:pPr>
                    <w:pStyle w:val="Compact"/>
                    <w:jc w:val="left"/>
                    <w:jc w:val="center"/>
                  </w:pPr>
                  <w:r>
                    <w:t xml:space="preserve">World Bank WDI Lending Interest Rate Maldives 2024</w:t>
                  </w:r>
                </w:p>
              </w:tc>
            </w:tr>
            <w:tr>
              <w:tc>
                <w:tcPr/>
                <w:p>
                  <w:pPr>
                    <w:pStyle w:val="Compact"/>
                    <w:jc w:val="left"/>
                    <w:jc w:val="center"/>
                  </w:pPr>
                  <w:r>
                    <w:t xml:space="preserve">Social Cost of Carbon</w:t>
                  </w:r>
                </w:p>
              </w:tc>
              <w:tc>
                <w:tcPr/>
                <w:p>
                  <w:pPr>
                    <w:pStyle w:val="Compact"/>
                    <w:jc w:val="right"/>
                    <w:jc w:val="center"/>
                  </w:pPr>
                  <w:r>
                    <w:t xml:space="preserve">190</w:t>
                  </w:r>
                </w:p>
              </w:tc>
              <w:tc>
                <w:tcPr/>
                <w:p>
                  <w:pPr>
                    <w:pStyle w:val="Compact"/>
                    <w:jc w:val="left"/>
                    <w:jc w:val="center"/>
                  </w:pPr>
                  <w:r>
                    <w:t xml:space="preserve">0</w:t>
                  </w:r>
                </w:p>
              </w:tc>
              <w:tc>
                <w:tcPr/>
                <w:p>
                  <w:pPr>
                    <w:pStyle w:val="Compact"/>
                    <w:jc w:val="left"/>
                    <w:jc w:val="center"/>
                  </w:pPr>
                  <w:r>
                    <w:t xml:space="preserve">300</w:t>
                  </w:r>
                </w:p>
              </w:tc>
              <w:tc>
                <w:tcPr/>
                <w:p>
                  <w:pPr>
                    <w:pStyle w:val="Compact"/>
                    <w:jc w:val="left"/>
                    <w:jc w:val="center"/>
                  </w:pPr>
                  <w:r>
                    <w:t xml:space="preserve">USD/tCO2</w:t>
                  </w:r>
                </w:p>
              </w:tc>
              <w:tc>
                <w:tcPr/>
                <w:p>
                  <w:pPr>
                    <w:pStyle w:val="Compact"/>
                    <w:jc w:val="left"/>
                    <w:jc w:val="center"/>
                  </w:pPr>
                  <w:r>
                    <w:t xml:space="preserve">US EPA Report on SCC 2023; Rennert et al. 2022 Nature</w:t>
                  </w:r>
                </w:p>
              </w:tc>
            </w:tr>
            <w:tr>
              <w:tc>
                <w:tcPr/>
                <w:p>
                  <w:pPr>
                    <w:pStyle w:val="Compact"/>
                    <w:jc w:val="left"/>
                    <w:jc w:val="center"/>
                  </w:pPr>
                  <w:r>
                    <w:t xml:space="preserve">SCC IWG Interim</w:t>
                  </w:r>
                </w:p>
              </w:tc>
              <w:tc>
                <w:tcPr/>
                <w:p>
                  <w:pPr>
                    <w:pStyle w:val="Compact"/>
                    <w:jc w:val="right"/>
                    <w:jc w:val="center"/>
                  </w:pPr>
                  <w:r>
                    <w:t xml:space="preserve">51</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USD/tCO2</w:t>
                  </w:r>
                </w:p>
              </w:tc>
              <w:tc>
                <w:tcPr/>
                <w:p>
                  <w:pPr>
                    <w:pStyle w:val="Compact"/>
                    <w:jc w:val="left"/>
                    <w:jc w:val="center"/>
                  </w:pPr>
                  <w:r>
                    <w:t xml:space="preserve">US Interagency Working Group 2021</w:t>
                  </w:r>
                </w:p>
              </w:tc>
            </w:tr>
            <w:tr>
              <w:tc>
                <w:tcPr/>
                <w:p>
                  <w:pPr>
                    <w:pStyle w:val="Compact"/>
                    <w:jc w:val="left"/>
                    <w:jc w:val="center"/>
                  </w:pPr>
                  <w:r>
                    <w:t xml:space="preserve">SCC Annual Growth</w:t>
                  </w:r>
                </w:p>
              </w:tc>
              <w:tc>
                <w:tcPr/>
                <w:p>
                  <w:pPr>
                    <w:pStyle w:val="Compact"/>
                    <w:jc w:val="right"/>
                    <w:jc w:val="center"/>
                  </w:pPr>
                  <w:r>
                    <w:t xml:space="preserve">0.02</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w:t>
                  </w:r>
                </w:p>
              </w:tc>
              <w:tc>
                <w:tcPr/>
                <w:p>
                  <w:pPr>
                    <w:pStyle w:val="Compact"/>
                    <w:jc w:val="left"/>
                    <w:jc w:val="center"/>
                  </w:pPr>
                  <w:r>
                    <w:t xml:space="preserve">EPA 2023</w:t>
                  </w:r>
                </w:p>
              </w:tc>
            </w:tr>
            <w:tr>
              <w:tc>
                <w:tcPr/>
                <w:p>
                  <w:pPr>
                    <w:pStyle w:val="Compact"/>
                    <w:jc w:val="left"/>
                    <w:jc w:val="center"/>
                  </w:pPr>
                  <w:r>
                    <w:t xml:space="preserve">Value of Lost Load</w:t>
                  </w:r>
                </w:p>
              </w:tc>
              <w:tc>
                <w:tcPr/>
                <w:p>
                  <w:pPr>
                    <w:pStyle w:val="Compact"/>
                    <w:jc w:val="right"/>
                    <w:jc w:val="center"/>
                  </w:pPr>
                  <w:r>
                    <w:t xml:space="preserve">5</w:t>
                  </w:r>
                </w:p>
              </w:tc>
              <w:tc>
                <w:tcPr/>
                <w:p>
                  <w:pPr>
                    <w:pStyle w:val="Compact"/>
                    <w:jc w:val="left"/>
                    <w:jc w:val="center"/>
                  </w:pPr>
                  <w:r>
                    <w:t xml:space="preserve">2</w:t>
                  </w:r>
                </w:p>
              </w:tc>
              <w:tc>
                <w:tcPr/>
                <w:p>
                  <w:pPr>
                    <w:pStyle w:val="Compact"/>
                    <w:jc w:val="left"/>
                    <w:jc w:val="center"/>
                  </w:pPr>
                  <w:r>
                    <w:t xml:space="preserve">10</w:t>
                  </w:r>
                </w:p>
              </w:tc>
              <w:tc>
                <w:tcPr/>
                <w:p>
                  <w:pPr>
                    <w:pStyle w:val="Compact"/>
                    <w:jc w:val="left"/>
                    <w:jc w:val="center"/>
                  </w:pPr>
                  <w:r>
                    <w:t xml:space="preserve">USD/kWh</w:t>
                  </w:r>
                </w:p>
              </w:tc>
              <w:tc>
                <w:tcPr/>
                <w:p>
                  <w:pPr>
                    <w:pStyle w:val="Compact"/>
                    <w:jc w:val="left"/>
                    <w:jc w:val="center"/>
                  </w:pPr>
                  <w:r>
                    <w:t xml:space="preserve">ACER (2022) VOLL estimates: EU avg â‚¬8.7/kWh; SchrÃ¶der &amp; Kuckshinrichs (2015) …</w:t>
                  </w:r>
                </w:p>
              </w:tc>
            </w:tr>
            <w:tr>
              <w:tc>
                <w:tcPr/>
                <w:p>
                  <w:pPr>
                    <w:pStyle w:val="Compact"/>
                    <w:jc w:val="left"/>
                    <w:jc w:val="center"/>
                  </w:pPr>
                  <w:r>
                    <w:t xml:space="preserve">Exchange Rate MVR/USD</w:t>
                  </w:r>
                </w:p>
              </w:tc>
              <w:tc>
                <w:tcPr/>
                <w:p>
                  <w:pPr>
                    <w:pStyle w:val="Compact"/>
                    <w:jc w:val="right"/>
                    <w:jc w:val="center"/>
                  </w:pPr>
                  <w:r>
                    <w:t xml:space="preserve">15.4</w:t>
                  </w:r>
                </w:p>
              </w:tc>
              <w:tc>
                <w:tcPr/>
                <w:p>
                  <w:pPr>
                    <w:pStyle w:val="Compact"/>
                    <w:jc w:val="left"/>
                    <w:jc w:val="center"/>
                  </w:pPr>
                  <w:r>
                    <w:t xml:space="preserve">14.5</w:t>
                  </w:r>
                </w:p>
              </w:tc>
              <w:tc>
                <w:tcPr/>
                <w:p>
                  <w:pPr>
                    <w:pStyle w:val="Compact"/>
                    <w:jc w:val="left"/>
                    <w:jc w:val="center"/>
                  </w:pPr>
                  <w:r>
                    <w:t xml:space="preserve">16.5</w:t>
                  </w:r>
                </w:p>
              </w:tc>
              <w:tc>
                <w:tcPr/>
                <w:p>
                  <w:pPr>
                    <w:pStyle w:val="Compact"/>
                    <w:jc w:val="left"/>
                    <w:jc w:val="center"/>
                  </w:pPr>
                  <w:r>
                    <w:t xml:space="preserve">MVR/USD</w:t>
                  </w:r>
                </w:p>
              </w:tc>
              <w:tc>
                <w:tcPr/>
                <w:p>
                  <w:pPr>
                    <w:pStyle w:val="Compact"/>
                    <w:jc w:val="left"/>
                    <w:jc w:val="center"/>
                  </w:pPr>
                  <w:r>
                    <w:t xml:space="preserve">Maldives Monetary Authority (MMA) 2025; IMF Article IV 2024</w:t>
                  </w:r>
                </w:p>
              </w:tc>
            </w:tr>
          </w:tbl>
          <w:p>
            <w:pPr>
              <w:pStyle w:val="Heading3"/>
              <w:jc w:val="center"/>
            </w:pPr>
            <w:bookmarkStart w:id="309" w:name="reliability"/>
            <w:r>
              <w:t xml:space="preserve">22.1.20 Reliability</w:t>
            </w:r>
            <w:bookmarkEnd w:id="309"/>
          </w:p>
          <w:tbl>
            <w:tblPr>
              <w:tblStyle w:val="Table"/>
              <w:tblW w:type="pct" w:w="5000"/>
              <w:tblLayout w:type="fixed"/>
              <w:tblLook w:firstRow="1" w:lastRow="0" w:firstColumn="0" w:lastColumn="0" w:noHBand="0" w:noVBand="0" w:val="0020"/>
            </w:tblPr>
            <w:tblGrid>
              <w:gridCol w:w="1171"/>
              <w:gridCol w:w="501"/>
              <w:gridCol w:w="390"/>
              <w:gridCol w:w="446"/>
              <w:gridCol w:w="780"/>
              <w:gridCol w:w="4629"/>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right"/>
                    <w:jc w:val="center"/>
                  </w:pPr>
                  <w:r>
                    <w:t xml:space="preserve">Low</w:t>
                  </w:r>
                </w:p>
              </w:tc>
              <w:tc>
                <w:tcPr/>
                <w:p>
                  <w:pPr>
                    <w:pStyle w:val="Compact"/>
                    <w:jc w:val="righ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SAIDI Minutes</w:t>
                  </w:r>
                </w:p>
              </w:tc>
              <w:tc>
                <w:tcPr/>
                <w:p>
                  <w:pPr>
                    <w:pStyle w:val="Compact"/>
                    <w:jc w:val="right"/>
                    <w:jc w:val="center"/>
                  </w:pPr>
                  <w:r>
                    <w:t xml:space="preserve">200</w:t>
                  </w:r>
                </w:p>
              </w:tc>
              <w:tc>
                <w:tcPr/>
                <w:p>
                  <w:pPr>
                    <w:pStyle w:val="Compact"/>
                    <w:jc w:val="right"/>
                    <w:jc w:val="center"/>
                  </w:pPr>
                  <w:r>
                    <w:t xml:space="preserve">100</w:t>
                  </w:r>
                </w:p>
              </w:tc>
              <w:tc>
                <w:tcPr/>
                <w:p>
                  <w:pPr>
                    <w:pStyle w:val="Compact"/>
                    <w:jc w:val="right"/>
                    <w:jc w:val="center"/>
                  </w:pPr>
                  <w:r>
                    <w:t xml:space="preserve">400</w:t>
                  </w:r>
                </w:p>
              </w:tc>
              <w:tc>
                <w:tcPr/>
                <w:p>
                  <w:pPr>
                    <w:pStyle w:val="Compact"/>
                    <w:jc w:val="left"/>
                    <w:jc w:val="center"/>
                  </w:pPr>
                  <w:r>
                    <w:t xml:space="preserve">minutes/year</w:t>
                  </w:r>
                </w:p>
              </w:tc>
              <w:tc>
                <w:tcPr/>
                <w:p>
                  <w:pPr>
                    <w:pStyle w:val="Compact"/>
                    <w:jc w:val="left"/>
                    <w:jc w:val="center"/>
                  </w:pPr>
                  <w:r>
                    <w:t xml:space="preserve">STELCO Annual Report 2022 (estimated); CEER 2024 benchmarking for small islands …</w:t>
                  </w:r>
                </w:p>
              </w:tc>
            </w:tr>
            <w:tr>
              <w:tc>
                <w:tcPr/>
                <w:p>
                  <w:pPr>
                    <w:pStyle w:val="Compact"/>
                    <w:jc w:val="left"/>
                    <w:jc w:val="center"/>
                  </w:pPr>
                  <w:r>
                    <w:t xml:space="preserve">SAIFI Interruptions</w:t>
                  </w:r>
                </w:p>
              </w:tc>
              <w:tc>
                <w:tcPr/>
                <w:p>
                  <w:pPr>
                    <w:pStyle w:val="Compact"/>
                    <w:jc w:val="right"/>
                    <w:jc w:val="center"/>
                  </w:pPr>
                  <w:r>
                    <w:t xml:space="preserve">10</w:t>
                  </w:r>
                </w:p>
              </w:tc>
              <w:tc>
                <w:tcPr/>
                <w:p>
                  <w:pPr>
                    <w:pStyle w:val="Compact"/>
                    <w:jc w:val="right"/>
                    <w:jc w:val="center"/>
                  </w:pPr>
                  <w:r>
                    <w:t xml:space="preserve">5</w:t>
                  </w:r>
                </w:p>
              </w:tc>
              <w:tc>
                <w:tcPr/>
                <w:p>
                  <w:pPr>
                    <w:pStyle w:val="Compact"/>
                    <w:jc w:val="right"/>
                    <w:jc w:val="center"/>
                  </w:pPr>
                  <w:r>
                    <w:t xml:space="preserve">20</w:t>
                  </w:r>
                </w:p>
              </w:tc>
              <w:tc>
                <w:tcPr/>
                <w:p>
                  <w:pPr>
                    <w:pStyle w:val="Compact"/>
                    <w:jc w:val="left"/>
                    <w:jc w:val="center"/>
                  </w:pPr>
                  <w:r>
                    <w:t xml:space="preserve">count/year</w:t>
                  </w:r>
                </w:p>
              </w:tc>
              <w:tc>
                <w:tcPr/>
                <w:p>
                  <w:pPr>
                    <w:pStyle w:val="Compact"/>
                    <w:jc w:val="left"/>
                    <w:jc w:val="center"/>
                  </w:pPr>
                  <w:r>
                    <w:t xml:space="preserve">STELCO operational data (estimated); CEER 2024 SIDS benchmark 5-25</w:t>
                  </w:r>
                </w:p>
              </w:tc>
            </w:tr>
          </w:tbl>
          <w:p>
            <w:pPr>
              <w:pStyle w:val="Heading3"/>
              <w:jc w:val="center"/>
            </w:pPr>
            <w:bookmarkStart w:id="310" w:name="islanded"/>
            <w:r>
              <w:t xml:space="preserve">22.1.21 Islanded</w:t>
            </w:r>
            <w:bookmarkEnd w:id="310"/>
          </w:p>
          <w:tbl>
            <w:tblPr>
              <w:tblStyle w:val="Table"/>
              <w:tblW w:type="pct" w:w="5000"/>
              <w:tblLayout w:type="fixed"/>
              <w:tblLook w:firstRow="1" w:lastRow="0" w:firstColumn="0" w:lastColumn="0" w:noHBand="0" w:noVBand="0" w:val="0020"/>
            </w:tblPr>
            <w:tblGrid>
              <w:gridCol w:w="873"/>
              <w:gridCol w:w="524"/>
              <w:gridCol w:w="407"/>
              <w:gridCol w:w="465"/>
              <w:gridCol w:w="815"/>
              <w:gridCol w:w="4833"/>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left"/>
                    <w:jc w:val="center"/>
                  </w:pPr>
                  <w:r>
                    <w:t xml:space="preserve">Low</w:t>
                  </w:r>
                </w:p>
              </w:tc>
              <w:tc>
                <w:tcPr/>
                <w:p>
                  <w:pPr>
                    <w:pStyle w:val="Compact"/>
                    <w:jc w:val="lef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Cost Premium</w:t>
                  </w:r>
                </w:p>
              </w:tc>
              <w:tc>
                <w:tcPr/>
                <w:p>
                  <w:pPr>
                    <w:pStyle w:val="Compact"/>
                    <w:jc w:val="right"/>
                    <w:jc w:val="center"/>
                  </w:pPr>
                  <w:r>
                    <w:t xml:space="preserve">1.3</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multiplier</w:t>
                  </w:r>
                </w:p>
              </w:tc>
              <w:tc>
                <w:tcPr/>
                <w:p>
                  <w:pPr>
                    <w:pStyle w:val="Compact"/>
                    <w:jc w:val="left"/>
                    <w:jc w:val="center"/>
                  </w:pPr>
                  <w:r>
                    <w:t xml:space="preserve">Model design choice â€” ADB POISED PCR (2023): outer-island RE projects 20-40% c…</w:t>
                  </w:r>
                </w:p>
              </w:tc>
            </w:tr>
            <w:tr>
              <w:tc>
                <w:tcPr/>
                <w:p>
                  <w:pPr>
                    <w:pStyle w:val="Compact"/>
                    <w:jc w:val="left"/>
                    <w:jc w:val="center"/>
                  </w:pPr>
                  <w:r>
                    <w:t xml:space="preserve">Battery Ratio</w:t>
                  </w:r>
                </w:p>
              </w:tc>
              <w:tc>
                <w:tcPr/>
                <w:p>
                  <w:pPr>
                    <w:pStyle w:val="Compact"/>
                    <w:jc w:val="right"/>
                    <w:jc w:val="center"/>
                  </w:pPr>
                  <w:r>
                    <w:t xml:space="preserve">3</w:t>
                  </w:r>
                </w:p>
              </w:tc>
              <w:tc>
                <w:tcPr/>
                <w:p>
                  <w:pPr>
                    <w:pStyle w:val="Compact"/>
                    <w:jc w:val="left"/>
                    <w:jc w:val="center"/>
                  </w:pPr>
                  <w:r>
                    <w:t xml:space="preserve">2</w:t>
                  </w:r>
                </w:p>
              </w:tc>
              <w:tc>
                <w:tcPr/>
                <w:p>
                  <w:pPr>
                    <w:pStyle w:val="Compact"/>
                    <w:jc w:val="left"/>
                    <w:jc w:val="center"/>
                  </w:pPr>
                  <w:r>
                    <w:t xml:space="preserve">4</w:t>
                  </w:r>
                </w:p>
              </w:tc>
              <w:tc>
                <w:tcPr/>
                <w:p>
                  <w:pPr>
                    <w:pStyle w:val="Compact"/>
                    <w:jc w:val="left"/>
                    <w:jc w:val="center"/>
                  </w:pPr>
                  <w:r>
                    <w:t xml:space="preserve">MWh/MW solar</w:t>
                  </w:r>
                </w:p>
              </w:tc>
              <w:tc>
                <w:tcPr/>
                <w:p>
                  <w:pPr>
                    <w:pStyle w:val="Compact"/>
                    <w:jc w:val="left"/>
                    <w:jc w:val="center"/>
                  </w:pPr>
                  <w:r>
                    <w:t xml:space="preserve">NREL ATB 2024; BNEF 2025 BESS sizing guidance. Low=aggressive oversizing; High=c…</w:t>
                  </w:r>
                </w:p>
              </w:tc>
            </w:tr>
            <w:tr>
              <w:tc>
                <w:tcPr/>
                <w:p>
                  <w:pPr>
                    <w:pStyle w:val="Compact"/>
                    <w:jc w:val="left"/>
                    <w:jc w:val="center"/>
                  </w:pPr>
                  <w:r>
                    <w:t xml:space="preserve">Max RE Share</w:t>
                  </w:r>
                </w:p>
              </w:tc>
              <w:tc>
                <w:tcPr/>
                <w:p>
                  <w:pPr>
                    <w:pStyle w:val="Compact"/>
                    <w:jc w:val="right"/>
                    <w:jc w:val="center"/>
                  </w:pPr>
                  <w:r>
                    <w:t xml:space="preserve">1</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Model design choice â€” least-cost engine output: 170/176 islands achieve 100% R…</w:t>
                  </w:r>
                </w:p>
              </w:tc>
            </w:tr>
            <w:tr>
              <w:tc>
                <w:tcPr/>
                <w:p>
                  <w:pPr>
                    <w:pStyle w:val="Compact"/>
                    <w:jc w:val="left"/>
                    <w:jc w:val="center"/>
                  </w:pPr>
                  <w:r>
                    <w:t xml:space="preserve">OPEX Premium</w:t>
                  </w:r>
                </w:p>
              </w:tc>
              <w:tc>
                <w:tcPr/>
                <w:p>
                  <w:pPr>
                    <w:pStyle w:val="Compact"/>
                    <w:jc w:val="right"/>
                    <w:jc w:val="center"/>
                  </w:pPr>
                  <w:r>
                    <w:t xml:space="preserve">1.2</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multiplier</w:t>
                  </w:r>
                </w:p>
              </w:tc>
              <w:tc>
                <w:tcPr/>
                <w:p>
                  <w:pPr>
                    <w:pStyle w:val="Compact"/>
                    <w:jc w:val="left"/>
                    <w:jc w:val="center"/>
                  </w:pPr>
                  <w:r>
                    <w:t xml:space="preserve">Model design choice â€” engineering estimate: 20% O&amp;M premium for dispersed isla…</w:t>
                  </w:r>
                </w:p>
              </w:tc>
            </w:tr>
            <w:tr>
              <w:tc>
                <w:tcPr/>
                <w:p>
                  <w:pPr>
                    <w:pStyle w:val="Compact"/>
                    <w:jc w:val="left"/>
                    <w:jc w:val="center"/>
                  </w:pPr>
                  <w:r>
                    <w:t xml:space="preserve">RE Cap Factor</w:t>
                  </w:r>
                </w:p>
              </w:tc>
              <w:tc>
                <w:tcPr/>
                <w:p>
                  <w:pPr>
                    <w:pStyle w:val="Compact"/>
                    <w:jc w:val="right"/>
                    <w:jc w:val="center"/>
                  </w:pPr>
                  <w:r>
                    <w:t xml:space="preserve">0.9</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ratio</w:t>
                  </w:r>
                </w:p>
              </w:tc>
              <w:tc>
                <w:tcPr/>
                <w:p>
                  <w:pPr>
                    <w:pStyle w:val="Compact"/>
                    <w:jc w:val="left"/>
                    <w:jc w:val="center"/>
                  </w:pPr>
                  <w:r>
                    <w:t xml:space="preserve">Model design choice â€” conservative derating: standalone island RE systems achi…</w:t>
                  </w:r>
                </w:p>
              </w:tc>
            </w:tr>
          </w:tbl>
          <w:p>
            <w:pPr>
              <w:pStyle w:val="Heading3"/>
              <w:jc w:val="center"/>
            </w:pPr>
            <w:bookmarkStart w:id="311" w:name="one-grid"/>
            <w:r>
              <w:t xml:space="preserve">22.1.22 One Grid</w:t>
            </w:r>
            <w:bookmarkEnd w:id="311"/>
          </w:p>
          <w:tbl>
            <w:tblPr>
              <w:tblStyle w:val="Table"/>
              <w:tblW w:type="pct" w:w="5000"/>
              <w:tblLayout w:type="fixed"/>
              <w:tblLook w:firstRow="1" w:lastRow="0" w:firstColumn="0" w:lastColumn="0" w:noHBand="0" w:noVBand="0" w:val="0020"/>
            </w:tblPr>
            <w:tblGrid>
              <w:gridCol w:w="1400"/>
              <w:gridCol w:w="484"/>
              <w:gridCol w:w="377"/>
              <w:gridCol w:w="431"/>
              <w:gridCol w:w="754"/>
              <w:gridCol w:w="4471"/>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left"/>
                    <w:jc w:val="center"/>
                  </w:pPr>
                  <w:r>
                    <w:t xml:space="preserve">Low</w:t>
                  </w:r>
                </w:p>
              </w:tc>
              <w:tc>
                <w:tcPr/>
                <w:p>
                  <w:pPr>
                    <w:pStyle w:val="Compact"/>
                    <w:jc w:val="lef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Battery Ratio</w:t>
                  </w:r>
                </w:p>
              </w:tc>
              <w:tc>
                <w:tcPr/>
                <w:p>
                  <w:pPr>
                    <w:pStyle w:val="Compact"/>
                    <w:jc w:val="right"/>
                    <w:jc w:val="center"/>
                  </w:pPr>
                  <w:r>
                    <w:t xml:space="preserve">1.5</w:t>
                  </w:r>
                </w:p>
              </w:tc>
              <w:tc>
                <w:tcPr/>
                <w:p>
                  <w:pPr>
                    <w:pStyle w:val="Compact"/>
                    <w:jc w:val="left"/>
                    <w:jc w:val="center"/>
                  </w:pPr>
                  <w:r>
                    <w:t xml:space="preserve">1</w:t>
                  </w:r>
                </w:p>
              </w:tc>
              <w:tc>
                <w:tcPr/>
                <w:p>
                  <w:pPr>
                    <w:pStyle w:val="Compact"/>
                    <w:jc w:val="left"/>
                    <w:jc w:val="center"/>
                  </w:pPr>
                  <w:r>
                    <w:t xml:space="preserve">2.5</w:t>
                  </w:r>
                </w:p>
              </w:tc>
              <w:tc>
                <w:tcPr/>
                <w:p>
                  <w:pPr>
                    <w:pStyle w:val="Compact"/>
                    <w:jc w:val="left"/>
                    <w:jc w:val="center"/>
                  </w:pPr>
                  <w:r>
                    <w:t xml:space="preserve">MWh/MW solar</w:t>
                  </w:r>
                </w:p>
              </w:tc>
              <w:tc>
                <w:tcPr/>
                <w:p>
                  <w:pPr>
                    <w:pStyle w:val="Compact"/>
                    <w:jc w:val="left"/>
                    <w:jc w:val="center"/>
                  </w:pPr>
                  <w:r>
                    <w:t xml:space="preserve">NREL ATB 2024; cable baseload reduces storage needs. Low=minimal buffer; High=ex…</w:t>
                  </w:r>
                </w:p>
              </w:tc>
            </w:tr>
            <w:tr>
              <w:tc>
                <w:tcPr/>
                <w:p>
                  <w:pPr>
                    <w:pStyle w:val="Compact"/>
                    <w:jc w:val="left"/>
                    <w:jc w:val="center"/>
                  </w:pPr>
                  <w:r>
                    <w:t xml:space="preserve">Diesel Reserve Ratio</w:t>
                  </w:r>
                </w:p>
              </w:tc>
              <w:tc>
                <w:tcPr/>
                <w:p>
                  <w:pPr>
                    <w:pStyle w:val="Compact"/>
                    <w:jc w:val="right"/>
                    <w:jc w:val="center"/>
                  </w:pPr>
                  <w:r>
                    <w:t xml:space="preserve">0.05</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ratio</w:t>
                  </w:r>
                </w:p>
              </w:tc>
              <w:tc>
                <w:tcPr/>
                <w:p>
                  <w:pPr>
                    <w:pStyle w:val="Compact"/>
                    <w:jc w:val="left"/>
                    <w:jc w:val="center"/>
                  </w:pPr>
                  <w:r>
                    <w:t xml:space="preserve">Model design choice â€” 5% diesel reserve post-cable for emergency only. Consist…</w:t>
                  </w:r>
                </w:p>
              </w:tc>
            </w:tr>
            <w:tr>
              <w:tc>
                <w:tcPr/>
                <w:p>
                  <w:pPr>
                    <w:pStyle w:val="Compact"/>
                    <w:jc w:val="left"/>
                    <w:jc w:val="center"/>
                  </w:pPr>
                  <w:r>
                    <w:t xml:space="preserve">Diesel Backup Share</w:t>
                  </w:r>
                </w:p>
              </w:tc>
              <w:tc>
                <w:tcPr/>
                <w:p>
                  <w:pPr>
                    <w:pStyle w:val="Compact"/>
                    <w:jc w:val="right"/>
                    <w:jc w:val="center"/>
                  </w:pPr>
                  <w:r>
                    <w:t xml:space="preserve">0.2</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ratio</w:t>
                  </w:r>
                </w:p>
              </w:tc>
              <w:tc>
                <w:tcPr/>
                <w:p>
                  <w:pPr>
                    <w:pStyle w:val="Compact"/>
                    <w:jc w:val="left"/>
                    <w:jc w:val="center"/>
                  </w:pPr>
                  <w:r>
                    <w:t xml:space="preserve">Model design choice â€” 20% of peak capacity retained as diesel backup for cable…</w:t>
                  </w:r>
                </w:p>
              </w:tc>
            </w:tr>
            <w:tr>
              <w:tc>
                <w:tcPr/>
                <w:p>
                  <w:pPr>
                    <w:pStyle w:val="Compact"/>
                    <w:jc w:val="left"/>
                    <w:jc w:val="center"/>
                  </w:pPr>
                  <w:r>
                    <w:t xml:space="preserve">Diesel Retirement Rate</w:t>
                  </w:r>
                </w:p>
              </w:tc>
              <w:tc>
                <w:tcPr/>
                <w:p>
                  <w:pPr>
                    <w:pStyle w:val="Compact"/>
                    <w:jc w:val="right"/>
                    <w:jc w:val="center"/>
                  </w:pPr>
                  <w:r>
                    <w:t xml:space="preserve">0.1</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w:t>
                  </w:r>
                </w:p>
              </w:tc>
              <w:tc>
                <w:tcPr/>
                <w:p>
                  <w:pPr>
                    <w:pStyle w:val="Compact"/>
                    <w:jc w:val="left"/>
                    <w:jc w:val="center"/>
                  </w:pPr>
                  <w:r>
                    <w:t xml:space="preserve">Model design choice â€” 10% annual retirement rate post-cable = 10yr phase-out t…</w:t>
                  </w:r>
                </w:p>
              </w:tc>
            </w:tr>
            <w:tr>
              <w:tc>
                <w:tcPr/>
                <w:p>
                  <w:pPr>
                    <w:pStyle w:val="Compact"/>
                    <w:jc w:val="left"/>
                    <w:jc w:val="center"/>
                  </w:pPr>
                  <w:r>
                    <w:t xml:space="preserve">Inter-Island Build Start</w:t>
                  </w:r>
                </w:p>
              </w:tc>
              <w:tc>
                <w:tcPr/>
                <w:p>
                  <w:pPr>
                    <w:pStyle w:val="Compact"/>
                    <w:jc w:val="right"/>
                    <w:jc w:val="center"/>
                  </w:pPr>
                  <w:r>
                    <w:t xml:space="preserve">2027</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w:t>
                  </w:r>
                </w:p>
              </w:tc>
              <w:tc>
                <w:tcPr/>
                <w:p>
                  <w:pPr>
                    <w:pStyle w:val="Compact"/>
                    <w:jc w:val="left"/>
                    <w:jc w:val="center"/>
                  </w:pPr>
                  <w:r>
                    <w:t xml:space="preserve">Model design choice â€” aligned with GoM Energy Roadmap 2024-2033 infrastructure…</w:t>
                  </w:r>
                </w:p>
              </w:tc>
            </w:tr>
            <w:tr>
              <w:tc>
                <w:tcPr/>
                <w:p>
                  <w:pPr>
                    <w:pStyle w:val="Compact"/>
                    <w:jc w:val="left"/>
                    <w:jc w:val="center"/>
                  </w:pPr>
                  <w:r>
                    <w:t xml:space="preserve">Inter-Island Build End</w:t>
                  </w:r>
                </w:p>
              </w:tc>
              <w:tc>
                <w:tcPr/>
                <w:p>
                  <w:pPr>
                    <w:pStyle w:val="Compact"/>
                    <w:jc w:val="right"/>
                    <w:jc w:val="center"/>
                  </w:pPr>
                  <w:r>
                    <w:t xml:space="preserve">2028</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w:t>
                  </w:r>
                </w:p>
              </w:tc>
              <w:tc>
                <w:tcPr/>
                <w:p>
                  <w:pPr>
                    <w:pStyle w:val="Compact"/>
                    <w:jc w:val="left"/>
                    <w:jc w:val="center"/>
                  </w:pPr>
                  <w:r>
                    <w:t xml:space="preserve">Model design choice â€” 1-year inter-island cable phase for 14km total (3 short …</w:t>
                  </w:r>
                </w:p>
              </w:tc>
            </w:tr>
            <w:tr>
              <w:tc>
                <w:tcPr/>
                <w:p>
                  <w:pPr>
                    <w:pStyle w:val="Compact"/>
                    <w:jc w:val="left"/>
                    <w:jc w:val="center"/>
                  </w:pPr>
                  <w:r>
                    <w:t xml:space="preserve">Cable Construction Years</w:t>
                  </w:r>
                </w:p>
              </w:tc>
              <w:tc>
                <w:tcPr/>
                <w:p>
                  <w:pPr>
                    <w:pStyle w:val="Compact"/>
                    <w:jc w:val="right"/>
                    <w:jc w:val="center"/>
                  </w:pPr>
                  <w:r>
                    <w:t xml:space="preserve">3</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years</w:t>
                  </w:r>
                </w:p>
              </w:tc>
              <w:tc>
                <w:tcPr/>
                <w:p>
                  <w:pPr>
                    <w:pStyle w:val="Compact"/>
                    <w:jc w:val="left"/>
                    <w:jc w:val="center"/>
                  </w:pPr>
                  <w:r>
                    <w:t xml:space="preserve">Model design choice â€” aligned with India HVDC cable construction benchmarks (N…</w:t>
                  </w:r>
                </w:p>
              </w:tc>
            </w:tr>
          </w:tbl>
          <w:p>
            <w:pPr>
              <w:pStyle w:val="Heading3"/>
              <w:jc w:val="center"/>
            </w:pPr>
            <w:bookmarkStart w:id="312" w:name="operations"/>
            <w:r>
              <w:t xml:space="preserve">22.1.23 Operations</w:t>
            </w:r>
            <w:bookmarkEnd w:id="312"/>
          </w:p>
          <w:tbl>
            <w:tblPr>
              <w:tblStyle w:val="Table"/>
              <w:tblW w:type="pct" w:w="5000"/>
              <w:tblLayout w:type="fixed"/>
              <w:tblLook w:firstRow="1" w:lastRow="0" w:firstColumn="0" w:lastColumn="0" w:noHBand="0" w:noVBand="0" w:val="0020"/>
            </w:tblPr>
            <w:tblGrid>
              <w:gridCol w:w="1414"/>
              <w:gridCol w:w="509"/>
              <w:gridCol w:w="396"/>
              <w:gridCol w:w="452"/>
              <w:gridCol w:w="452"/>
              <w:gridCol w:w="4695"/>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left"/>
                    <w:jc w:val="center"/>
                  </w:pPr>
                  <w:r>
                    <w:t xml:space="preserve">Low</w:t>
                  </w:r>
                </w:p>
              </w:tc>
              <w:tc>
                <w:tcPr/>
                <w:p>
                  <w:pPr>
                    <w:pStyle w:val="Compact"/>
                    <w:jc w:val="lef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Reserve Margin</w:t>
                  </w:r>
                </w:p>
              </w:tc>
              <w:tc>
                <w:tcPr/>
                <w:p>
                  <w:pPr>
                    <w:pStyle w:val="Compact"/>
                    <w:jc w:val="right"/>
                    <w:jc w:val="center"/>
                  </w:pPr>
                  <w:r>
                    <w:t xml:space="preserve">0.15</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ratio</w:t>
                  </w:r>
                </w:p>
              </w:tc>
              <w:tc>
                <w:tcPr/>
                <w:p>
                  <w:pPr>
                    <w:pStyle w:val="Compact"/>
                    <w:jc w:val="left"/>
                    <w:jc w:val="center"/>
                  </w:pPr>
                  <w:r>
                    <w:t xml:space="preserve">Model design choice â€” NERC standard 15% planning reserve margin; IEC 62786 isl…</w:t>
                  </w:r>
                </w:p>
              </w:tc>
            </w:tr>
            <w:tr>
              <w:tc>
                <w:tcPr/>
                <w:p>
                  <w:pPr>
                    <w:pStyle w:val="Compact"/>
                    <w:jc w:val="left"/>
                    <w:jc w:val="center"/>
                  </w:pPr>
                  <w:r>
                    <w:t xml:space="preserve">Min Diesel Backup</w:t>
                  </w:r>
                </w:p>
              </w:tc>
              <w:tc>
                <w:tcPr/>
                <w:p>
                  <w:pPr>
                    <w:pStyle w:val="Compact"/>
                    <w:jc w:val="right"/>
                    <w:jc w:val="center"/>
                  </w:pPr>
                  <w:r>
                    <w:t xml:space="preserve">0.2</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ratio</w:t>
                  </w:r>
                </w:p>
              </w:tc>
              <w:tc>
                <w:tcPr/>
                <w:p>
                  <w:pPr>
                    <w:pStyle w:val="Compact"/>
                    <w:jc w:val="left"/>
                    <w:jc w:val="center"/>
                  </w:pPr>
                  <w:r>
                    <w:t xml:space="preserve">Model design choice â€” mirrors One Grid Diesel Backup Share; ensures N-1 reliab…</w:t>
                  </w:r>
                </w:p>
              </w:tc>
            </w:tr>
            <w:tr>
              <w:tc>
                <w:tcPr/>
                <w:p>
                  <w:pPr>
                    <w:pStyle w:val="Compact"/>
                    <w:jc w:val="left"/>
                    <w:jc w:val="center"/>
                  </w:pPr>
                  <w:r>
                    <w:t xml:space="preserve">Solar Peak Contribution</w:t>
                  </w:r>
                </w:p>
              </w:tc>
              <w:tc>
                <w:tcPr/>
                <w:p>
                  <w:pPr>
                    <w:pStyle w:val="Compact"/>
                    <w:jc w:val="right"/>
                    <w:jc w:val="center"/>
                  </w:pPr>
                  <w:r>
                    <w:t xml:space="preserve">0.1</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ratio</w:t>
                  </w:r>
                </w:p>
              </w:tc>
              <w:tc>
                <w:tcPr/>
                <w:p>
                  <w:pPr>
                    <w:pStyle w:val="Compact"/>
                    <w:jc w:val="left"/>
                    <w:jc w:val="center"/>
                  </w:pPr>
                  <w:r>
                    <w:t xml:space="preserve">Model design choice â€” capacity credit of solar PV for peak planning. NREL (202…</w:t>
                  </w:r>
                </w:p>
              </w:tc>
            </w:tr>
          </w:tbl>
          <w:p>
            <w:pPr>
              <w:pStyle w:val="Heading3"/>
              <w:jc w:val="center"/>
            </w:pPr>
            <w:bookmarkStart w:id="313" w:name="dispatch"/>
            <w:r>
              <w:t xml:space="preserve">22.1.24 Dispatch</w:t>
            </w:r>
            <w:bookmarkEnd w:id="313"/>
          </w:p>
          <w:tbl>
            <w:tblPr>
              <w:tblStyle w:val="Table"/>
              <w:tblW w:type="pct" w:w="5000"/>
              <w:tblLayout w:type="fixed"/>
              <w:tblLook w:firstRow="1" w:lastRow="0" w:firstColumn="0" w:lastColumn="0" w:noHBand="0" w:noVBand="0" w:val="0020"/>
            </w:tblPr>
            <w:tblGrid>
              <w:gridCol w:w="1658"/>
              <w:gridCol w:w="535"/>
              <w:gridCol w:w="374"/>
              <w:gridCol w:w="428"/>
              <w:gridCol w:w="481"/>
              <w:gridCol w:w="4441"/>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left"/>
                    <w:jc w:val="center"/>
                  </w:pPr>
                  <w:r>
                    <w:t xml:space="preserve">Low</w:t>
                  </w:r>
                </w:p>
              </w:tc>
              <w:tc>
                <w:tcPr/>
                <w:p>
                  <w:pPr>
                    <w:pStyle w:val="Compact"/>
                    <w:jc w:val="lef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Battery DoD Max</w:t>
                  </w:r>
                </w:p>
              </w:tc>
              <w:tc>
                <w:tcPr/>
                <w:p>
                  <w:pPr>
                    <w:pStyle w:val="Compact"/>
                    <w:jc w:val="right"/>
                    <w:jc w:val="center"/>
                  </w:pPr>
                  <w:r>
                    <w:t xml:space="preserve">0.8</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ratio</w:t>
                  </w:r>
                </w:p>
              </w:tc>
              <w:tc>
                <w:tcPr/>
                <w:p>
                  <w:pPr>
                    <w:pStyle w:val="Compact"/>
                    <w:jc w:val="left"/>
                    <w:jc w:val="center"/>
                  </w:pPr>
                  <w:r>
                    <w:t xml:space="preserve">GEP-OnSSET onsset.py L194; standard for LFP batteries</w:t>
                  </w:r>
                </w:p>
              </w:tc>
            </w:tr>
            <w:tr>
              <w:tc>
                <w:tcPr/>
                <w:p>
                  <w:pPr>
                    <w:pStyle w:val="Compact"/>
                    <w:jc w:val="left"/>
                    <w:jc w:val="center"/>
                  </w:pPr>
                  <w:r>
                    <w:t xml:space="preserve">Diesel Min Load Fraction</w:t>
                  </w:r>
                </w:p>
              </w:tc>
              <w:tc>
                <w:tcPr/>
                <w:p>
                  <w:pPr>
                    <w:pStyle w:val="Compact"/>
                    <w:jc w:val="right"/>
                    <w:jc w:val="center"/>
                  </w:pPr>
                  <w:r>
                    <w:t xml:space="preserve">0.4</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ratio</w:t>
                  </w:r>
                </w:p>
              </w:tc>
              <w:tc>
                <w:tcPr/>
                <w:p>
                  <w:pPr>
                    <w:pStyle w:val="Compact"/>
                    <w:jc w:val="left"/>
                    <w:jc w:val="center"/>
                  </w:pPr>
                  <w:r>
                    <w:t xml:space="preserve">GEP-OnSSET onsset.py L259; medium-speed diesel standard</w:t>
                  </w:r>
                </w:p>
              </w:tc>
            </w:tr>
            <w:tr>
              <w:tc>
                <w:tcPr/>
                <w:p>
                  <w:pPr>
                    <w:pStyle w:val="Compact"/>
                    <w:jc w:val="left"/>
                    <w:jc w:val="center"/>
                  </w:pPr>
                  <w:r>
                    <w:t xml:space="preserve">Fuel Curve Idle Coeff</w:t>
                  </w:r>
                </w:p>
              </w:tc>
              <w:tc>
                <w:tcPr/>
                <w:p>
                  <w:pPr>
                    <w:pStyle w:val="Compact"/>
                    <w:jc w:val="right"/>
                    <w:jc w:val="center"/>
                  </w:pPr>
                  <w:r>
                    <w:t xml:space="preserve">0.08145</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l/hr/kW</w:t>
                  </w:r>
                </w:p>
              </w:tc>
              <w:tc>
                <w:tcPr/>
                <w:p>
                  <w:pPr>
                    <w:pStyle w:val="Compact"/>
                    <w:jc w:val="left"/>
                    <w:jc w:val="center"/>
                  </w:pPr>
                  <w:r>
                    <w:t xml:space="preserve">GEP-OnSSET onsset.py L266; Mandelli et al. 2016</w:t>
                  </w:r>
                </w:p>
              </w:tc>
            </w:tr>
            <w:tr>
              <w:tc>
                <w:tcPr/>
                <w:p>
                  <w:pPr>
                    <w:pStyle w:val="Compact"/>
                    <w:jc w:val="left"/>
                    <w:jc w:val="center"/>
                  </w:pPr>
                  <w:r>
                    <w:t xml:space="preserve">Fuel Curve Proportional Coeff</w:t>
                  </w:r>
                </w:p>
              </w:tc>
              <w:tc>
                <w:tcPr/>
                <w:p>
                  <w:pPr>
                    <w:pStyle w:val="Compact"/>
                    <w:jc w:val="right"/>
                    <w:jc w:val="center"/>
                  </w:pPr>
                  <w:r>
                    <w:t xml:space="preserve">0.246</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l/kWh</w:t>
                  </w:r>
                </w:p>
              </w:tc>
              <w:tc>
                <w:tcPr/>
                <w:p>
                  <w:pPr>
                    <w:pStyle w:val="Compact"/>
                    <w:jc w:val="left"/>
                    <w:jc w:val="center"/>
                  </w:pPr>
                  <w:r>
                    <w:t xml:space="preserve">GEP-OnSSET onsset.py L266; Mandelli et al. 2016</w:t>
                  </w:r>
                </w:p>
              </w:tc>
            </w:tr>
            <w:tr>
              <w:tc>
                <w:tcPr/>
                <w:p>
                  <w:pPr>
                    <w:pStyle w:val="Compact"/>
                    <w:jc w:val="left"/>
                    <w:jc w:val="center"/>
                  </w:pPr>
                  <w:r>
                    <w:t xml:space="preserve">Battery Charge Efficiency</w:t>
                  </w:r>
                </w:p>
              </w:tc>
              <w:tc>
                <w:tcPr/>
                <w:p>
                  <w:pPr>
                    <w:pStyle w:val="Compact"/>
                    <w:jc w:val="right"/>
                    <w:jc w:val="center"/>
                  </w:pPr>
                  <w:r>
                    <w:t xml:space="preserve">0.938</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ratio</w:t>
                  </w:r>
                </w:p>
              </w:tc>
              <w:tc>
                <w:tcPr/>
                <w:p>
                  <w:pPr>
                    <w:pStyle w:val="Compact"/>
                    <w:jc w:val="left"/>
                    <w:jc w:val="center"/>
                  </w:pPr>
                  <w:r>
                    <w:t xml:space="preserve">sqrt(0.88 RT) â€” BNEF 2025 RT=0.88; C-WC-01 fix</w:t>
                  </w:r>
                </w:p>
              </w:tc>
            </w:tr>
            <w:tr>
              <w:tc>
                <w:tcPr/>
                <w:p>
                  <w:pPr>
                    <w:pStyle w:val="Compact"/>
                    <w:jc w:val="left"/>
                    <w:jc w:val="center"/>
                  </w:pPr>
                  <w:r>
                    <w:t xml:space="preserve">Battery Discharge Efficiency</w:t>
                  </w:r>
                </w:p>
              </w:tc>
              <w:tc>
                <w:tcPr/>
                <w:p>
                  <w:pPr>
                    <w:pStyle w:val="Compact"/>
                    <w:jc w:val="right"/>
                    <w:jc w:val="center"/>
                  </w:pPr>
                  <w:r>
                    <w:t xml:space="preserve">0.938</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ratio</w:t>
                  </w:r>
                </w:p>
              </w:tc>
              <w:tc>
                <w:tcPr/>
                <w:p>
                  <w:pPr>
                    <w:pStyle w:val="Compact"/>
                    <w:jc w:val="left"/>
                    <w:jc w:val="center"/>
                  </w:pPr>
                  <w:r>
                    <w:t xml:space="preserve">sqrt(0.88 RT) â€” BNEF 2025 RT=0.88; C-WC-01 fix</w:t>
                  </w:r>
                </w:p>
              </w:tc>
            </w:tr>
            <w:tr>
              <w:tc>
                <w:tcPr/>
                <w:p>
                  <w:pPr>
                    <w:pStyle w:val="Compact"/>
                    <w:jc w:val="left"/>
                    <w:jc w:val="center"/>
                  </w:pPr>
                  <w:r>
                    <w:t xml:space="preserve">Battery Self Discharge Rate</w:t>
                  </w:r>
                </w:p>
              </w:tc>
              <w:tc>
                <w:tcPr/>
                <w:p>
                  <w:pPr>
                    <w:pStyle w:val="Compact"/>
                    <w:jc w:val="right"/>
                    <w:jc w:val="center"/>
                  </w:pPr>
                  <w:r>
                    <w:t xml:space="preserve">0.0002</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/hr</w:t>
                  </w:r>
                </w:p>
              </w:tc>
              <w:tc>
                <w:tcPr/>
                <w:p>
                  <w:pPr>
                    <w:pStyle w:val="Compact"/>
                    <w:jc w:val="left"/>
                    <w:jc w:val="center"/>
                  </w:pPr>
                  <w:r>
                    <w:t xml:space="preserve">GEP-OnSSET onsset.py L251: soc *= 0.9998</w:t>
                  </w:r>
                </w:p>
              </w:tc>
            </w:tr>
            <w:tr>
              <w:tc>
                <w:tcPr/>
                <w:p>
                  <w:pPr>
                    <w:pStyle w:val="Compact"/>
                    <w:jc w:val="left"/>
                    <w:jc w:val="center"/>
                  </w:pPr>
                  <w:r>
                    <w:t xml:space="preserve">Break Hour</w:t>
                  </w:r>
                </w:p>
              </w:tc>
              <w:tc>
                <w:tcPr/>
                <w:p>
                  <w:pPr>
                    <w:pStyle w:val="Compact"/>
                    <w:jc w:val="right"/>
                    <w:jc w:val="center"/>
                  </w:pPr>
                  <w:r>
                    <w:t xml:space="preserve">17</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hour</w:t>
                  </w:r>
                </w:p>
              </w:tc>
              <w:tc>
                <w:tcPr/>
                <w:p>
                  <w:pPr>
                    <w:pStyle w:val="Compact"/>
                    <w:jc w:val="left"/>
                    <w:jc w:val="center"/>
                  </w:pPr>
                  <w:r>
                    <w:t xml:space="preserve">GEP-OnSSET dispatch strategy: battery priority before hour 17; diesel priority a…</w:t>
                  </w:r>
                </w:p>
              </w:tc>
            </w:tr>
            <w:tr>
              <w:tc>
                <w:tcPr/>
                <w:p>
                  <w:pPr>
                    <w:pStyle w:val="Compact"/>
                    <w:jc w:val="left"/>
                    <w:jc w:val="center"/>
                  </w:pPr>
                  <w:r>
                    <w:t xml:space="preserve">PV System Derating Factor</w:t>
                  </w:r>
                </w:p>
              </w:tc>
              <w:tc>
                <w:tcPr/>
                <w:p>
                  <w:pPr>
                    <w:pStyle w:val="Compact"/>
                    <w:jc w:val="right"/>
                    <w:jc w:val="center"/>
                  </w:pPr>
                  <w:r>
                    <w:t xml:space="preserve">0.9</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ratio</w:t>
                  </w:r>
                </w:p>
              </w:tc>
              <w:tc>
                <w:tcPr/>
                <w:p>
                  <w:pPr>
                    <w:pStyle w:val="Compact"/>
                    <w:jc w:val="left"/>
                    <w:jc w:val="center"/>
                  </w:pPr>
                  <w:r>
                    <w:t xml:space="preserve">GEP-OnSSET onsset.py: 0.9 module efficiency/mismatch/wiring losses</w:t>
                  </w:r>
                </w:p>
              </w:tc>
            </w:tr>
            <w:tr>
              <w:tc>
                <w:tcPr/>
                <w:p>
                  <w:pPr>
                    <w:pStyle w:val="Compact"/>
                    <w:jc w:val="left"/>
                    <w:jc w:val="center"/>
                  </w:pPr>
                  <w:r>
                    <w:t xml:space="preserve">Diesel Avg Capacity Factor</w:t>
                  </w:r>
                </w:p>
              </w:tc>
              <w:tc>
                <w:tcPr/>
                <w:p>
                  <w:pPr>
                    <w:pStyle w:val="Compact"/>
                    <w:jc w:val="right"/>
                    <w:jc w:val="center"/>
                  </w:pPr>
                  <w:r>
                    <w:t xml:space="preserve">0.6</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ratio</w:t>
                  </w:r>
                </w:p>
              </w:tc>
              <w:tc>
                <w:tcPr/>
                <w:p>
                  <w:pPr>
                    <w:pStyle w:val="Compact"/>
                    <w:jc w:val="left"/>
                    <w:jc w:val="center"/>
                  </w:pPr>
                  <w:r>
                    <w:t xml:space="preserve">Engineering estimate â€” diesel gensets on island systems typically 50-70% CF</w:t>
                  </w:r>
                </w:p>
              </w:tc>
            </w:tr>
            <w:tr>
              <w:tc>
                <w:tcPr/>
                <w:p>
                  <w:pPr>
                    <w:pStyle w:val="Compact"/>
                    <w:jc w:val="left"/>
                    <w:jc w:val="center"/>
                  </w:pPr>
                  <w:r>
                    <w:t xml:space="preserve">Hybrid Default Solar Share</w:t>
                  </w:r>
                </w:p>
              </w:tc>
              <w:tc>
                <w:tcPr/>
                <w:p>
                  <w:pPr>
                    <w:pStyle w:val="Compact"/>
                    <w:jc w:val="right"/>
                    <w:jc w:val="center"/>
                  </w:pPr>
                  <w:r>
                    <w:t xml:space="preserve">0.6</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ratio</w:t>
                  </w:r>
                </w:p>
              </w:tc>
              <w:tc>
                <w:tcPr/>
                <w:p>
                  <w:pPr>
                    <w:pStyle w:val="Compact"/>
                    <w:jc w:val="left"/>
                    <w:jc w:val="center"/>
                  </w:pPr>
                  <w:r>
                    <w:t xml:space="preserve">Engineering assumption â€” typical PV-diesel hybrid sizing targets 50-70% solar …</w:t>
                  </w:r>
                </w:p>
              </w:tc>
            </w:tr>
            <w:tr>
              <w:tc>
                <w:tcPr/>
                <w:p>
                  <w:pPr>
                    <w:pStyle w:val="Compact"/>
                    <w:jc w:val="left"/>
                    <w:jc w:val="center"/>
                  </w:pPr>
                  <w:r>
                    <w:t xml:space="preserve">Emergency Diesel CF</w:t>
                  </w:r>
                </w:p>
              </w:tc>
              <w:tc>
                <w:tcPr/>
                <w:p>
                  <w:pPr>
                    <w:pStyle w:val="Compact"/>
                    <w:jc w:val="right"/>
                    <w:jc w:val="center"/>
                  </w:pPr>
                  <w:r>
                    <w:t xml:space="preserve">0.6</w:t>
                  </w:r>
                </w:p>
              </w:tc>
              <w:tc>
                <w:tcPr/>
                <w:p>
                  <w:pPr>
                    <w:pStyle w:val="Compact"/>
                    <w:jc w:val="left"/>
                    <w:jc w:val="center"/>
                  </w:pPr>
                  <w:r>
                    <w:t xml:space="preserve">0.4</w:t>
                  </w:r>
                </w:p>
              </w:tc>
              <w:tc>
                <w:tcPr/>
                <w:p>
                  <w:pPr>
                    <w:pStyle w:val="Compact"/>
                    <w:jc w:val="left"/>
                    <w:jc w:val="center"/>
                  </w:pPr>
                  <w:r>
                    <w:t xml:space="preserve">0.8</w:t>
                  </w:r>
                </w:p>
              </w:tc>
              <w:tc>
                <w:tcPr/>
                <w:p>
                  <w:pPr>
                    <w:pStyle w:val="Compact"/>
                    <w:jc w:val="left"/>
                    <w:jc w:val="center"/>
                  </w:pPr>
                  <w:r>
                    <w:t xml:space="preserve">ratio</w:t>
                  </w:r>
                </w:p>
              </w:tc>
              <w:tc>
                <w:tcPr/>
                <w:p>
                  <w:pPr>
                    <w:pStyle w:val="Compact"/>
                    <w:jc w:val="left"/>
                    <w:jc w:val="center"/>
                  </w:pPr>
                  <w:r>
                    <w:t xml:space="preserve">Engineering estimate â€” diesel gensets during cable outage operate at 50-70% CF…</w:t>
                  </w:r>
                </w:p>
              </w:tc>
            </w:tr>
            <w:tr>
              <w:tc>
                <w:tcPr/>
                <w:p>
                  <w:pPr>
                    <w:pStyle w:val="Compact"/>
                    <w:jc w:val="left"/>
                    <w:jc w:val="center"/>
                  </w:pPr>
                  <w:r>
                    <w:t xml:space="preserve">Max SAIDI Reduction Fraction</w:t>
                  </w:r>
                </w:p>
              </w:tc>
              <w:tc>
                <w:tcPr/>
                <w:p>
                  <w:pPr>
                    <w:pStyle w:val="Compact"/>
                    <w:jc w:val="right"/>
                    <w:jc w:val="center"/>
                  </w:pPr>
                  <w:r>
                    <w:t xml:space="preserve">0.8</w:t>
                  </w:r>
                </w:p>
              </w:tc>
              <w:tc>
                <w:tcPr/>
                <w:p>
                  <w:pPr>
                    <w:pStyle w:val="Compact"/>
                    <w:jc w:val="left"/>
                    <w:jc w:val="center"/>
                  </w:pPr>
                  <w:r>
                    <w:t xml:space="preserve">0.6</w:t>
                  </w:r>
                </w:p>
              </w:tc>
              <w:tc>
                <w:tcPr/>
                <w:p>
                  <w:pPr>
                    <w:pStyle w:val="Compact"/>
                    <w:jc w:val="left"/>
                    <w:jc w:val="center"/>
                  </w:pPr>
                  <w:r>
                    <w:t xml:space="preserve">0.95</w:t>
                  </w:r>
                </w:p>
              </w:tc>
              <w:tc>
                <w:tcPr/>
                <w:p>
                  <w:pPr>
                    <w:pStyle w:val="Compact"/>
                    <w:jc w:val="left"/>
                    <w:jc w:val="center"/>
                  </w:pPr>
                  <w:r>
                    <w:t xml:space="preserve">ratio</w:t>
                  </w:r>
                </w:p>
              </w:tc>
              <w:tc>
                <w:tcPr/>
                <w:p>
                  <w:pPr>
                    <w:pStyle w:val="Compact"/>
                    <w:jc w:val="left"/>
                    <w:jc w:val="center"/>
                  </w:pPr>
                  <w:r>
                    <w:t xml:space="preserve">Engineering assumption â€” RE diversification can reduce SAIDI by up to 80%; dim…</w:t>
                  </w:r>
                </w:p>
              </w:tc>
            </w:tr>
          </w:tbl>
          <w:p>
            <w:pPr>
              <w:pStyle w:val="Heading3"/>
              <w:jc w:val="center"/>
            </w:pPr>
            <w:bookmarkStart w:id="314" w:name="losses"/>
            <w:r>
              <w:t xml:space="preserve">22.1.25 Losses</w:t>
            </w:r>
            <w:bookmarkEnd w:id="314"/>
          </w:p>
          <w:tbl>
            <w:tblPr>
              <w:tblStyle w:val="Table"/>
              <w:tblW w:type="pct" w:w="5000"/>
              <w:tblLayout w:type="fixed"/>
              <w:tblLook w:firstRow="1" w:lastRow="0" w:firstColumn="0" w:lastColumn="0" w:noHBand="0" w:noVBand="0" w:val="0020"/>
            </w:tblPr>
            <w:tblGrid>
              <w:gridCol w:w="1254"/>
              <w:gridCol w:w="594"/>
              <w:gridCol w:w="462"/>
              <w:gridCol w:w="528"/>
              <w:gridCol w:w="528"/>
              <w:gridCol w:w="4554"/>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left"/>
                    <w:jc w:val="center"/>
                  </w:pPr>
                  <w:r>
                    <w:t xml:space="preserve">Low</w:t>
                  </w:r>
                </w:p>
              </w:tc>
              <w:tc>
                <w:tcPr/>
                <w:p>
                  <w:pPr>
                    <w:pStyle w:val="Compact"/>
                    <w:jc w:val="lef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Distribution Loss</w:t>
                  </w:r>
                </w:p>
              </w:tc>
              <w:tc>
                <w:tcPr/>
                <w:p>
                  <w:pPr>
                    <w:pStyle w:val="Compact"/>
                    <w:jc w:val="right"/>
                    <w:jc w:val="center"/>
                  </w:pPr>
                  <w:r>
                    <w:t xml:space="preserve">0.11</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ratio</w:t>
                  </w:r>
                </w:p>
              </w:tc>
              <w:tc>
                <w:tcPr/>
                <w:p>
                  <w:pPr>
                    <w:pStyle w:val="Compact"/>
                    <w:jc w:val="left"/>
                    <w:jc w:val="center"/>
                  </w:pPr>
                  <w:r>
                    <w:t xml:space="preserve">World Bank WDI: Maldives electric power T&amp;D losses ~11%</w:t>
                  </w:r>
                </w:p>
              </w:tc>
            </w:tr>
            <w:tr>
              <w:tc>
                <w:tcPr/>
                <w:p>
                  <w:pPr>
                    <w:pStyle w:val="Compact"/>
                    <w:jc w:val="left"/>
                    <w:jc w:val="center"/>
                  </w:pPr>
                  <w:r>
                    <w:t xml:space="preserve">Male Grid Loss</w:t>
                  </w:r>
                </w:p>
              </w:tc>
              <w:tc>
                <w:tcPr/>
                <w:p>
                  <w:pPr>
                    <w:pStyle w:val="Compact"/>
                    <w:jc w:val="right"/>
                    <w:jc w:val="center"/>
                  </w:pPr>
                  <w:r>
                    <w:t xml:space="preserve">0.08</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ratio</w:t>
                  </w:r>
                </w:p>
              </w:tc>
              <w:tc>
                <w:tcPr/>
                <w:p>
                  <w:pPr>
                    <w:pStyle w:val="Compact"/>
                    <w:jc w:val="left"/>
                    <w:jc w:val="center"/>
                  </w:pPr>
                  <w:r>
                    <w:t xml:space="preserve">STELCO Annual Report 2022; compact MalÃ© network, modern switchgear</w:t>
                  </w:r>
                </w:p>
              </w:tc>
            </w:tr>
            <w:tr>
              <w:tc>
                <w:tcPr/>
                <w:p>
                  <w:pPr>
                    <w:pStyle w:val="Compact"/>
                    <w:jc w:val="left"/>
                    <w:jc w:val="center"/>
                  </w:pPr>
                  <w:r>
                    <w:t xml:space="preserve">Outer Grid Loss</w:t>
                  </w:r>
                </w:p>
              </w:tc>
              <w:tc>
                <w:tcPr/>
                <w:p>
                  <w:pPr>
                    <w:pStyle w:val="Compact"/>
                    <w:jc w:val="right"/>
                    <w:jc w:val="center"/>
                  </w:pPr>
                  <w:r>
                    <w:t xml:space="preserve">0.12</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ratio</w:t>
                  </w:r>
                </w:p>
              </w:tc>
              <w:tc>
                <w:tcPr/>
                <w:p>
                  <w:pPr>
                    <w:pStyle w:val="Compact"/>
                    <w:jc w:val="left"/>
                    <w:jc w:val="center"/>
                  </w:pPr>
                  <w:r>
                    <w:t xml:space="preserve">World Bank WDI 2023; outer island long feeders + aging transformers</w:t>
                  </w:r>
                </w:p>
              </w:tc>
            </w:tr>
            <w:tr>
              <w:tc>
                <w:tcPr/>
                <w:p>
                  <w:pPr>
                    <w:pStyle w:val="Compact"/>
                    <w:jc w:val="left"/>
                    <w:jc w:val="center"/>
                  </w:pPr>
                  <w:r>
                    <w:t xml:space="preserve">HVDC Cable Loss</w:t>
                  </w:r>
                </w:p>
              </w:tc>
              <w:tc>
                <w:tcPr/>
                <w:p>
                  <w:pPr>
                    <w:pStyle w:val="Compact"/>
                    <w:jc w:val="right"/>
                    <w:jc w:val="center"/>
                  </w:pPr>
                  <w:r>
                    <w:t xml:space="preserve">0.04</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ratio</w:t>
                  </w:r>
                </w:p>
              </w:tc>
              <w:tc>
                <w:tcPr/>
                <w:p>
                  <w:pPr>
                    <w:pStyle w:val="Compact"/>
                    <w:jc w:val="left"/>
                    <w:jc w:val="center"/>
                  </w:pPr>
                  <w:r>
                    <w:t xml:space="preserve">Skog et al. CIGRE 2010 B1-106 p.10; NorNed measured 4.2%</w:t>
                  </w:r>
                </w:p>
              </w:tc>
            </w:tr>
          </w:tbl>
          <w:p>
            <w:pPr>
              <w:pStyle w:val="Heading3"/>
              <w:jc w:val="center"/>
            </w:pPr>
            <w:bookmarkStart w:id="315" w:name="cable-outage"/>
            <w:r>
              <w:t xml:space="preserve">22.1.26 Cable Outage</w:t>
            </w:r>
            <w:bookmarkEnd w:id="315"/>
          </w:p>
          <w:tbl>
            <w:tblPr>
              <w:tblStyle w:val="Table"/>
              <w:tblW w:type="pct" w:w="5000"/>
              <w:tblLayout w:type="fixed"/>
              <w:tblLook w:firstRow="1" w:lastRow="0" w:firstColumn="0" w:lastColumn="0" w:noHBand="0" w:noVBand="0" w:val="0020"/>
            </w:tblPr>
            <w:tblGrid>
              <w:gridCol w:w="1196"/>
              <w:gridCol w:w="512"/>
              <w:gridCol w:w="398"/>
              <w:gridCol w:w="455"/>
              <w:gridCol w:w="626"/>
              <w:gridCol w:w="4729"/>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left"/>
                    <w:jc w:val="center"/>
                  </w:pPr>
                  <w:r>
                    <w:t xml:space="preserve">Low</w:t>
                  </w:r>
                </w:p>
              </w:tc>
              <w:tc>
                <w:tcPr/>
                <w:p>
                  <w:pPr>
                    <w:pStyle w:val="Compact"/>
                    <w:jc w:val="lef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Outage Rate</w:t>
                  </w:r>
                </w:p>
              </w:tc>
              <w:tc>
                <w:tcPr/>
                <w:p>
                  <w:pPr>
                    <w:pStyle w:val="Compact"/>
                    <w:jc w:val="right"/>
                    <w:jc w:val="center"/>
                  </w:pPr>
                  <w:r>
                    <w:t xml:space="preserve">0.15</w:t>
                  </w:r>
                </w:p>
              </w:tc>
              <w:tc>
                <w:tcPr/>
                <w:p>
                  <w:pPr>
                    <w:pStyle w:val="Compact"/>
                    <w:jc w:val="left"/>
                    <w:jc w:val="center"/>
                  </w:pPr>
                  <w:r>
                    <w:t xml:space="preserve">0.1</w:t>
                  </w:r>
                </w:p>
              </w:tc>
              <w:tc>
                <w:tcPr/>
                <w:p>
                  <w:pPr>
                    <w:pStyle w:val="Compact"/>
                    <w:jc w:val="left"/>
                    <w:jc w:val="center"/>
                  </w:pPr>
                  <w:r>
                    <w:t xml:space="preserve">0.2</w:t>
                  </w:r>
                </w:p>
              </w:tc>
              <w:tc>
                <w:tcPr/>
                <w:p>
                  <w:pPr>
                    <w:pStyle w:val="Compact"/>
                    <w:jc w:val="left"/>
                    <w:jc w:val="center"/>
                  </w:pPr>
                  <w:r>
                    <w:t xml:space="preserve">events/yr</w:t>
                  </w:r>
                </w:p>
              </w:tc>
              <w:tc>
                <w:tcPr/>
                <w:p>
                  <w:pPr>
                    <w:pStyle w:val="Compact"/>
                    <w:jc w:val="left"/>
                    <w:jc w:val="center"/>
                  </w:pPr>
                  <w:r>
                    <w:t xml:space="preserve">NorNed ~0.13/yr (2 in 15yr); Basslink ~0.18/yr (3 in 17yr); Wikipedia public rec…</w:t>
                  </w:r>
                </w:p>
              </w:tc>
            </w:tr>
            <w:tr>
              <w:tc>
                <w:tcPr/>
                <w:p>
                  <w:pPr>
                    <w:pStyle w:val="Compact"/>
                    <w:jc w:val="left"/>
                    <w:jc w:val="center"/>
                  </w:pPr>
                  <w:r>
                    <w:t xml:space="preserve">Min Outage Duration</w:t>
                  </w:r>
                </w:p>
              </w:tc>
              <w:tc>
                <w:tcPr/>
                <w:p>
                  <w:pPr>
                    <w:pStyle w:val="Compact"/>
                    <w:jc w:val="right"/>
                    <w:jc w:val="center"/>
                  </w:pPr>
                  <w:r>
                    <w:t xml:space="preserve">1</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months</w:t>
                  </w:r>
                </w:p>
              </w:tc>
              <w:tc>
                <w:tcPr/>
                <w:p>
                  <w:pPr>
                    <w:pStyle w:val="Compact"/>
                    <w:jc w:val="left"/>
                    <w:jc w:val="center"/>
                  </w:pPr>
                  <w:r>
                    <w:t xml:space="preserve">Basslink/NorNed repair histories</w:t>
                  </w:r>
                </w:p>
              </w:tc>
            </w:tr>
            <w:tr>
              <w:tc>
                <w:tcPr/>
                <w:p>
                  <w:pPr>
                    <w:pStyle w:val="Compact"/>
                    <w:jc w:val="left"/>
                    <w:jc w:val="center"/>
                  </w:pPr>
                  <w:r>
                    <w:t xml:space="preserve">Max Outage Duration</w:t>
                  </w:r>
                </w:p>
              </w:tc>
              <w:tc>
                <w:tcPr/>
                <w:p>
                  <w:pPr>
                    <w:pStyle w:val="Compact"/>
                    <w:jc w:val="right"/>
                    <w:jc w:val="center"/>
                  </w:pPr>
                  <w:r>
                    <w:t xml:space="preserve">6</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months</w:t>
                  </w:r>
                </w:p>
              </w:tc>
              <w:tc>
                <w:tcPr/>
                <w:p>
                  <w:pPr>
                    <w:pStyle w:val="Compact"/>
                    <w:jc w:val="left"/>
                    <w:jc w:val="center"/>
                  </w:pPr>
                  <w:r>
                    <w:t xml:space="preserve">Basslink 2015-16: 6 months; NorNed 2022: 5+ months</w:t>
                  </w:r>
                </w:p>
              </w:tc>
            </w:tr>
          </w:tbl>
          <w:p>
            <w:pPr>
              <w:pStyle w:val="Heading3"/>
              <w:jc w:val="center"/>
            </w:pPr>
            <w:bookmarkStart w:id="316" w:name="financing"/>
            <w:r>
              <w:t xml:space="preserve">22.1.27 Financing</w:t>
            </w:r>
            <w:bookmarkEnd w:id="316"/>
          </w:p>
          <w:tbl>
            <w:tblPr>
              <w:tblStyle w:val="Table"/>
              <w:tblW w:type="pct" w:w="5000"/>
              <w:tblLayout w:type="fixed"/>
              <w:tblLook w:firstRow="1" w:lastRow="0" w:firstColumn="0" w:lastColumn="0" w:noHBand="0" w:noVBand="0" w:val="0020"/>
            </w:tblPr>
            <w:tblGrid>
              <w:gridCol w:w="1529"/>
              <w:gridCol w:w="491"/>
              <w:gridCol w:w="382"/>
              <w:gridCol w:w="436"/>
              <w:gridCol w:w="546"/>
              <w:gridCol w:w="4533"/>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left"/>
                    <w:jc w:val="center"/>
                  </w:pPr>
                  <w:r>
                    <w:t xml:space="preserve">Low</w:t>
                  </w:r>
                </w:p>
              </w:tc>
              <w:tc>
                <w:tcPr/>
                <w:p>
                  <w:pPr>
                    <w:pStyle w:val="Compact"/>
                    <w:jc w:val="lef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ADB SIDS Concessional Rate</w:t>
                  </w:r>
                </w:p>
              </w:tc>
              <w:tc>
                <w:tcPr/>
                <w:p>
                  <w:pPr>
                    <w:pStyle w:val="Compact"/>
                    <w:jc w:val="right"/>
                    <w:jc w:val="center"/>
                  </w:pPr>
                  <w:r>
                    <w:t xml:space="preserve">0.01</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ratio</w:t>
                  </w:r>
                </w:p>
              </w:tc>
              <w:tc>
                <w:tcPr/>
                <w:p>
                  <w:pPr>
                    <w:pStyle w:val="Compact"/>
                    <w:jc w:val="left"/>
                    <w:jc w:val="center"/>
                  </w:pPr>
                  <w:r>
                    <w:t xml:space="preserve">ADB Lending Policies and Rates 2026: Group A/B SIDS 1% per year</w:t>
                  </w:r>
                </w:p>
              </w:tc>
            </w:tr>
            <w:tr>
              <w:tc>
                <w:tcPr/>
                <w:p>
                  <w:pPr>
                    <w:pStyle w:val="Compact"/>
                    <w:jc w:val="left"/>
                    <w:jc w:val="center"/>
                  </w:pPr>
                  <w:r>
                    <w:t xml:space="preserve">ADB SIDS Maturity</w:t>
                  </w:r>
                </w:p>
              </w:tc>
              <w:tc>
                <w:tcPr/>
                <w:p>
                  <w:pPr>
                    <w:pStyle w:val="Compact"/>
                    <w:jc w:val="right"/>
                    <w:jc w:val="center"/>
                  </w:pPr>
                  <w:r>
                    <w:t xml:space="preserve">40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years</w:t>
                  </w:r>
                </w:p>
              </w:tc>
              <w:tc>
                <w:tcPr/>
                <w:p>
                  <w:pPr>
                    <w:pStyle w:val="Compact"/>
                    <w:jc w:val="left"/>
                    <w:jc w:val="center"/>
                  </w:pPr>
                  <w:r>
                    <w:t xml:space="preserve">ADB Lending Policies and Rates 2026</w:t>
                  </w:r>
                </w:p>
              </w:tc>
            </w:tr>
            <w:tr>
              <w:tc>
                <w:tcPr/>
                <w:p>
                  <w:pPr>
                    <w:pStyle w:val="Compact"/>
                    <w:jc w:val="left"/>
                    <w:jc w:val="center"/>
                  </w:pPr>
                  <w:r>
                    <w:t xml:space="preserve">ADB SIDS Grace Period</w:t>
                  </w:r>
                </w:p>
              </w:tc>
              <w:tc>
                <w:tcPr/>
                <w:p>
                  <w:pPr>
                    <w:pStyle w:val="Compact"/>
                    <w:jc w:val="right"/>
                    <w:jc w:val="center"/>
                  </w:pPr>
                  <w:r>
                    <w:t xml:space="preserve">10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years</w:t>
                  </w:r>
                </w:p>
              </w:tc>
              <w:tc>
                <w:tcPr/>
                <w:p>
                  <w:pPr>
                    <w:pStyle w:val="Compact"/>
                    <w:jc w:val="left"/>
                    <w:jc w:val="center"/>
                  </w:pPr>
                  <w:r>
                    <w:t xml:space="preserve">ADB Lending Policies and Rates 2026</w:t>
                  </w:r>
                </w:p>
              </w:tc>
            </w:tr>
            <w:tr>
              <w:tc>
                <w:tcPr/>
                <w:p>
                  <w:pPr>
                    <w:pStyle w:val="Compact"/>
                    <w:jc w:val="left"/>
                    <w:jc w:val="center"/>
                  </w:pPr>
                  <w:r>
                    <w:t xml:space="preserve">ADB Eligible CAPEX Share</w:t>
                  </w:r>
                </w:p>
              </w:tc>
              <w:tc>
                <w:tcPr/>
                <w:p>
                  <w:pPr>
                    <w:pStyle w:val="Compact"/>
                    <w:jc w:val="right"/>
                    <w:jc w:val="center"/>
                  </w:pPr>
                  <w:r>
                    <w:t xml:space="preserve">0.6</w:t>
                  </w:r>
                </w:p>
              </w:tc>
              <w:tc>
                <w:tcPr/>
                <w:p>
                  <w:pPr>
                    <w:pStyle w:val="Compact"/>
                    <w:jc w:val="left"/>
                    <w:jc w:val="center"/>
                  </w:pPr>
                  <w:r>
                    <w:t xml:space="preserve">0.4</w:t>
                  </w:r>
                </w:p>
              </w:tc>
              <w:tc>
                <w:tcPr/>
                <w:p>
                  <w:pPr>
                    <w:pStyle w:val="Compact"/>
                    <w:jc w:val="left"/>
                    <w:jc w:val="center"/>
                  </w:pPr>
                  <w:r>
                    <w:t xml:space="preserve">0.8</w:t>
                  </w:r>
                </w:p>
              </w:tc>
              <w:tc>
                <w:tcPr/>
                <w:p>
                  <w:pPr>
                    <w:pStyle w:val="Compact"/>
                    <w:jc w:val="left"/>
                    <w:jc w:val="center"/>
                  </w:pPr>
                  <w:r>
                    <w:t xml:space="preserve">fraction</w:t>
                  </w:r>
                </w:p>
              </w:tc>
              <w:tc>
                <w:tcPr/>
                <w:p>
                  <w:pPr>
                    <w:pStyle w:val="Compact"/>
                    <w:jc w:val="left"/>
                    <w:jc w:val="center"/>
                  </w:pPr>
                  <w:r>
                    <w:t xml:space="preserve">Illustrative â€” typical ADB/MDB energy sector financing covers 40-80% of projec…</w:t>
                  </w:r>
                </w:p>
              </w:tc>
            </w:tr>
            <w:tr>
              <w:tc>
                <w:tcPr/>
                <w:p>
                  <w:pPr>
                    <w:pStyle w:val="Compact"/>
                    <w:jc w:val="left"/>
                    <w:jc w:val="center"/>
                  </w:pPr>
                  <w:r>
                    <w:t xml:space="preserve">Commercial Loan Maturity</w:t>
                  </w:r>
                </w:p>
              </w:tc>
              <w:tc>
                <w:tcPr/>
                <w:p>
                  <w:pPr>
                    <w:pStyle w:val="Compact"/>
                    <w:jc w:val="right"/>
                    <w:jc w:val="center"/>
                  </w:pPr>
                  <w:r>
                    <w:t xml:space="preserve">20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years</w:t>
                  </w:r>
                </w:p>
              </w:tc>
              <w:tc>
                <w:tcPr/>
                <w:p>
                  <w:pPr>
                    <w:pStyle w:val="Compact"/>
                    <w:jc w:val="left"/>
                    <w:jc w:val="center"/>
                  </w:pPr>
                  <w:r>
                    <w:t xml:space="preserve">Standard infrastructure project finance maturity; ADB/IFC SIDS precedent</w:t>
                  </w:r>
                </w:p>
              </w:tc>
            </w:tr>
            <w:tr>
              <w:tc>
                <w:tcPr/>
                <w:p>
                  <w:pPr>
                    <w:pStyle w:val="Compact"/>
                    <w:jc w:val="left"/>
                    <w:jc w:val="center"/>
                  </w:pPr>
                  <w:r>
                    <w:t xml:space="preserve">Commercial Loan Grace</w:t>
                  </w:r>
                </w:p>
              </w:tc>
              <w:tc>
                <w:tcPr/>
                <w:p>
                  <w:pPr>
                    <w:pStyle w:val="Compact"/>
                    <w:jc w:val="right"/>
                    <w:jc w:val="center"/>
                  </w:pPr>
                  <w:r>
                    <w:t xml:space="preserve">2</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years</w:t>
                  </w:r>
                </w:p>
              </w:tc>
              <w:tc>
                <w:tcPr/>
                <w:p>
                  <w:pPr>
                    <w:pStyle w:val="Compact"/>
                    <w:jc w:val="left"/>
                    <w:jc w:val="center"/>
                  </w:pPr>
                  <w:r>
                    <w:t xml:space="preserve">Standard 2yr construction grace; ADB/IFC SIDS precedent</w:t>
                  </w:r>
                </w:p>
              </w:tc>
            </w:tr>
          </w:tbl>
          <w:p>
            <w:pPr>
              <w:pStyle w:val="Heading3"/>
              <w:jc w:val="center"/>
            </w:pPr>
            <w:bookmarkStart w:id="317" w:name="health"/>
            <w:r>
              <w:t xml:space="preserve">22.1.28 Health</w:t>
            </w:r>
            <w:bookmarkEnd w:id="317"/>
          </w:p>
          <w:tbl>
            <w:tblPr>
              <w:tblStyle w:val="Table"/>
              <w:tblW w:type="pct" w:w="5000"/>
              <w:tblLayout w:type="fixed"/>
              <w:tblLook w:firstRow="1" w:lastRow="0" w:firstColumn="0" w:lastColumn="0" w:noHBand="0" w:noVBand="0" w:val="0020"/>
            </w:tblPr>
            <w:tblGrid>
              <w:gridCol w:w="1540"/>
              <w:gridCol w:w="495"/>
              <w:gridCol w:w="385"/>
              <w:gridCol w:w="440"/>
              <w:gridCol w:w="495"/>
              <w:gridCol w:w="4565"/>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left"/>
                    <w:jc w:val="center"/>
                  </w:pPr>
                  <w:r>
                    <w:t xml:space="preserve">Low</w:t>
                  </w:r>
                </w:p>
              </w:tc>
              <w:tc>
                <w:tcPr/>
                <w:p>
                  <w:pPr>
                    <w:pStyle w:val="Compact"/>
                    <w:jc w:val="lef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Damage Cost per MWh Diesel</w:t>
                  </w:r>
                </w:p>
              </w:tc>
              <w:tc>
                <w:tcPr/>
                <w:p>
                  <w:pPr>
                    <w:pStyle w:val="Compact"/>
                    <w:jc w:val="right"/>
                    <w:jc w:val="center"/>
                  </w:pPr>
                  <w:r>
                    <w:t xml:space="preserve">40</w:t>
                  </w:r>
                </w:p>
              </w:tc>
              <w:tc>
                <w:tcPr/>
                <w:p>
                  <w:pPr>
                    <w:pStyle w:val="Compact"/>
                    <w:jc w:val="left"/>
                    <w:jc w:val="center"/>
                  </w:pPr>
                  <w:r>
                    <w:t xml:space="preserve">20</w:t>
                  </w:r>
                </w:p>
              </w:tc>
              <w:tc>
                <w:tcPr/>
                <w:p>
                  <w:pPr>
                    <w:pStyle w:val="Compact"/>
                    <w:jc w:val="left"/>
                    <w:jc w:val="center"/>
                  </w:pPr>
                  <w:r>
                    <w:t xml:space="preserve">80</w:t>
                  </w:r>
                </w:p>
              </w:tc>
              <w:tc>
                <w:tcPr/>
                <w:p>
                  <w:pPr>
                    <w:pStyle w:val="Compact"/>
                    <w:jc w:val="left"/>
                    <w:jc w:val="center"/>
                  </w:pPr>
                  <w:r>
                    <w:t xml:space="preserve">USD/MWh</w:t>
                  </w:r>
                </w:p>
              </w:tc>
              <w:tc>
                <w:tcPr/>
                <w:p>
                  <w:pPr>
                    <w:pStyle w:val="Compact"/>
                    <w:jc w:val="left"/>
                    <w:jc w:val="center"/>
                  </w:pPr>
                  <w:r>
                    <w:t xml:space="preserve">Parry et al. (2014) IMF WP/14/174 framework; updated by Black et al. (2023) IMF …</w:t>
                  </w:r>
                </w:p>
              </w:tc>
            </w:tr>
            <w:tr>
              <w:tc>
                <w:tcPr/>
                <w:p>
                  <w:pPr>
                    <w:pStyle w:val="Compact"/>
                    <w:jc w:val="left"/>
                    <w:jc w:val="center"/>
                  </w:pPr>
                  <w:r>
                    <w:t xml:space="preserve">PM25 Emission Factor</w:t>
                  </w:r>
                </w:p>
              </w:tc>
              <w:tc>
                <w:tcPr/>
                <w:p>
                  <w:pPr>
                    <w:pStyle w:val="Compact"/>
                    <w:jc w:val="right"/>
                    <w:jc w:val="center"/>
                  </w:pPr>
                  <w:r>
                    <w:t xml:space="preserve">0.0002</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t/MWh</w:t>
                  </w:r>
                </w:p>
              </w:tc>
              <w:tc>
                <w:tcPr/>
                <w:p>
                  <w:pPr>
                    <w:pStyle w:val="Compact"/>
                    <w:jc w:val="left"/>
                    <w:jc w:val="center"/>
                  </w:pPr>
                  <w:r>
                    <w:t xml:space="preserve">EPA AP-42 Ch.3.4 Diesel Engines</w:t>
                  </w:r>
                </w:p>
              </w:tc>
            </w:tr>
            <w:tr>
              <w:tc>
                <w:tcPr/>
                <w:p>
                  <w:pPr>
                    <w:pStyle w:val="Compact"/>
                    <w:jc w:val="left"/>
                    <w:jc w:val="center"/>
                  </w:pPr>
                  <w:r>
                    <w:t xml:space="preserve">NOx Emission Factor</w:t>
                  </w:r>
                </w:p>
              </w:tc>
              <w:tc>
                <w:tcPr/>
                <w:p>
                  <w:pPr>
                    <w:pStyle w:val="Compact"/>
                    <w:jc w:val="right"/>
                    <w:jc w:val="center"/>
                  </w:pPr>
                  <w:r>
                    <w:t xml:space="preserve">0.01</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t/MWh</w:t>
                  </w:r>
                </w:p>
              </w:tc>
              <w:tc>
                <w:tcPr/>
                <w:p>
                  <w:pPr>
                    <w:pStyle w:val="Compact"/>
                    <w:jc w:val="left"/>
                    <w:jc w:val="center"/>
                  </w:pPr>
                  <w:r>
                    <w:t xml:space="preserve">EPA AP-42 Ch.3.4 Diesel Engines</w:t>
                  </w:r>
                </w:p>
              </w:tc>
            </w:tr>
          </w:tbl>
          <w:p>
            <w:pPr>
              <w:pStyle w:val="Heading3"/>
              <w:jc w:val="center"/>
            </w:pPr>
            <w:bookmarkStart w:id="318" w:name="climate"/>
            <w:r>
              <w:t xml:space="preserve">22.1.29 Climate</w:t>
            </w:r>
            <w:bookmarkEnd w:id="318"/>
          </w:p>
          <w:tbl>
            <w:tblPr>
              <w:tblStyle w:val="Table"/>
              <w:tblW w:type="pct" w:w="5000"/>
              <w:tblLayout w:type="fixed"/>
              <w:tblLook w:firstRow="1" w:lastRow="0" w:firstColumn="0" w:lastColumn="0" w:noHBand="0" w:noVBand="0" w:val="0020"/>
            </w:tblPr>
            <w:tblGrid>
              <w:gridCol w:w="1430"/>
              <w:gridCol w:w="550"/>
              <w:gridCol w:w="385"/>
              <w:gridCol w:w="440"/>
              <w:gridCol w:w="550"/>
              <w:gridCol w:w="4565"/>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left"/>
                    <w:jc w:val="center"/>
                  </w:pPr>
                  <w:r>
                    <w:t xml:space="preserve">Low</w:t>
                  </w:r>
                </w:p>
              </w:tc>
              <w:tc>
                <w:tcPr/>
                <w:p>
                  <w:pPr>
                    <w:pStyle w:val="Compact"/>
                    <w:jc w:val="lef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Adaptation CAPEX Premium</w:t>
                  </w:r>
                </w:p>
              </w:tc>
              <w:tc>
                <w:tcPr/>
                <w:p>
                  <w:pPr>
                    <w:pStyle w:val="Compact"/>
                    <w:jc w:val="right"/>
                    <w:jc w:val="center"/>
                  </w:pPr>
                  <w:r>
                    <w:t xml:space="preserve">0.075</w:t>
                  </w:r>
                </w:p>
              </w:tc>
              <w:tc>
                <w:tcPr/>
                <w:p>
                  <w:pPr>
                    <w:pStyle w:val="Compact"/>
                    <w:jc w:val="left"/>
                    <w:jc w:val="center"/>
                  </w:pPr>
                  <w:r>
                    <w:t xml:space="preserve">0.05</w:t>
                  </w:r>
                </w:p>
              </w:tc>
              <w:tc>
                <w:tcPr/>
                <w:p>
                  <w:pPr>
                    <w:pStyle w:val="Compact"/>
                    <w:jc w:val="left"/>
                    <w:jc w:val="center"/>
                  </w:pPr>
                  <w:r>
                    <w:t xml:space="preserve">0.15</w:t>
                  </w:r>
                </w:p>
              </w:tc>
              <w:tc>
                <w:tcPr/>
                <w:p>
                  <w:pPr>
                    <w:pStyle w:val="Compact"/>
                    <w:jc w:val="left"/>
                    <w:jc w:val="center"/>
                  </w:pPr>
                  <w:r>
                    <w:t xml:space="preserve">fraction</w:t>
                  </w:r>
                </w:p>
              </w:tc>
              <w:tc>
                <w:tcPr/>
                <w:p>
                  <w:pPr>
                    <w:pStyle w:val="Compact"/>
                    <w:jc w:val="left"/>
                    <w:jc w:val="center"/>
                  </w:pPr>
                  <w:r>
                    <w:t xml:space="preserve">GCA (2025)</w:t>
                  </w:r>
                  <w:r>
                    <w:t xml:space="preserve"> </w:t>
                  </w:r>
                  <w:r>
                    <w:t xml:space="preserve">‘Adapt Now: SIDS’</w:t>
                  </w:r>
                  <w:r>
                    <w:t xml:space="preserve"> </w:t>
                  </w:r>
                  <w:r>
                    <w:t xml:space="preserve">â€” BCR 6.5 for Maldives. Base 7.5% per MDB SIDS pr…</w:t>
                  </w:r>
                </w:p>
              </w:tc>
            </w:tr>
            <w:tr>
              <w:tc>
                <w:tcPr/>
                <w:p>
                  <w:pPr>
                    <w:pStyle w:val="Compact"/>
                    <w:jc w:val="left"/>
                    <w:jc w:val="center"/>
                  </w:pPr>
                  <w:r>
                    <w:t xml:space="preserve">RCP45 GHI Change 2050</w:t>
                  </w:r>
                </w:p>
              </w:tc>
              <w:tc>
                <w:tcPr/>
                <w:p>
                  <w:pPr>
                    <w:pStyle w:val="Compact"/>
                    <w:jc w:val="right"/>
                    <w:jc w:val="center"/>
                  </w:pPr>
                  <w:r>
                    <w:t xml:space="preserve">-0.02</w:t>
                  </w:r>
                </w:p>
              </w:tc>
              <w:tc>
                <w:tcPr/>
                <w:p>
                  <w:pPr>
                    <w:pStyle w:val="Compact"/>
                    <w:jc w:val="left"/>
                    <w:jc w:val="center"/>
                  </w:pPr>
                  <w:r>
                    <w:t xml:space="preserve">-0.04</w:t>
                  </w:r>
                </w:p>
              </w:tc>
              <w:tc>
                <w:tcPr/>
                <w:p>
                  <w:pPr>
                    <w:pStyle w:val="Compact"/>
                    <w:jc w:val="left"/>
                    <w:jc w:val="center"/>
                  </w:pPr>
                  <w:r>
                    <w:t xml:space="preserve">-0.01</w:t>
                  </w:r>
                </w:p>
              </w:tc>
              <w:tc>
                <w:tcPr/>
                <w:p>
                  <w:pPr>
                    <w:pStyle w:val="Compact"/>
                    <w:jc w:val="left"/>
                    <w:jc w:val="center"/>
                  </w:pPr>
                  <w:r>
                    <w:t xml:space="preserve">ratio</w:t>
                  </w:r>
                </w:p>
              </w:tc>
              <w:tc>
                <w:tcPr/>
                <w:p>
                  <w:pPr>
                    <w:pStyle w:val="Compact"/>
                    <w:jc w:val="left"/>
                    <w:jc w:val="center"/>
                  </w:pPr>
                  <w:r>
                    <w:t xml:space="preserve">IPCC AR6 WG1 (2021) Ch.7 Table 7.2; Crook et al. (2011) Energy &amp; Env. Science 4:…</w:t>
                  </w:r>
                </w:p>
              </w:tc>
            </w:tr>
            <w:tr>
              <w:tc>
                <w:tcPr/>
                <w:p>
                  <w:pPr>
                    <w:pStyle w:val="Compact"/>
                    <w:jc w:val="left"/>
                    <w:jc w:val="center"/>
                  </w:pPr>
                  <w:r>
                    <w:t xml:space="preserve">RCP85 GHI Change 2050</w:t>
                  </w:r>
                </w:p>
              </w:tc>
              <w:tc>
                <w:tcPr/>
                <w:p>
                  <w:pPr>
                    <w:pStyle w:val="Compact"/>
                    <w:jc w:val="right"/>
                    <w:jc w:val="center"/>
                  </w:pPr>
                  <w:r>
                    <w:t xml:space="preserve">-0.05</w:t>
                  </w:r>
                </w:p>
              </w:tc>
              <w:tc>
                <w:tcPr/>
                <w:p>
                  <w:pPr>
                    <w:pStyle w:val="Compact"/>
                    <w:jc w:val="left"/>
                    <w:jc w:val="center"/>
                  </w:pPr>
                  <w:r>
                    <w:t xml:space="preserve">-0.08</w:t>
                  </w:r>
                </w:p>
              </w:tc>
              <w:tc>
                <w:tcPr/>
                <w:p>
                  <w:pPr>
                    <w:pStyle w:val="Compact"/>
                    <w:jc w:val="left"/>
                    <w:jc w:val="center"/>
                  </w:pPr>
                  <w:r>
                    <w:t xml:space="preserve">-0.03</w:t>
                  </w:r>
                </w:p>
              </w:tc>
              <w:tc>
                <w:tcPr/>
                <w:p>
                  <w:pPr>
                    <w:pStyle w:val="Compact"/>
                    <w:jc w:val="left"/>
                    <w:jc w:val="center"/>
                  </w:pPr>
                  <w:r>
                    <w:t xml:space="preserve">ratio</w:t>
                  </w:r>
                </w:p>
              </w:tc>
              <w:tc>
                <w:tcPr/>
                <w:p>
                  <w:pPr>
                    <w:pStyle w:val="Compact"/>
                    <w:jc w:val="left"/>
                    <w:jc w:val="center"/>
                  </w:pPr>
                  <w:r>
                    <w:t xml:space="preserve">IPCC AR6 WG1 (2021) Ch.7; Wild et al. (2015) J. Geophys. Res. 120:8141 â€” tropi…</w:t>
                  </w:r>
                </w:p>
              </w:tc>
            </w:tr>
            <w:tr>
              <w:tc>
                <w:tcPr/>
                <w:p>
                  <w:pPr>
                    <w:pStyle w:val="Compact"/>
                    <w:jc w:val="left"/>
                    <w:jc w:val="center"/>
                  </w:pPr>
                  <w:r>
                    <w:t xml:space="preserve">RCP45 Temp Rise 2050</w:t>
                  </w:r>
                </w:p>
              </w:tc>
              <w:tc>
                <w:tcPr/>
                <w:p>
                  <w:pPr>
                    <w:pStyle w:val="Compact"/>
                    <w:jc w:val="right"/>
                    <w:jc w:val="center"/>
                  </w:pPr>
                  <w:r>
                    <w:t xml:space="preserve">1.5</w:t>
                  </w:r>
                </w:p>
              </w:tc>
              <w:tc>
                <w:tcPr/>
                <w:p>
                  <w:pPr>
                    <w:pStyle w:val="Compact"/>
                    <w:jc w:val="left"/>
                    <w:jc w:val="center"/>
                  </w:pPr>
                  <w:r>
                    <w:t xml:space="preserve">1</w:t>
                  </w:r>
                </w:p>
              </w:tc>
              <w:tc>
                <w:tcPr/>
                <w:p>
                  <w:pPr>
                    <w:pStyle w:val="Compact"/>
                    <w:jc w:val="left"/>
                    <w:jc w:val="center"/>
                  </w:pPr>
                  <w:r>
                    <w:t xml:space="preserve">2</w:t>
                  </w:r>
                </w:p>
              </w:tc>
              <w:tc>
                <w:tcPr/>
                <w:p>
                  <w:pPr>
                    <w:pStyle w:val="Compact"/>
                    <w:jc w:val="left"/>
                    <w:jc w:val="center"/>
                  </w:pPr>
                  <w:r>
                    <w:t xml:space="preserve">degC</w:t>
                  </w:r>
                </w:p>
              </w:tc>
              <w:tc>
                <w:tcPr/>
                <w:p>
                  <w:pPr>
                    <w:pStyle w:val="Compact"/>
                    <w:jc w:val="left"/>
                    <w:jc w:val="center"/>
                  </w:pPr>
                  <w:r>
                    <w:t xml:space="preserve">IPCC AR6 WG1 (2021) Table 4.5 â€” tropical Indian Ocean warming by 2050 vs 2010</w:t>
                  </w:r>
                </w:p>
              </w:tc>
            </w:tr>
            <w:tr>
              <w:tc>
                <w:tcPr/>
                <w:p>
                  <w:pPr>
                    <w:pStyle w:val="Compact"/>
                    <w:jc w:val="left"/>
                    <w:jc w:val="center"/>
                  </w:pPr>
                  <w:r>
                    <w:t xml:space="preserve">RCP85 Temp Rise 2050</w:t>
                  </w:r>
                </w:p>
              </w:tc>
              <w:tc>
                <w:tcPr/>
                <w:p>
                  <w:pPr>
                    <w:pStyle w:val="Compact"/>
                    <w:jc w:val="right"/>
                    <w:jc w:val="center"/>
                  </w:pPr>
                  <w:r>
                    <w:t xml:space="preserve">3</w:t>
                  </w:r>
                </w:p>
              </w:tc>
              <w:tc>
                <w:tcPr/>
                <w:p>
                  <w:pPr>
                    <w:pStyle w:val="Compact"/>
                    <w:jc w:val="left"/>
                    <w:jc w:val="center"/>
                  </w:pPr>
                  <w:r>
                    <w:t xml:space="preserve">2</w:t>
                  </w:r>
                </w:p>
              </w:tc>
              <w:tc>
                <w:tcPr/>
                <w:p>
                  <w:pPr>
                    <w:pStyle w:val="Compact"/>
                    <w:jc w:val="left"/>
                    <w:jc w:val="center"/>
                  </w:pPr>
                  <w:r>
                    <w:t xml:space="preserve">4</w:t>
                  </w:r>
                </w:p>
              </w:tc>
              <w:tc>
                <w:tcPr/>
                <w:p>
                  <w:pPr>
                    <w:pStyle w:val="Compact"/>
                    <w:jc w:val="left"/>
                    <w:jc w:val="center"/>
                  </w:pPr>
                  <w:r>
                    <w:t xml:space="preserve">degC</w:t>
                  </w:r>
                </w:p>
              </w:tc>
              <w:tc>
                <w:tcPr/>
                <w:p>
                  <w:pPr>
                    <w:pStyle w:val="Compact"/>
                    <w:jc w:val="left"/>
                    <w:jc w:val="center"/>
                  </w:pPr>
                  <w:r>
                    <w:t xml:space="preserve">IPCC AR6 WG1 (2021) Table 4.5 â€” tropical Indian Ocean warming by 2050 vs 2010</w:t>
                  </w:r>
                </w:p>
              </w:tc>
            </w:tr>
            <w:tr>
              <w:tc>
                <w:tcPr/>
                <w:p>
                  <w:pPr>
                    <w:pStyle w:val="Compact"/>
                    <w:jc w:val="left"/>
                    <w:jc w:val="center"/>
                  </w:pPr>
                  <w:r>
                    <w:t xml:space="preserve">Climate Scenario Year</w:t>
                  </w:r>
                </w:p>
              </w:tc>
              <w:tc>
                <w:tcPr/>
                <w:p>
                  <w:pPr>
                    <w:pStyle w:val="Compact"/>
                    <w:jc w:val="right"/>
                    <w:jc w:val="center"/>
                  </w:pPr>
                  <w:r>
                    <w:t xml:space="preserve">2050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w:t>
                  </w:r>
                </w:p>
              </w:tc>
              <w:tc>
                <w:tcPr/>
                <w:p>
                  <w:pPr>
                    <w:pStyle w:val="Compact"/>
                    <w:jc w:val="left"/>
                    <w:jc w:val="center"/>
                  </w:pPr>
                  <w:r>
                    <w:t xml:space="preserve">IPCC AR6 projection horizon</w:t>
                  </w:r>
                </w:p>
              </w:tc>
            </w:tr>
          </w:tbl>
          <w:p>
            <w:pPr>
              <w:pStyle w:val="Heading3"/>
              <w:jc w:val="center"/>
            </w:pPr>
            <w:bookmarkStart w:id="319" w:name="connection"/>
            <w:r>
              <w:t xml:space="preserve">22.1.30 Connection</w:t>
            </w:r>
            <w:bookmarkEnd w:id="319"/>
          </w:p>
          <w:tbl>
            <w:tblPr>
              <w:tblStyle w:val="Table"/>
              <w:tblW w:type="pct" w:w="5000"/>
              <w:tblLayout w:type="fixed"/>
              <w:tblLook w:firstRow="1" w:lastRow="0" w:firstColumn="0" w:lastColumn="0" w:noHBand="0" w:noVBand="0" w:val="0020"/>
            </w:tblPr>
            <w:tblGrid>
              <w:gridCol w:w="1391"/>
              <w:gridCol w:w="481"/>
              <w:gridCol w:w="374"/>
              <w:gridCol w:w="428"/>
              <w:gridCol w:w="802"/>
              <w:gridCol w:w="4441"/>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left"/>
                    <w:jc w:val="center"/>
                  </w:pPr>
                  <w:r>
                    <w:t xml:space="preserve">Low</w:t>
                  </w:r>
                </w:p>
              </w:tc>
              <w:tc>
                <w:tcPr/>
                <w:p>
                  <w:pPr>
                    <w:pStyle w:val="Compact"/>
                    <w:jc w:val="lef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Cost per Household</w:t>
                  </w:r>
                </w:p>
              </w:tc>
              <w:tc>
                <w:tcPr/>
                <w:p>
                  <w:pPr>
                    <w:pStyle w:val="Compact"/>
                    <w:jc w:val="right"/>
                    <w:jc w:val="center"/>
                  </w:pPr>
                  <w:r>
                    <w:t xml:space="preserve">200</w:t>
                  </w:r>
                </w:p>
              </w:tc>
              <w:tc>
                <w:tcPr/>
                <w:p>
                  <w:pPr>
                    <w:pStyle w:val="Compact"/>
                    <w:jc w:val="left"/>
                    <w:jc w:val="center"/>
                  </w:pPr>
                  <w:r>
                    <w:t xml:space="preserve">150</w:t>
                  </w:r>
                </w:p>
              </w:tc>
              <w:tc>
                <w:tcPr/>
                <w:p>
                  <w:pPr>
                    <w:pStyle w:val="Compact"/>
                    <w:jc w:val="left"/>
                    <w:jc w:val="center"/>
                  </w:pPr>
                  <w:r>
                    <w:t xml:space="preserve">300</w:t>
                  </w:r>
                </w:p>
              </w:tc>
              <w:tc>
                <w:tcPr/>
                <w:p>
                  <w:pPr>
                    <w:pStyle w:val="Compact"/>
                    <w:jc w:val="left"/>
                    <w:jc w:val="center"/>
                  </w:pPr>
                  <w:r>
                    <w:t xml:space="preserve">USD/household</w:t>
                  </w:r>
                </w:p>
              </w:tc>
              <w:tc>
                <w:tcPr/>
                <w:p>
                  <w:pPr>
                    <w:pStyle w:val="Compact"/>
                    <w:jc w:val="left"/>
                    <w:jc w:val="center"/>
                  </w:pPr>
                  <w:r>
                    <w:t xml:space="preserve">World Bank ESMAP (2019) Mini-Grid Design Manual; ADB POISED PCR 2023: $150-250/H…</w:t>
                  </w:r>
                </w:p>
              </w:tc>
            </w:tr>
            <w:tr>
              <w:tc>
                <w:tcPr/>
                <w:p>
                  <w:pPr>
                    <w:pStyle w:val="Compact"/>
                    <w:jc w:val="left"/>
                    <w:jc w:val="center"/>
                  </w:pPr>
                  <w:r>
                    <w:t xml:space="preserve">Number of Households</w:t>
                  </w:r>
                </w:p>
              </w:tc>
              <w:tc>
                <w:tcPr/>
                <w:p>
                  <w:pPr>
                    <w:pStyle w:val="Compact"/>
                    <w:jc w:val="right"/>
                    <w:jc w:val="center"/>
                  </w:pPr>
                  <w:r>
                    <w:t xml:space="preserve">100000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count</w:t>
                  </w:r>
                </w:p>
              </w:tc>
              <w:tc>
                <w:tcPr/>
                <w:p>
                  <w:pPr>
                    <w:pStyle w:val="Compact"/>
                    <w:jc w:val="left"/>
                    <w:jc w:val="center"/>
                  </w:pPr>
                  <w:r>
                    <w:t xml:space="preserve">NBS Population and Housing Census 2022: ~515k population / ~5.1 persons per hous…</w:t>
                  </w:r>
                </w:p>
              </w:tc>
            </w:tr>
            <w:tr>
              <w:tc>
                <w:tcPr/>
                <w:p>
                  <w:pPr>
                    <w:pStyle w:val="Compact"/>
                    <w:jc w:val="left"/>
                    <w:jc w:val="center"/>
                  </w:pPr>
                  <w:r>
                    <w:t xml:space="preserve">Connection Rollout Years</w:t>
                  </w:r>
                </w:p>
              </w:tc>
              <w:tc>
                <w:tcPr/>
                <w:p>
                  <w:pPr>
                    <w:pStyle w:val="Compact"/>
                    <w:jc w:val="right"/>
                    <w:jc w:val="center"/>
                  </w:pPr>
                  <w:r>
                    <w:t xml:space="preserve">5</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years</w:t>
                  </w:r>
                </w:p>
              </w:tc>
              <w:tc>
                <w:tcPr/>
                <w:p>
                  <w:pPr>
                    <w:pStyle w:val="Compact"/>
                    <w:jc w:val="left"/>
                    <w:jc w:val="center"/>
                  </w:pPr>
                  <w:r>
                    <w:t xml:space="preserve">Illustrative â€” phased rollout 2027-2031 for grid scenarios</w:t>
                  </w:r>
                </w:p>
              </w:tc>
            </w:tr>
          </w:tbl>
          <w:p>
            <w:pPr>
              <w:pStyle w:val="Heading3"/>
              <w:jc w:val="center"/>
            </w:pPr>
            <w:bookmarkStart w:id="320" w:name="environment"/>
            <w:r>
              <w:t xml:space="preserve">22.1.31 Environment</w:t>
            </w:r>
            <w:bookmarkEnd w:id="320"/>
          </w:p>
          <w:tbl>
            <w:tblPr>
              <w:tblStyle w:val="Table"/>
              <w:tblW w:type="pct" w:w="5000"/>
              <w:tblLayout w:type="fixed"/>
              <w:tblLook w:firstRow="1" w:lastRow="0" w:firstColumn="0" w:lastColumn="0" w:noHBand="0" w:noVBand="0" w:val="0020"/>
            </w:tblPr>
            <w:tblGrid>
              <w:gridCol w:w="1875"/>
              <w:gridCol w:w="468"/>
              <w:gridCol w:w="364"/>
              <w:gridCol w:w="416"/>
              <w:gridCol w:w="468"/>
              <w:gridCol w:w="4324"/>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right"/>
                    <w:jc w:val="center"/>
                  </w:pPr>
                  <w:r>
                    <w:t xml:space="preserve">Low</w:t>
                  </w:r>
                </w:p>
              </w:tc>
              <w:tc>
                <w:tcPr/>
                <w:p>
                  <w:pPr>
                    <w:pStyle w:val="Compact"/>
                    <w:jc w:val="righ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Noise Damage per MWh Diesel</w:t>
                  </w:r>
                </w:p>
              </w:tc>
              <w:tc>
                <w:tcPr/>
                <w:p>
                  <w:pPr>
                    <w:pStyle w:val="Compact"/>
                    <w:jc w:val="right"/>
                    <w:jc w:val="center"/>
                  </w:pPr>
                  <w:r>
                    <w:t xml:space="preserve">5</w:t>
                  </w:r>
                </w:p>
              </w:tc>
              <w:tc>
                <w:tcPr/>
                <w:p>
                  <w:pPr>
                    <w:pStyle w:val="Compact"/>
                    <w:jc w:val="right"/>
                    <w:jc w:val="center"/>
                  </w:pPr>
                  <w:r>
                    <w:t xml:space="preserve">2</w:t>
                  </w:r>
                </w:p>
              </w:tc>
              <w:tc>
                <w:tcPr/>
                <w:p>
                  <w:pPr>
                    <w:pStyle w:val="Compact"/>
                    <w:jc w:val="right"/>
                    <w:jc w:val="center"/>
                  </w:pPr>
                  <w:r>
                    <w:t xml:space="preserve">10</w:t>
                  </w:r>
                </w:p>
              </w:tc>
              <w:tc>
                <w:tcPr/>
                <w:p>
                  <w:pPr>
                    <w:pStyle w:val="Compact"/>
                    <w:jc w:val="left"/>
                    <w:jc w:val="center"/>
                  </w:pPr>
                  <w:r>
                    <w:t xml:space="preserve">USD/MWh</w:t>
                  </w:r>
                </w:p>
              </w:tc>
              <w:tc>
                <w:tcPr/>
                <w:p>
                  <w:pPr>
                    <w:pStyle w:val="Compact"/>
                    <w:jc w:val="left"/>
                    <w:jc w:val="center"/>
                  </w:pPr>
                  <w:r>
                    <w:t xml:space="preserve">ExternE (2005) Methodology Update; Mattmann et al. (2016) meta-analysis; SIDS pr…</w:t>
                  </w:r>
                </w:p>
              </w:tc>
            </w:tr>
            <w:tr>
              <w:tc>
                <w:tcPr/>
                <w:p>
                  <w:pPr>
                    <w:pStyle w:val="Compact"/>
                    <w:jc w:val="left"/>
                    <w:jc w:val="center"/>
                  </w:pPr>
                  <w:r>
                    <w:t xml:space="preserve">Fuel Spill Risk per MWh Diesel</w:t>
                  </w:r>
                </w:p>
              </w:tc>
              <w:tc>
                <w:tcPr/>
                <w:p>
                  <w:pPr>
                    <w:pStyle w:val="Compact"/>
                    <w:jc w:val="right"/>
                    <w:jc w:val="center"/>
                  </w:pPr>
                  <w:r>
                    <w:t xml:space="preserve">3</w:t>
                  </w:r>
                </w:p>
              </w:tc>
              <w:tc>
                <w:tcPr/>
                <w:p>
                  <w:pPr>
                    <w:pStyle w:val="Compact"/>
                    <w:jc w:val="right"/>
                    <w:jc w:val="center"/>
                  </w:pPr>
                  <w:r>
                    <w:t xml:space="preserve">1</w:t>
                  </w:r>
                </w:p>
              </w:tc>
              <w:tc>
                <w:tcPr/>
                <w:p>
                  <w:pPr>
                    <w:pStyle w:val="Compact"/>
                    <w:jc w:val="right"/>
                    <w:jc w:val="center"/>
                  </w:pPr>
                  <w:r>
                    <w:t xml:space="preserve">8</w:t>
                  </w:r>
                </w:p>
              </w:tc>
              <w:tc>
                <w:tcPr/>
                <w:p>
                  <w:pPr>
                    <w:pStyle w:val="Compact"/>
                    <w:jc w:val="left"/>
                    <w:jc w:val="center"/>
                  </w:pPr>
                  <w:r>
                    <w:t xml:space="preserve">USD/MWh</w:t>
                  </w:r>
                </w:p>
              </w:tc>
              <w:tc>
                <w:tcPr/>
                <w:p>
                  <w:pPr>
                    <w:pStyle w:val="Compact"/>
                    <w:jc w:val="left"/>
                    <w:jc w:val="center"/>
                  </w:pPr>
                  <w:r>
                    <w:t xml:space="preserve">Etkin (2004) J. Environmental Management; IMO IOPC Fund Claims Manual 2024; SIDS…</w:t>
                  </w:r>
                </w:p>
              </w:tc>
            </w:tr>
            <w:tr>
              <w:tc>
                <w:tcPr/>
                <w:p>
                  <w:pPr>
                    <w:pStyle w:val="Compact"/>
                    <w:jc w:val="left"/>
                    <w:jc w:val="center"/>
                  </w:pPr>
                  <w:r>
                    <w:t xml:space="preserve">Biodiversity Impact per MWh Diesel</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5</w:t>
                  </w:r>
                </w:p>
              </w:tc>
              <w:tc>
                <w:tcPr/>
                <w:p>
                  <w:pPr>
                    <w:pStyle w:val="Compact"/>
                    <w:jc w:val="left"/>
                    <w:jc w:val="center"/>
                  </w:pPr>
                  <w:r>
                    <w:t xml:space="preserve">USD/MWh</w:t>
                  </w:r>
                </w:p>
              </w:tc>
              <w:tc>
                <w:tcPr/>
                <w:p>
                  <w:pPr>
                    <w:pStyle w:val="Compact"/>
                    <w:jc w:val="left"/>
                    <w:jc w:val="center"/>
                  </w:pPr>
                  <w:r>
                    <w:t xml:space="preserve">TEEB (2010) Economics of Ecosystems and Biodiversity; Costanza et al. (2014) Glo…</w:t>
                  </w:r>
                </w:p>
              </w:tc>
            </w:tr>
          </w:tbl>
          <w:p>
            <w:pPr>
              <w:pStyle w:val="Heading3"/>
              <w:jc w:val="center"/>
            </w:pPr>
            <w:bookmarkStart w:id="321" w:name="tourism"/>
            <w:r>
              <w:t xml:space="preserve">22.1.32 Tourism</w:t>
            </w:r>
            <w:bookmarkEnd w:id="321"/>
          </w:p>
          <w:tbl>
            <w:tblPr>
              <w:tblStyle w:val="Table"/>
              <w:tblW w:type="pct" w:w="5000"/>
              <w:tblLayout w:type="fixed"/>
              <w:tblLook w:firstRow="1" w:lastRow="0" w:firstColumn="0" w:lastColumn="0" w:noHBand="0" w:noVBand="0" w:val="0020"/>
            </w:tblPr>
            <w:tblGrid>
              <w:gridCol w:w="1573"/>
              <w:gridCol w:w="507"/>
              <w:gridCol w:w="355"/>
              <w:gridCol w:w="406"/>
              <w:gridCol w:w="863"/>
              <w:gridCol w:w="4213"/>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left"/>
                    <w:jc w:val="center"/>
                  </w:pPr>
                  <w:r>
                    <w:t xml:space="preserve">Low</w:t>
                  </w:r>
                </w:p>
              </w:tc>
              <w:tc>
                <w:tcPr/>
                <w:p>
                  <w:pPr>
                    <w:pStyle w:val="Compact"/>
                    <w:jc w:val="lef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Resort Electricity Demand</w:t>
                  </w:r>
                </w:p>
              </w:tc>
              <w:tc>
                <w:tcPr/>
                <w:p>
                  <w:pPr>
                    <w:pStyle w:val="Compact"/>
                    <w:jc w:val="right"/>
                    <w:jc w:val="center"/>
                  </w:pPr>
                  <w:r>
                    <w:t xml:space="preserve">1050</w:t>
                  </w:r>
                </w:p>
              </w:tc>
              <w:tc>
                <w:tcPr/>
                <w:p>
                  <w:pPr>
                    <w:pStyle w:val="Compact"/>
                    <w:jc w:val="left"/>
                    <w:jc w:val="center"/>
                  </w:pPr>
                  <w:r>
                    <w:t xml:space="preserve">900</w:t>
                  </w:r>
                </w:p>
              </w:tc>
              <w:tc>
                <w:tcPr/>
                <w:p>
                  <w:pPr>
                    <w:pStyle w:val="Compact"/>
                    <w:jc w:val="left"/>
                    <w:jc w:val="center"/>
                  </w:pPr>
                  <w:r>
                    <w:t xml:space="preserve">1200</w:t>
                  </w:r>
                </w:p>
              </w:tc>
              <w:tc>
                <w:tcPr/>
                <w:p>
                  <w:pPr>
                    <w:pStyle w:val="Compact"/>
                    <w:jc w:val="left"/>
                    <w:jc w:val="center"/>
                  </w:pPr>
                  <w:r>
                    <w:t xml:space="preserve">GWh/year</w:t>
                  </w:r>
                </w:p>
              </w:tc>
              <w:tc>
                <w:tcPr/>
                <w:p>
                  <w:pPr>
                    <w:pStyle w:val="Compact"/>
                    <w:jc w:val="left"/>
                    <w:jc w:val="center"/>
                  </w:pPr>
                  <w:r>
                    <w:t xml:space="preserve">USAID/SARI Maldives Energy Detail; World Bank (2020): 170+ resorts Ã— ~6 GWh/res…</w:t>
                  </w:r>
                </w:p>
              </w:tc>
            </w:tr>
            <w:tr>
              <w:tc>
                <w:tcPr/>
                <w:p>
                  <w:pPr>
                    <w:pStyle w:val="Compact"/>
                    <w:jc w:val="left"/>
                    <w:jc w:val="center"/>
                  </w:pPr>
                  <w:r>
                    <w:t xml:space="preserve">Green Premium per kWh</w:t>
                  </w:r>
                </w:p>
              </w:tc>
              <w:tc>
                <w:tcPr/>
                <w:p>
                  <w:pPr>
                    <w:pStyle w:val="Compact"/>
                    <w:jc w:val="right"/>
                    <w:jc w:val="center"/>
                  </w:pPr>
                  <w:r>
                    <w:t xml:space="preserve">0.075</w:t>
                  </w:r>
                </w:p>
              </w:tc>
              <w:tc>
                <w:tcPr/>
                <w:p>
                  <w:pPr>
                    <w:pStyle w:val="Compact"/>
                    <w:jc w:val="left"/>
                    <w:jc w:val="center"/>
                  </w:pPr>
                  <w:r>
                    <w:t xml:space="preserve">0.05</w:t>
                  </w:r>
                </w:p>
              </w:tc>
              <w:tc>
                <w:tcPr/>
                <w:p>
                  <w:pPr>
                    <w:pStyle w:val="Compact"/>
                    <w:jc w:val="left"/>
                    <w:jc w:val="center"/>
                  </w:pPr>
                  <w:r>
                    <w:t xml:space="preserve">0.1</w:t>
                  </w:r>
                </w:p>
              </w:tc>
              <w:tc>
                <w:tcPr/>
                <w:p>
                  <w:pPr>
                    <w:pStyle w:val="Compact"/>
                    <w:jc w:val="left"/>
                    <w:jc w:val="center"/>
                  </w:pPr>
                  <w:r>
                    <w:t xml:space="preserve">USD/kWh</w:t>
                  </w:r>
                </w:p>
              </w:tc>
              <w:tc>
                <w:tcPr/>
                <w:p>
                  <w:pPr>
                    <w:pStyle w:val="Compact"/>
                    <w:jc w:val="left"/>
                    <w:jc w:val="center"/>
                  </w:pPr>
                  <w:r>
                    <w:t xml:space="preserve">IRENA (2020) Renewable Energy and Jobs; Cornell Hotel Quarterly (2022): tourist …</w:t>
                  </w:r>
                </w:p>
              </w:tc>
            </w:tr>
            <w:tr>
              <w:tc>
                <w:tcPr/>
                <w:p>
                  <w:pPr>
                    <w:pStyle w:val="Compact"/>
                    <w:jc w:val="left"/>
                    <w:jc w:val="center"/>
                  </w:pPr>
                  <w:r>
                    <w:t xml:space="preserve">Resort Diesel Emission Factor</w:t>
                  </w:r>
                </w:p>
              </w:tc>
              <w:tc>
                <w:tcPr/>
                <w:p>
                  <w:pPr>
                    <w:pStyle w:val="Compact"/>
                    <w:jc w:val="right"/>
                    <w:jc w:val="center"/>
                  </w:pPr>
                  <w:r>
                    <w:t xml:space="preserve">0.85</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kgCO2/kWh</w:t>
                  </w:r>
                </w:p>
              </w:tc>
              <w:tc>
                <w:tcPr/>
                <w:p>
                  <w:pPr>
                    <w:pStyle w:val="Compact"/>
                    <w:jc w:val="left"/>
                    <w:jc w:val="center"/>
                  </w:pPr>
                  <w:r>
                    <w:t xml:space="preserve">IPCC 2006 adjusted for small diesel gensets (&lt;500kW) typical in resorts; lower e…</w:t>
                  </w:r>
                </w:p>
              </w:tc>
            </w:tr>
            <w:tr>
              <w:tc>
                <w:tcPr/>
                <w:p>
                  <w:pPr>
                    <w:pStyle w:val="Compact"/>
                    <w:jc w:val="left"/>
                    <w:jc w:val="center"/>
                  </w:pPr>
                  <w:r>
                    <w:t xml:space="preserve">Resort kWh per Guest Night</w:t>
                  </w:r>
                </w:p>
              </w:tc>
              <w:tc>
                <w:tcPr/>
                <w:p>
                  <w:pPr>
                    <w:pStyle w:val="Compact"/>
                    <w:jc w:val="right"/>
                    <w:jc w:val="center"/>
                  </w:pPr>
                  <w:r>
                    <w:t xml:space="preserve">60</w:t>
                  </w:r>
                </w:p>
              </w:tc>
              <w:tc>
                <w:tcPr/>
                <w:p>
                  <w:pPr>
                    <w:pStyle w:val="Compact"/>
                    <w:jc w:val="left"/>
                    <w:jc w:val="center"/>
                  </w:pPr>
                  <w:r>
                    <w:t xml:space="preserve">50</w:t>
                  </w:r>
                </w:p>
              </w:tc>
              <w:tc>
                <w:tcPr/>
                <w:p>
                  <w:pPr>
                    <w:pStyle w:val="Compact"/>
                    <w:jc w:val="left"/>
                    <w:jc w:val="center"/>
                  </w:pPr>
                  <w:r>
                    <w:t xml:space="preserve">200</w:t>
                  </w:r>
                </w:p>
              </w:tc>
              <w:tc>
                <w:tcPr/>
                <w:p>
                  <w:pPr>
                    <w:pStyle w:val="Compact"/>
                    <w:jc w:val="left"/>
                    <w:jc w:val="center"/>
                  </w:pPr>
                  <w:r>
                    <w:t xml:space="preserve">kWh/guest-night</w:t>
                  </w:r>
                </w:p>
              </w:tc>
              <w:tc>
                <w:tcPr/>
                <w:p>
                  <w:pPr>
                    <w:pStyle w:val="Compact"/>
                    <w:jc w:val="left"/>
                    <w:jc w:val="center"/>
                  </w:pPr>
                  <w:r>
                    <w:t xml:space="preserve">Komandoo Island Resort (2020): 58.3; Crown &amp; Champa Resorts (2017): 53; Sun Siya…</w:t>
                  </w:r>
                </w:p>
              </w:tc>
            </w:tr>
          </w:tbl>
          <w:p>
            <w:pPr>
              <w:pStyle w:val="Heading3"/>
              <w:jc w:val="center"/>
            </w:pPr>
            <w:bookmarkStart w:id="322" w:name="supply-security"/>
            <w:r>
              <w:t xml:space="preserve">22.1.33 Supply Security</w:t>
            </w:r>
            <w:bookmarkEnd w:id="322"/>
          </w:p>
          <w:tbl>
            <w:tblPr>
              <w:tblStyle w:val="Table"/>
              <w:tblW w:type="pct" w:w="5000"/>
              <w:tblLayout w:type="fixed"/>
              <w:tblLook w:firstRow="1" w:lastRow="0" w:firstColumn="0" w:lastColumn="0" w:noHBand="0" w:noVBand="0" w:val="0020"/>
            </w:tblPr>
            <w:tblGrid>
              <w:gridCol w:w="1754"/>
              <w:gridCol w:w="451"/>
              <w:gridCol w:w="350"/>
              <w:gridCol w:w="401"/>
              <w:gridCol w:w="802"/>
              <w:gridCol w:w="4160"/>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right"/>
                    <w:jc w:val="center"/>
                  </w:pPr>
                  <w:r>
                    <w:t xml:space="preserve">Low</w:t>
                  </w:r>
                </w:p>
              </w:tc>
              <w:tc>
                <w:tcPr/>
                <w:p>
                  <w:pPr>
                    <w:pStyle w:val="Compact"/>
                    <w:jc w:val="righ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Idle Fleet Annual Cost</w:t>
                  </w:r>
                </w:p>
              </w:tc>
              <w:tc>
                <w:tcPr/>
                <w:p>
                  <w:pPr>
                    <w:pStyle w:val="Compact"/>
                    <w:jc w:val="right"/>
                    <w:jc w:val="center"/>
                  </w:pPr>
                  <w:r>
                    <w:t xml:space="preserve">8</w:t>
                  </w:r>
                </w:p>
              </w:tc>
              <w:tc>
                <w:tcPr/>
                <w:p>
                  <w:pPr>
                    <w:pStyle w:val="Compact"/>
                    <w:jc w:val="right"/>
                    <w:jc w:val="center"/>
                  </w:pPr>
                  <w:r>
                    <w:t xml:space="preserve">5</w:t>
                  </w:r>
                </w:p>
              </w:tc>
              <w:tc>
                <w:tcPr/>
                <w:p>
                  <w:pPr>
                    <w:pStyle w:val="Compact"/>
                    <w:jc w:val="right"/>
                    <w:jc w:val="center"/>
                  </w:pPr>
                  <w:r>
                    <w:t xml:space="preserve">13</w:t>
                  </w:r>
                </w:p>
              </w:tc>
              <w:tc>
                <w:tcPr/>
                <w:p>
                  <w:pPr>
                    <w:pStyle w:val="Compact"/>
                    <w:jc w:val="left"/>
                    <w:jc w:val="center"/>
                  </w:pPr>
                  <w:r>
                    <w:t xml:space="preserve">million USD/yr</w:t>
                  </w:r>
                </w:p>
              </w:tc>
              <w:tc>
                <w:tcPr/>
                <w:p>
                  <w:pPr>
                    <w:pStyle w:val="Compact"/>
                    <w:jc w:val="left"/>
                    <w:jc w:val="center"/>
                  </w:pPr>
                  <w:r>
                    <w:t xml:space="preserve">Engineering estimate: 240MW Ã— $500-800/kW Ã— 2-4% standby O&amp;M. Cross-checked: S…</w:t>
                  </w:r>
                </w:p>
              </w:tc>
            </w:tr>
            <w:tr>
              <w:tc>
                <w:tcPr/>
                <w:p>
                  <w:pPr>
                    <w:pStyle w:val="Compact"/>
                    <w:jc w:val="left"/>
                    <w:jc w:val="center"/>
                  </w:pPr>
                  <w:r>
                    <w:t xml:space="preserve">Diesel Fuel Premium During Outage</w:t>
                  </w:r>
                </w:p>
              </w:tc>
              <w:tc>
                <w:tcPr/>
                <w:p>
                  <w:pPr>
                    <w:pStyle w:val="Compact"/>
                    <w:jc w:val="right"/>
                    <w:jc w:val="center"/>
                  </w:pPr>
                  <w:r>
                    <w:t xml:space="preserve">0.2</w:t>
                  </w:r>
                </w:p>
              </w:tc>
              <w:tc>
                <w:tcPr/>
                <w:p>
                  <w:pPr>
                    <w:pStyle w:val="Compact"/>
                    <w:jc w:val="right"/>
                    <w:jc w:val="center"/>
                  </w:pPr>
                  <w:r>
                    <w:t xml:space="preserve">0.1</w:t>
                  </w:r>
                </w:p>
              </w:tc>
              <w:tc>
                <w:tcPr/>
                <w:p>
                  <w:pPr>
                    <w:pStyle w:val="Compact"/>
                    <w:jc w:val="right"/>
                    <w:jc w:val="center"/>
                  </w:pPr>
                  <w:r>
                    <w:t xml:space="preserve">0.3</w:t>
                  </w:r>
                </w:p>
              </w:tc>
              <w:tc>
                <w:tcPr/>
                <w:p>
                  <w:pPr>
                    <w:pStyle w:val="Compact"/>
                    <w:jc w:val="left"/>
                    <w:jc w:val="center"/>
                  </w:pPr>
                  <w:r>
                    <w:t xml:space="preserve">fraction</w:t>
                  </w:r>
                </w:p>
              </w:tc>
              <w:tc>
                <w:tcPr/>
                <w:p>
                  <w:pPr>
                    <w:pStyle w:val="Compact"/>
                    <w:jc w:val="left"/>
                    <w:jc w:val="center"/>
                  </w:pPr>
                  <w:r>
                    <w:t xml:space="preserve">Engineering estimate â€” emergency procurement premium during cable outage</w:t>
                  </w:r>
                </w:p>
              </w:tc>
            </w:tr>
          </w:tbl>
          <w:p>
            <w:pPr>
              <w:pStyle w:val="Heading3"/>
              <w:jc w:val="center"/>
            </w:pPr>
            <w:bookmarkStart w:id="323" w:name="electricity-structure"/>
            <w:r>
              <w:t xml:space="preserve">22.1.34 Electricity Structure</w:t>
            </w:r>
            <w:bookmarkEnd w:id="323"/>
          </w:p>
          <w:tbl>
            <w:tblPr>
              <w:tblStyle w:val="Table"/>
              <w:tblW w:type="pct" w:w="5000"/>
              <w:tblLayout w:type="fixed"/>
              <w:tblLook w:firstRow="1" w:lastRow="0" w:firstColumn="0" w:lastColumn="0" w:noHBand="0" w:noVBand="0" w:val="0020"/>
            </w:tblPr>
            <w:tblGrid>
              <w:gridCol w:w="1742"/>
              <w:gridCol w:w="475"/>
              <w:gridCol w:w="369"/>
              <w:gridCol w:w="422"/>
              <w:gridCol w:w="528"/>
              <w:gridCol w:w="4382"/>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left"/>
                    <w:jc w:val="center"/>
                  </w:pPr>
                  <w:r>
                    <w:t xml:space="preserve">Low</w:t>
                  </w:r>
                </w:p>
              </w:tc>
              <w:tc>
                <w:tcPr/>
                <w:p>
                  <w:pPr>
                    <w:pStyle w:val="Compact"/>
                    <w:jc w:val="lef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Male Electricity Share</w:t>
                  </w:r>
                </w:p>
              </w:tc>
              <w:tc>
                <w:tcPr/>
                <w:p>
                  <w:pPr>
                    <w:pStyle w:val="Compact"/>
                    <w:jc w:val="right"/>
                    <w:jc w:val="center"/>
                  </w:pPr>
                  <w:r>
                    <w:t xml:space="preserve">0.57</w:t>
                  </w:r>
                </w:p>
              </w:tc>
              <w:tc>
                <w:tcPr/>
                <w:p>
                  <w:pPr>
                    <w:pStyle w:val="Compact"/>
                    <w:jc w:val="left"/>
                    <w:jc w:val="center"/>
                  </w:pPr>
                  <w:r>
                    <w:t xml:space="preserve">0.55</w:t>
                  </w:r>
                </w:p>
              </w:tc>
              <w:tc>
                <w:tcPr/>
                <w:p>
                  <w:pPr>
                    <w:pStyle w:val="Compact"/>
                    <w:jc w:val="left"/>
                    <w:jc w:val="center"/>
                  </w:pPr>
                  <w:r>
                    <w:t xml:space="preserve">0.6</w:t>
                  </w:r>
                </w:p>
              </w:tc>
              <w:tc>
                <w:tcPr/>
                <w:p>
                  <w:pPr>
                    <w:pStyle w:val="Compact"/>
                    <w:jc w:val="left"/>
                    <w:jc w:val="center"/>
                  </w:pPr>
                  <w:r>
                    <w:t xml:space="preserve">fraction</w:t>
                  </w:r>
                </w:p>
              </w:tc>
              <w:tc>
                <w:tcPr/>
                <w:p>
                  <w:pPr>
                    <w:pStyle w:val="Compact"/>
                    <w:jc w:val="left"/>
                    <w:jc w:val="center"/>
                  </w:pPr>
                  <w:r>
                    <w:t xml:space="preserve">Island Electricity Data Book 2016-2018 (Ministry of Environment and Energy Maldi…</w:t>
                  </w:r>
                </w:p>
              </w:tc>
            </w:tr>
            <w:tr>
              <w:tc>
                <w:tcPr/>
                <w:p>
                  <w:pPr>
                    <w:pStyle w:val="Compact"/>
                    <w:jc w:val="left"/>
                    <w:jc w:val="center"/>
                  </w:pPr>
                  <w:r>
                    <w:t xml:space="preserve">Outer Island Electricity Cost</w:t>
                  </w:r>
                </w:p>
              </w:tc>
              <w:tc>
                <w:tcPr/>
                <w:p>
                  <w:pPr>
                    <w:pStyle w:val="Compact"/>
                    <w:jc w:val="right"/>
                    <w:jc w:val="center"/>
                  </w:pPr>
                  <w:r>
                    <w:t xml:space="preserve">0.45</w:t>
                  </w:r>
                </w:p>
              </w:tc>
              <w:tc>
                <w:tcPr/>
                <w:p>
                  <w:pPr>
                    <w:pStyle w:val="Compact"/>
                    <w:jc w:val="left"/>
                    <w:jc w:val="center"/>
                  </w:pPr>
                  <w:r>
                    <w:t xml:space="preserve">0.3</w:t>
                  </w:r>
                </w:p>
              </w:tc>
              <w:tc>
                <w:tcPr/>
                <w:p>
                  <w:pPr>
                    <w:pStyle w:val="Compact"/>
                    <w:jc w:val="left"/>
                    <w:jc w:val="center"/>
                  </w:pPr>
                  <w:r>
                    <w:t xml:space="preserve">0.7</w:t>
                  </w:r>
                </w:p>
              </w:tc>
              <w:tc>
                <w:tcPr/>
                <w:p>
                  <w:pPr>
                    <w:pStyle w:val="Compact"/>
                    <w:jc w:val="left"/>
                    <w:jc w:val="center"/>
                  </w:pPr>
                  <w:r>
                    <w:t xml:space="preserve">USD/kWh</w:t>
                  </w:r>
                </w:p>
              </w:tc>
              <w:tc>
                <w:tcPr/>
                <w:p>
                  <w:pPr>
                    <w:pStyle w:val="Compact"/>
                    <w:jc w:val="left"/>
                    <w:jc w:val="center"/>
                  </w:pPr>
                  <w:r>
                    <w:t xml:space="preserve">ADB POISED (CIF 2019): $0.30-0.70/kWh outer islands; Maldives Policy Think Tank …</w:t>
                  </w:r>
                </w:p>
              </w:tc>
            </w:tr>
            <w:tr>
              <w:tc>
                <w:tcPr/>
                <w:p>
                  <w:pPr>
                    <w:pStyle w:val="Compact"/>
                    <w:jc w:val="left"/>
                    <w:jc w:val="center"/>
                  </w:pPr>
                  <w:r>
                    <w:t xml:space="preserve">Resort Installed Capacity Share</w:t>
                  </w:r>
                </w:p>
              </w:tc>
              <w:tc>
                <w:tcPr/>
                <w:p>
                  <w:pPr>
                    <w:pStyle w:val="Compact"/>
                    <w:jc w:val="right"/>
                    <w:jc w:val="center"/>
                  </w:pPr>
                  <w:r>
                    <w:t xml:space="preserve">0.48</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fraction</w:t>
                  </w:r>
                </w:p>
              </w:tc>
              <w:tc>
                <w:tcPr/>
                <w:p>
                  <w:pPr>
                    <w:pStyle w:val="Compact"/>
                    <w:jc w:val="left"/>
                    <w:jc w:val="center"/>
                  </w:pPr>
                  <w:r>
                    <w:t xml:space="preserve">USAID/SARI Maldives Energy Detail: 48.3% of national installed capacity on resor…</w:t>
                  </w:r>
                </w:p>
              </w:tc>
            </w:tr>
            <w:tr>
              <w:tc>
                <w:tcPr/>
                <w:p>
                  <w:pPr>
                    <w:pStyle w:val="Compact"/>
                    <w:jc w:val="left"/>
                    <w:jc w:val="center"/>
                  </w:pPr>
                  <w:r>
                    <w:t xml:space="preserve">Male Rooftop Solar Potential</w:t>
                  </w:r>
                </w:p>
              </w:tc>
              <w:tc>
                <w:tcPr/>
                <w:p>
                  <w:pPr>
                    <w:pStyle w:val="Compact"/>
                    <w:jc w:val="right"/>
                    <w:jc w:val="center"/>
                  </w:pPr>
                  <w:r>
                    <w:t xml:space="preserve">18</w:t>
                  </w:r>
                </w:p>
              </w:tc>
              <w:tc>
                <w:tcPr/>
                <w:p>
                  <w:pPr>
                    <w:pStyle w:val="Compact"/>
                    <w:jc w:val="left"/>
                    <w:jc w:val="center"/>
                  </w:pPr>
                  <w:r>
                    <w:t xml:space="preserve">5</w:t>
                  </w:r>
                </w:p>
              </w:tc>
              <w:tc>
                <w:tcPr/>
                <w:p>
                  <w:pPr>
                    <w:pStyle w:val="Compact"/>
                    <w:jc w:val="left"/>
                    <w:jc w:val="center"/>
                  </w:pPr>
                  <w:r>
                    <w:t xml:space="preserve">25</w:t>
                  </w:r>
                </w:p>
              </w:tc>
              <w:tc>
                <w:tcPr/>
                <w:p>
                  <w:pPr>
                    <w:pStyle w:val="Compact"/>
                    <w:jc w:val="left"/>
                    <w:jc w:val="center"/>
                  </w:pPr>
                  <w:r>
                    <w:t xml:space="preserve">MWp</w:t>
                  </w:r>
                </w:p>
              </w:tc>
              <w:tc>
                <w:tcPr/>
                <w:p>
                  <w:pPr>
                    <w:pStyle w:val="Compact"/>
                    <w:jc w:val="left"/>
                    <w:jc w:val="center"/>
                  </w:pPr>
                  <w:r>
                    <w:t xml:space="preserve">ZNES Flensburg â€” Sustainable Energy Systems in MalÃ© (Final Report): 5 MWp pub…</w:t>
                  </w:r>
                </w:p>
              </w:tc>
            </w:tr>
            <w:tr>
              <w:tc>
                <w:tcPr/>
                <w:p>
                  <w:pPr>
                    <w:pStyle w:val="Compact"/>
                    <w:jc w:val="left"/>
                    <w:jc w:val="center"/>
                  </w:pPr>
                  <w:r>
                    <w:t xml:space="preserve">Sectoral Split Residential</w:t>
                  </w:r>
                </w:p>
              </w:tc>
              <w:tc>
                <w:tcPr/>
                <w:p>
                  <w:pPr>
                    <w:pStyle w:val="Compact"/>
                    <w:jc w:val="right"/>
                    <w:jc w:val="center"/>
                  </w:pPr>
                  <w:r>
                    <w:t xml:space="preserve">0.52</w:t>
                  </w:r>
                </w:p>
              </w:tc>
              <w:tc>
                <w:tcPr/>
                <w:p>
                  <w:pPr>
                    <w:pStyle w:val="Compact"/>
                    <w:jc w:val="left"/>
                    <w:jc w:val="center"/>
                  </w:pPr>
                  <w:r>
                    <w:t xml:space="preserve">0.4</w:t>
                  </w:r>
                </w:p>
              </w:tc>
              <w:tc>
                <w:tcPr/>
                <w:p>
                  <w:pPr>
                    <w:pStyle w:val="Compact"/>
                    <w:jc w:val="left"/>
                    <w:jc w:val="center"/>
                  </w:pPr>
                  <w:r>
                    <w:t xml:space="preserve">0.65</w:t>
                  </w:r>
                </w:p>
              </w:tc>
              <w:tc>
                <w:tcPr/>
                <w:p>
                  <w:pPr>
                    <w:pStyle w:val="Compact"/>
                    <w:jc w:val="left"/>
                    <w:jc w:val="center"/>
                  </w:pPr>
                  <w:r>
                    <w:t xml:space="preserve">fraction</w:t>
                  </w:r>
                </w:p>
              </w:tc>
              <w:tc>
                <w:tcPr/>
                <w:p>
                  <w:pPr>
                    <w:pStyle w:val="Compact"/>
                    <w:jc w:val="left"/>
                    <w:jc w:val="center"/>
                  </w:pPr>
                  <w:r>
                    <w:t xml:space="preserve">SAARC Energy Data Centre â€” 2005 Maldives Energy Balance (via SAARC Energy Prof…</w:t>
                  </w:r>
                </w:p>
              </w:tc>
            </w:tr>
            <w:tr>
              <w:tc>
                <w:tcPr/>
                <w:p>
                  <w:pPr>
                    <w:pStyle w:val="Compact"/>
                    <w:jc w:val="left"/>
                    <w:jc w:val="center"/>
                  </w:pPr>
                  <w:r>
                    <w:t xml:space="preserve">Sectoral Split Commercial</w:t>
                  </w:r>
                </w:p>
              </w:tc>
              <w:tc>
                <w:tcPr/>
                <w:p>
                  <w:pPr>
                    <w:pStyle w:val="Compact"/>
                    <w:jc w:val="right"/>
                    <w:jc w:val="center"/>
                  </w:pPr>
                  <w:r>
                    <w:t xml:space="preserve">0.24</w:t>
                  </w:r>
                </w:p>
              </w:tc>
              <w:tc>
                <w:tcPr/>
                <w:p>
                  <w:pPr>
                    <w:pStyle w:val="Compact"/>
                    <w:jc w:val="left"/>
                    <w:jc w:val="center"/>
                  </w:pPr>
                  <w:r>
                    <w:t xml:space="preserve">0.15</w:t>
                  </w:r>
                </w:p>
              </w:tc>
              <w:tc>
                <w:tcPr/>
                <w:p>
                  <w:pPr>
                    <w:pStyle w:val="Compact"/>
                    <w:jc w:val="left"/>
                    <w:jc w:val="center"/>
                  </w:pPr>
                  <w:r>
                    <w:t xml:space="preserve">0.35</w:t>
                  </w:r>
                </w:p>
              </w:tc>
              <w:tc>
                <w:tcPr/>
                <w:p>
                  <w:pPr>
                    <w:pStyle w:val="Compact"/>
                    <w:jc w:val="left"/>
                    <w:jc w:val="center"/>
                  </w:pPr>
                  <w:r>
                    <w:t xml:space="preserve">fraction</w:t>
                  </w:r>
                </w:p>
              </w:tc>
              <w:tc>
                <w:tcPr/>
                <w:p>
                  <w:pPr>
                    <w:pStyle w:val="Compact"/>
                    <w:jc w:val="left"/>
                    <w:jc w:val="center"/>
                  </w:pPr>
                  <w:r>
                    <w:t xml:space="preserve">SAARC 2005 Energy Balance: manufacturing &amp; commerce ~24% of end-use</w:t>
                  </w:r>
                </w:p>
              </w:tc>
            </w:tr>
            <w:tr>
              <w:tc>
                <w:tcPr/>
                <w:p>
                  <w:pPr>
                    <w:pStyle w:val="Compact"/>
                    <w:jc w:val="left"/>
                    <w:jc w:val="center"/>
                  </w:pPr>
                  <w:r>
                    <w:t xml:space="preserve">Sectoral Split Public</w:t>
                  </w:r>
                </w:p>
              </w:tc>
              <w:tc>
                <w:tcPr/>
                <w:p>
                  <w:pPr>
                    <w:pStyle w:val="Compact"/>
                    <w:jc w:val="right"/>
                    <w:jc w:val="center"/>
                  </w:pPr>
                  <w:r>
                    <w:t xml:space="preserve">0.24</w:t>
                  </w:r>
                </w:p>
              </w:tc>
              <w:tc>
                <w:tcPr/>
                <w:p>
                  <w:pPr>
                    <w:pStyle w:val="Compact"/>
                    <w:jc w:val="left"/>
                    <w:jc w:val="center"/>
                  </w:pPr>
                  <w:r>
                    <w:t xml:space="preserve">0.15</w:t>
                  </w:r>
                </w:p>
              </w:tc>
              <w:tc>
                <w:tcPr/>
                <w:p>
                  <w:pPr>
                    <w:pStyle w:val="Compact"/>
                    <w:jc w:val="left"/>
                    <w:jc w:val="center"/>
                  </w:pPr>
                  <w:r>
                    <w:t xml:space="preserve">0.35</w:t>
                  </w:r>
                </w:p>
              </w:tc>
              <w:tc>
                <w:tcPr/>
                <w:p>
                  <w:pPr>
                    <w:pStyle w:val="Compact"/>
                    <w:jc w:val="left"/>
                    <w:jc w:val="center"/>
                  </w:pPr>
                  <w:r>
                    <w:t xml:space="preserve">fraction</w:t>
                  </w:r>
                </w:p>
              </w:tc>
              <w:tc>
                <w:tcPr/>
                <w:p>
                  <w:pPr>
                    <w:pStyle w:val="Compact"/>
                    <w:jc w:val="left"/>
                    <w:jc w:val="center"/>
                  </w:pPr>
                  <w:r>
                    <w:t xml:space="preserve">SAARC 2005 Energy Balance: public + government ~24% of end-use</w:t>
                  </w:r>
                </w:p>
              </w:tc>
            </w:tr>
          </w:tbl>
          <w:p>
            <w:pPr>
              <w:pStyle w:val="Heading3"/>
              <w:jc w:val="center"/>
            </w:pPr>
            <w:bookmarkStart w:id="324" w:name="macro"/>
            <w:r>
              <w:t xml:space="preserve">22.1.35 Macro</w:t>
            </w:r>
            <w:bookmarkEnd w:id="324"/>
          </w:p>
          <w:tbl>
            <w:tblPr>
              <w:tblStyle w:val="Table"/>
              <w:tblW w:type="pct" w:w="5000"/>
              <w:tblLayout w:type="fixed"/>
              <w:tblLook w:firstRow="1" w:lastRow="0" w:firstColumn="0" w:lastColumn="0" w:noHBand="0" w:noVBand="0" w:val="0020"/>
            </w:tblPr>
            <w:tblGrid>
              <w:gridCol w:w="1754"/>
              <w:gridCol w:w="601"/>
              <w:gridCol w:w="350"/>
              <w:gridCol w:w="401"/>
              <w:gridCol w:w="651"/>
              <w:gridCol w:w="4160"/>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left"/>
                    <w:jc w:val="center"/>
                  </w:pPr>
                  <w:r>
                    <w:t xml:space="preserve">Low</w:t>
                  </w:r>
                </w:p>
              </w:tc>
              <w:tc>
                <w:tcPr/>
                <w:p>
                  <w:pPr>
                    <w:pStyle w:val="Compact"/>
                    <w:jc w:val="lef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GDP Billion USD</w:t>
                  </w:r>
                </w:p>
              </w:tc>
              <w:tc>
                <w:tcPr/>
                <w:p>
                  <w:pPr>
                    <w:pStyle w:val="Compact"/>
                    <w:jc w:val="right"/>
                    <w:jc w:val="center"/>
                  </w:pPr>
                  <w:r>
                    <w:t xml:space="preserve">6</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billion USD</w:t>
                  </w:r>
                </w:p>
              </w:tc>
              <w:tc>
                <w:tcPr/>
                <w:p>
                  <w:pPr>
                    <w:pStyle w:val="Compact"/>
                    <w:jc w:val="left"/>
                    <w:jc w:val="center"/>
                  </w:pPr>
                  <w:r>
                    <w:t xml:space="preserve">World Bank WDI 2023: Maldives GDP at current prices $6.0B</w:t>
                  </w:r>
                </w:p>
              </w:tc>
            </w:tr>
            <w:tr>
              <w:tc>
                <w:tcPr/>
                <w:p>
                  <w:pPr>
                    <w:pStyle w:val="Compact"/>
                    <w:jc w:val="left"/>
                    <w:jc w:val="center"/>
                  </w:pPr>
                  <w:r>
                    <w:t xml:space="preserve">GDP Growth Rate</w:t>
                  </w:r>
                </w:p>
              </w:tc>
              <w:tc>
                <w:tcPr/>
                <w:p>
                  <w:pPr>
                    <w:pStyle w:val="Compact"/>
                    <w:jc w:val="right"/>
                    <w:jc w:val="center"/>
                  </w:pPr>
                  <w:r>
                    <w:t xml:space="preserve">0.05</w:t>
                  </w:r>
                </w:p>
              </w:tc>
              <w:tc>
                <w:tcPr/>
                <w:p>
                  <w:pPr>
                    <w:pStyle w:val="Compact"/>
                    <w:jc w:val="left"/>
                    <w:jc w:val="center"/>
                  </w:pPr>
                  <w:r>
                    <w:t xml:space="preserve">0.03</w:t>
                  </w:r>
                </w:p>
              </w:tc>
              <w:tc>
                <w:tcPr/>
                <w:p>
                  <w:pPr>
                    <w:pStyle w:val="Compact"/>
                    <w:jc w:val="left"/>
                    <w:jc w:val="center"/>
                  </w:pPr>
                  <w:r>
                    <w:t xml:space="preserve">0.07</w:t>
                  </w:r>
                </w:p>
              </w:tc>
              <w:tc>
                <w:tcPr/>
                <w:p>
                  <w:pPr>
                    <w:pStyle w:val="Compact"/>
                    <w:jc w:val="left"/>
                    <w:jc w:val="center"/>
                  </w:pPr>
                  <w:r>
                    <w:t xml:space="preserve">%/yr</w:t>
                  </w:r>
                </w:p>
              </w:tc>
              <w:tc>
                <w:tcPr/>
                <w:p>
                  <w:pPr>
                    <w:pStyle w:val="Compact"/>
                    <w:jc w:val="left"/>
                    <w:jc w:val="center"/>
                  </w:pPr>
                  <w:r>
                    <w:t xml:space="preserve">IMF Article IV 2024 Maldives: real GDP growth 5.2% (2024), 5.4% (2025 proj.); Wo…</w:t>
                  </w:r>
                </w:p>
              </w:tc>
            </w:tr>
            <w:tr>
              <w:tc>
                <w:tcPr/>
                <w:p>
                  <w:pPr>
                    <w:pStyle w:val="Compact"/>
                    <w:jc w:val="left"/>
                    <w:jc w:val="center"/>
                  </w:pPr>
                  <w:r>
                    <w:t xml:space="preserve">Number of Households</w:t>
                  </w:r>
                </w:p>
              </w:tc>
              <w:tc>
                <w:tcPr/>
                <w:p>
                  <w:pPr>
                    <w:pStyle w:val="Compact"/>
                    <w:jc w:val="right"/>
                    <w:jc w:val="center"/>
                  </w:pPr>
                  <w:r>
                    <w:t xml:space="preserve">100000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count</w:t>
                  </w:r>
                </w:p>
              </w:tc>
              <w:tc>
                <w:tcPr/>
                <w:p>
                  <w:pPr>
                    <w:pStyle w:val="Compact"/>
                    <w:jc w:val="left"/>
                    <w:jc w:val="center"/>
                  </w:pPr>
                  <w:r>
                    <w:t xml:space="preserve">NBS Population and Housing Census 2022; ~515k population / ~5.1 persons per hous…</w:t>
                  </w:r>
                </w:p>
              </w:tc>
            </w:tr>
            <w:tr>
              <w:tc>
                <w:tcPr/>
                <w:p>
                  <w:pPr>
                    <w:pStyle w:val="Compact"/>
                    <w:jc w:val="left"/>
                    <w:jc w:val="center"/>
                  </w:pPr>
                  <w:r>
                    <w:t xml:space="preserve">Avg Household Monthly Consumption</w:t>
                  </w:r>
                </w:p>
              </w:tc>
              <w:tc>
                <w:tcPr/>
                <w:p>
                  <w:pPr>
                    <w:pStyle w:val="Compact"/>
                    <w:jc w:val="right"/>
                    <w:jc w:val="center"/>
                  </w:pPr>
                  <w:r>
                    <w:t xml:space="preserve">300</w:t>
                  </w:r>
                </w:p>
              </w:tc>
              <w:tc>
                <w:tcPr/>
                <w:p>
                  <w:pPr>
                    <w:pStyle w:val="Compact"/>
                    <w:jc w:val="left"/>
                    <w:jc w:val="center"/>
                  </w:pPr>
                  <w:r>
                    <w:t xml:space="preserve">250</w:t>
                  </w:r>
                </w:p>
              </w:tc>
              <w:tc>
                <w:tcPr/>
                <w:p>
                  <w:pPr>
                    <w:pStyle w:val="Compact"/>
                    <w:jc w:val="left"/>
                    <w:jc w:val="center"/>
                  </w:pPr>
                  <w:r>
                    <w:t xml:space="preserve">400</w:t>
                  </w:r>
                </w:p>
              </w:tc>
              <w:tc>
                <w:tcPr/>
                <w:p>
                  <w:pPr>
                    <w:pStyle w:val="Compact"/>
                    <w:jc w:val="left"/>
                    <w:jc w:val="center"/>
                  </w:pPr>
                  <w:r>
                    <w:t xml:space="preserve">kWh/month</w:t>
                  </w:r>
                </w:p>
              </w:tc>
              <w:tc>
                <w:tcPr/>
                <w:p>
                  <w:pPr>
                    <w:pStyle w:val="Compact"/>
                    <w:jc w:val="left"/>
                    <w:jc w:val="center"/>
                  </w:pPr>
                  <w:r>
                    <w:t xml:space="preserve">STELCO Annual Report 2023: residential avg ~3600 kWh/yr = 300 kWh/month</w:t>
                  </w:r>
                </w:p>
              </w:tc>
            </w:tr>
            <w:tr>
              <w:tc>
                <w:tcPr/>
                <w:p>
                  <w:pPr>
                    <w:pStyle w:val="Compact"/>
                    <w:jc w:val="left"/>
                    <w:jc w:val="center"/>
                  </w:pPr>
                  <w:r>
                    <w:t xml:space="preserve">Current Retail Tariff</w:t>
                  </w:r>
                </w:p>
              </w:tc>
              <w:tc>
                <w:tcPr/>
                <w:p>
                  <w:pPr>
                    <w:pStyle w:val="Compact"/>
                    <w:jc w:val="right"/>
                    <w:jc w:val="center"/>
                  </w:pPr>
                  <w:r>
                    <w:t xml:space="preserve">0.25</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USD/kWh</w:t>
                  </w:r>
                </w:p>
              </w:tc>
              <w:tc>
                <w:tcPr/>
                <w:p>
                  <w:pPr>
                    <w:pStyle w:val="Compact"/>
                    <w:jc w:val="left"/>
                    <w:jc w:val="center"/>
                  </w:pPr>
                  <w:r>
                    <w:t xml:space="preserve">STELCO Domestic Tariff Schedule 2024: block-weighted average ~MVR 3.85/kWh â‰ˆ $…</w:t>
                  </w:r>
                </w:p>
              </w:tc>
            </w:tr>
            <w:tr>
              <w:tc>
                <w:tcPr/>
                <w:p>
                  <w:pPr>
                    <w:pStyle w:val="Compact"/>
                    <w:jc w:val="left"/>
                    <w:jc w:val="center"/>
                  </w:pPr>
                  <w:r>
                    <w:t xml:space="preserve">India Domestic Rate</w:t>
                  </w:r>
                </w:p>
              </w:tc>
              <w:tc>
                <w:tcPr/>
                <w:p>
                  <w:pPr>
                    <w:pStyle w:val="Compact"/>
                    <w:jc w:val="right"/>
                    <w:jc w:val="center"/>
                  </w:pPr>
                  <w:r>
                    <w:t xml:space="preserve">0.1</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USD/kWh</w:t>
                  </w:r>
                </w:p>
              </w:tc>
              <w:tc>
                <w:tcPr/>
                <w:p>
                  <w:pPr>
                    <w:pStyle w:val="Compact"/>
                    <w:jc w:val="left"/>
                    <w:jc w:val="center"/>
                  </w:pPr>
                  <w:r>
                    <w:t xml:space="preserve">India CEA General Review 2024: national avg retail tariff Rs 8.4/kWh â‰ˆ $0.10/k…</w:t>
                  </w:r>
                </w:p>
              </w:tc>
            </w:tr>
            <w:tr>
              <w:tc>
                <w:tcPr/>
                <w:p>
                  <w:pPr>
                    <w:pStyle w:val="Compact"/>
                    <w:jc w:val="left"/>
                    <w:jc w:val="center"/>
                  </w:pPr>
                  <w:r>
                    <w:t xml:space="preserve">Current Subsidy per kWh</w:t>
                  </w:r>
                </w:p>
              </w:tc>
              <w:tc>
                <w:tcPr/>
                <w:p>
                  <w:pPr>
                    <w:pStyle w:val="Compact"/>
                    <w:jc w:val="right"/>
                    <w:jc w:val="center"/>
                  </w:pPr>
                  <w:r>
                    <w:t xml:space="preserve">0.15</w:t>
                  </w:r>
                </w:p>
              </w:tc>
              <w:tc>
                <w:tcPr/>
                <w:p>
                  <w:pPr>
                    <w:pStyle w:val="Compact"/>
                    <w:jc w:val="left"/>
                    <w:jc w:val="center"/>
                  </w:pPr>
                  <w:r>
                    <w:t xml:space="preserve">0.1</w:t>
                  </w:r>
                </w:p>
              </w:tc>
              <w:tc>
                <w:tcPr/>
                <w:p>
                  <w:pPr>
                    <w:pStyle w:val="Compact"/>
                    <w:jc w:val="left"/>
                    <w:jc w:val="center"/>
                  </w:pPr>
                  <w:r>
                    <w:t xml:space="preserve">0.2</w:t>
                  </w:r>
                </w:p>
              </w:tc>
              <w:tc>
                <w:tcPr/>
                <w:p>
                  <w:pPr>
                    <w:pStyle w:val="Compact"/>
                    <w:jc w:val="left"/>
                    <w:jc w:val="center"/>
                  </w:pPr>
                  <w:r>
                    <w:t xml:space="preserve">USD/kWh</w:t>
                  </w:r>
                </w:p>
              </w:tc>
              <w:tc>
                <w:tcPr/>
                <w:p>
                  <w:pPr>
                    <w:pStyle w:val="Compact"/>
                    <w:jc w:val="left"/>
                    <w:jc w:val="center"/>
                  </w:pPr>
                  <w:r>
                    <w:t xml:space="preserve">GoM Budget 2024: electricity subsidy allocation ~MVR 2.3/kWh â‰ˆ $0.15/kWh; STEL…</w:t>
                  </w:r>
                </w:p>
              </w:tc>
            </w:tr>
            <w:tr>
              <w:tc>
                <w:tcPr/>
                <w:p>
                  <w:pPr>
                    <w:pStyle w:val="Compact"/>
                    <w:jc w:val="left"/>
                    <w:jc w:val="center"/>
                  </w:pPr>
                  <w:r>
                    <w:t xml:space="preserve">Population 2026</w:t>
                  </w:r>
                </w:p>
              </w:tc>
              <w:tc>
                <w:tcPr/>
                <w:p>
                  <w:pPr>
                    <w:pStyle w:val="Compact"/>
                    <w:jc w:val="right"/>
                    <w:jc w:val="center"/>
                  </w:pPr>
                  <w:r>
                    <w:t xml:space="preserve">515000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persons</w:t>
                  </w:r>
                </w:p>
              </w:tc>
              <w:tc>
                <w:tcPr/>
                <w:p>
                  <w:pPr>
                    <w:pStyle w:val="Compact"/>
                    <w:jc w:val="left"/>
                    <w:jc w:val="center"/>
                  </w:pPr>
                  <w:r>
                    <w:t xml:space="preserve">NBS Census 2022 projection; GoM National Bureau of Statistics</w:t>
                  </w:r>
                </w:p>
              </w:tc>
            </w:tr>
            <w:tr>
              <w:tc>
                <w:tcPr/>
                <w:p>
                  <w:pPr>
                    <w:pStyle w:val="Compact"/>
                    <w:jc w:val="left"/>
                    <w:jc w:val="center"/>
                  </w:pPr>
                  <w:r>
                    <w:t xml:space="preserve">Population Growth Rate</w:t>
                  </w:r>
                </w:p>
              </w:tc>
              <w:tc>
                <w:tcPr/>
                <w:p>
                  <w:pPr>
                    <w:pStyle w:val="Compact"/>
                    <w:jc w:val="right"/>
                    <w:jc w:val="center"/>
                  </w:pPr>
                  <w:r>
                    <w:t xml:space="preserve">0.015</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ratio/year</w:t>
                  </w:r>
                </w:p>
              </w:tc>
              <w:tc>
                <w:tcPr/>
                <w:p>
                  <w:pPr>
                    <w:pStyle w:val="Compact"/>
                    <w:jc w:val="left"/>
                    <w:jc w:val="center"/>
                  </w:pPr>
                  <w:r>
                    <w:t xml:space="preserve">UN World Population Prospects 2024: Maldives 2020-2030 avg 1.5%/yr (declining fr…</w:t>
                  </w:r>
                </w:p>
              </w:tc>
            </w:tr>
            <w:tr>
              <w:tc>
                <w:tcPr/>
                <w:p>
                  <w:pPr>
                    <w:pStyle w:val="Compact"/>
                    <w:jc w:val="left"/>
                    <w:jc w:val="center"/>
                  </w:pPr>
                  <w:r>
                    <w:t xml:space="preserve">Subsidy Reform Start Year</w:t>
                  </w:r>
                </w:p>
              </w:tc>
              <w:tc>
                <w:tcPr/>
                <w:p>
                  <w:pPr>
                    <w:pStyle w:val="Compact"/>
                    <w:jc w:val="right"/>
                    <w:jc w:val="center"/>
                  </w:pPr>
                  <w:r>
                    <w:t xml:space="preserve">2030</w:t>
                  </w:r>
                </w:p>
              </w:tc>
              <w:tc>
                <w:tcPr/>
                <w:p>
                  <w:pPr>
                    <w:pStyle w:val="Compact"/>
                    <w:jc w:val="left"/>
                    <w:jc w:val="center"/>
                  </w:pPr>
                  <w:r>
                    <w:t xml:space="preserve">2028</w:t>
                  </w:r>
                </w:p>
              </w:tc>
              <w:tc>
                <w:tcPr/>
                <w:p>
                  <w:pPr>
                    <w:pStyle w:val="Compact"/>
                    <w:jc w:val="left"/>
                    <w:jc w:val="center"/>
                  </w:pPr>
                  <w:r>
                    <w:t xml:space="preserve">2035</w:t>
                  </w:r>
                </w:p>
              </w:tc>
              <w:tc>
                <w:tcPr/>
                <w:p>
                  <w:pPr>
                    <w:pStyle w:val="Compact"/>
                    <w:jc w:val="left"/>
                    <w:jc w:val="center"/>
                  </w:pPr>
                  <w:r>
                    <w:t xml:space="preserve">year</w:t>
                  </w:r>
                </w:p>
              </w:tc>
              <w:tc>
                <w:tcPr/>
                <w:p>
                  <w:pPr>
                    <w:pStyle w:val="Compact"/>
                    <w:jc w:val="left"/>
                    <w:jc w:val="center"/>
                  </w:pPr>
                  <w:r>
                    <w:t xml:space="preserve">GoM Medium-Term Fiscal Strategy 2024; ADB Maldives Country Partnership Strategy …</w:t>
                  </w:r>
                </w:p>
              </w:tc>
            </w:tr>
            <w:tr>
              <w:tc>
                <w:tcPr/>
                <w:p>
                  <w:pPr>
                    <w:pStyle w:val="Compact"/>
                    <w:jc w:val="left"/>
                    <w:jc w:val="center"/>
                  </w:pPr>
                  <w:r>
                    <w:t xml:space="preserve">Subsidy Reform End Year</w:t>
                  </w:r>
                </w:p>
              </w:tc>
              <w:tc>
                <w:tcPr/>
                <w:p>
                  <w:pPr>
                    <w:pStyle w:val="Compact"/>
                    <w:jc w:val="right"/>
                    <w:jc w:val="center"/>
                  </w:pPr>
                  <w:r>
                    <w:t xml:space="preserve">2040</w:t>
                  </w:r>
                </w:p>
              </w:tc>
              <w:tc>
                <w:tcPr/>
                <w:p>
                  <w:pPr>
                    <w:pStyle w:val="Compact"/>
                    <w:jc w:val="left"/>
                    <w:jc w:val="center"/>
                  </w:pPr>
                  <w:r>
                    <w:t xml:space="preserve">2035</w:t>
                  </w:r>
                </w:p>
              </w:tc>
              <w:tc>
                <w:tcPr/>
                <w:p>
                  <w:pPr>
                    <w:pStyle w:val="Compact"/>
                    <w:jc w:val="left"/>
                    <w:jc w:val="center"/>
                  </w:pPr>
                  <w:r>
                    <w:t xml:space="preserve">2050</w:t>
                  </w:r>
                </w:p>
              </w:tc>
              <w:tc>
                <w:tcPr/>
                <w:p>
                  <w:pPr>
                    <w:pStyle w:val="Compact"/>
                    <w:jc w:val="left"/>
                    <w:jc w:val="center"/>
                  </w:pPr>
                  <w:r>
                    <w:t xml:space="preserve">year</w:t>
                  </w:r>
                </w:p>
              </w:tc>
              <w:tc>
                <w:tcPr/>
                <w:p>
                  <w:pPr>
                    <w:pStyle w:val="Compact"/>
                    <w:jc w:val="left"/>
                    <w:jc w:val="center"/>
                  </w:pPr>
                  <w:r>
                    <w:t xml:space="preserve">GoM Medium-Term Fiscal Strategy 2024; full cost recovery target by 2040 (10-year…</w:t>
                  </w:r>
                </w:p>
              </w:tc>
            </w:tr>
          </w:tbl>
          <w:p>
            <w:pPr>
              <w:pStyle w:val="Heading3"/>
              <w:jc w:val="center"/>
            </w:pPr>
            <w:bookmarkStart w:id="325" w:name="benchmarks"/>
            <w:r>
              <w:t xml:space="preserve">22.1.36 Benchmarks</w:t>
            </w:r>
            <w:bookmarkEnd w:id="325"/>
          </w:p>
          <w:tbl>
            <w:tblPr>
              <w:tblStyle w:val="Table"/>
              <w:tblW w:type="pct" w:w="5000"/>
              <w:tblLayout w:type="fixed"/>
              <w:tblLook w:firstRow="1" w:lastRow="0" w:firstColumn="0" w:lastColumn="0" w:noHBand="0" w:noVBand="0" w:val="0020"/>
            </w:tblPr>
            <w:tblGrid>
              <w:gridCol w:w="1450"/>
              <w:gridCol w:w="501"/>
              <w:gridCol w:w="390"/>
              <w:gridCol w:w="446"/>
              <w:gridCol w:w="501"/>
              <w:gridCol w:w="4629"/>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left"/>
                    <w:jc w:val="center"/>
                  </w:pPr>
                  <w:r>
                    <w:t xml:space="preserve">Low</w:t>
                  </w:r>
                </w:p>
              </w:tc>
              <w:tc>
                <w:tcPr/>
                <w:p>
                  <w:pPr>
                    <w:pStyle w:val="Compact"/>
                    <w:jc w:val="lef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Global Solar LCOE</w:t>
                  </w:r>
                </w:p>
              </w:tc>
              <w:tc>
                <w:tcPr/>
                <w:p>
                  <w:pPr>
                    <w:pStyle w:val="Compact"/>
                    <w:jc w:val="right"/>
                    <w:jc w:val="center"/>
                  </w:pPr>
                  <w:r>
                    <w:t xml:space="preserve">0.049</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USD/kWh</w:t>
                  </w:r>
                </w:p>
              </w:tc>
              <w:tc>
                <w:tcPr/>
                <w:p>
                  <w:pPr>
                    <w:pStyle w:val="Compact"/>
                    <w:jc w:val="left"/>
                    <w:jc w:val="center"/>
                  </w:pPr>
                  <w:r>
                    <w:t xml:space="preserve">IRENA Renewable Power Generation Costs 2024: global weighted-average utility PV …</w:t>
                  </w:r>
                </w:p>
              </w:tc>
            </w:tr>
            <w:tr>
              <w:tc>
                <w:tcPr/>
                <w:p>
                  <w:pPr>
                    <w:pStyle w:val="Compact"/>
                    <w:jc w:val="left"/>
                    <w:jc w:val="center"/>
                  </w:pPr>
                  <w:r>
                    <w:t xml:space="preserve">Global Diesel Gen LCOE</w:t>
                  </w:r>
                </w:p>
              </w:tc>
              <w:tc>
                <w:tcPr/>
                <w:p>
                  <w:pPr>
                    <w:pStyle w:val="Compact"/>
                    <w:jc w:val="right"/>
                    <w:jc w:val="center"/>
                  </w:pPr>
                  <w:r>
                    <w:t xml:space="preserve">0.28</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USD/kWh</w:t>
                  </w:r>
                </w:p>
              </w:tc>
              <w:tc>
                <w:tcPr/>
                <w:p>
                  <w:pPr>
                    <w:pStyle w:val="Compact"/>
                    <w:jc w:val="left"/>
                    <w:jc w:val="center"/>
                  </w:pPr>
                  <w:r>
                    <w:t xml:space="preserve">IRENA Off-Grid Renewable Energy Statistics 2024: diesel mini-grid range $0.25-0.…</w:t>
                  </w:r>
                </w:p>
              </w:tc>
            </w:tr>
            <w:tr>
              <w:tc>
                <w:tcPr/>
                <w:p>
                  <w:pPr>
                    <w:pStyle w:val="Compact"/>
                    <w:jc w:val="left"/>
                    <w:jc w:val="center"/>
                  </w:pPr>
                  <w:r>
                    <w:t xml:space="preserve">SIDS Avg Renewable LCOE</w:t>
                  </w:r>
                </w:p>
              </w:tc>
              <w:tc>
                <w:tcPr/>
                <w:p>
                  <w:pPr>
                    <w:pStyle w:val="Compact"/>
                    <w:jc w:val="right"/>
                    <w:jc w:val="center"/>
                  </w:pPr>
                  <w:r>
                    <w:t xml:space="preserve">0.16</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USD/kWh</w:t>
                  </w:r>
                </w:p>
              </w:tc>
              <w:tc>
                <w:tcPr/>
                <w:p>
                  <w:pPr>
                    <w:pStyle w:val="Compact"/>
                    <w:jc w:val="left"/>
                    <w:jc w:val="center"/>
                  </w:pPr>
                  <w:r>
                    <w:t xml:space="preserve">Surroop et al. (2024) MDPI Energies: SIDS renewable LCOE survey avg $0.14-0.18/k…</w:t>
                  </w:r>
                </w:p>
              </w:tc>
            </w:tr>
            <w:tr>
              <w:tc>
                <w:tcPr/>
                <w:p>
                  <w:pPr>
                    <w:pStyle w:val="Compact"/>
                    <w:jc w:val="left"/>
                    <w:jc w:val="center"/>
                  </w:pPr>
                  <w:r>
                    <w:t xml:space="preserve">Maldives CIF ASPIRE LCOE</w:t>
                  </w:r>
                </w:p>
              </w:tc>
              <w:tc>
                <w:tcPr/>
                <w:p>
                  <w:pPr>
                    <w:pStyle w:val="Compact"/>
                    <w:jc w:val="right"/>
                    <w:jc w:val="center"/>
                  </w:pPr>
                  <w:r>
                    <w:t xml:space="preserve">0.099</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USD/kWh</w:t>
                  </w:r>
                </w:p>
              </w:tc>
              <w:tc>
                <w:tcPr/>
                <w:p>
                  <w:pPr>
                    <w:pStyle w:val="Compact"/>
                    <w:jc w:val="left"/>
                    <w:jc w:val="center"/>
                  </w:pPr>
                  <w:r>
                    <w:t xml:space="preserve">World Bank ASPIRE Phase III ICR 2023: awarded solar PPA at $0.099/kWh</w:t>
                  </w:r>
                </w:p>
              </w:tc>
            </w:tr>
            <w:tr>
              <w:tc>
                <w:tcPr/>
                <w:p>
                  <w:pPr>
                    <w:pStyle w:val="Compact"/>
                    <w:jc w:val="left"/>
                    <w:jc w:val="center"/>
                  </w:pPr>
                  <w:r>
                    <w:t xml:space="preserve">Tokelau LCOE</w:t>
                  </w:r>
                </w:p>
              </w:tc>
              <w:tc>
                <w:tcPr/>
                <w:p>
                  <w:pPr>
                    <w:pStyle w:val="Compact"/>
                    <w:jc w:val="right"/>
                    <w:jc w:val="center"/>
                  </w:pPr>
                  <w:r>
                    <w:t xml:space="preserve">0.22</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USD/kWh</w:t>
                  </w:r>
                </w:p>
              </w:tc>
              <w:tc>
                <w:tcPr/>
                <w:p>
                  <w:pPr>
                    <w:pStyle w:val="Compact"/>
                    <w:jc w:val="left"/>
                    <w:jc w:val="center"/>
                  </w:pPr>
                  <w:r>
                    <w:t xml:space="preserve">Tokelau Renewable Energy Project Final Report 2017: 100% solar+battery LCOE ~$0.…</w:t>
                  </w:r>
                </w:p>
              </w:tc>
            </w:tr>
            <w:tr>
              <w:tc>
                <w:tcPr/>
                <w:p>
                  <w:pPr>
                    <w:pStyle w:val="Compact"/>
                    <w:jc w:val="left"/>
                    <w:jc w:val="center"/>
                  </w:pPr>
                  <w:r>
                    <w:t xml:space="preserve">Cook Islands LCOE</w:t>
                  </w:r>
                </w:p>
              </w:tc>
              <w:tc>
                <w:tcPr/>
                <w:p>
                  <w:pPr>
                    <w:pStyle w:val="Compact"/>
                    <w:jc w:val="right"/>
                    <w:jc w:val="center"/>
                  </w:pPr>
                  <w:r>
                    <w:t xml:space="preserve">0.25</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USD/kWh</w:t>
                  </w:r>
                </w:p>
              </w:tc>
              <w:tc>
                <w:tcPr/>
                <w:p>
                  <w:pPr>
                    <w:pStyle w:val="Compact"/>
                    <w:jc w:val="left"/>
                    <w:jc w:val="center"/>
                  </w:pPr>
                  <w:r>
                    <w:t xml:space="preserve">ADB Pacific Energy Update 2023: Cook Islands solar hybrid LCOE $0.23-0.27/kWh; m…</w:t>
                  </w:r>
                </w:p>
              </w:tc>
            </w:tr>
            <w:tr>
              <w:tc>
                <w:tcPr/>
                <w:p>
                  <w:pPr>
                    <w:pStyle w:val="Compact"/>
                    <w:jc w:val="left"/>
                    <w:jc w:val="center"/>
                  </w:pPr>
                  <w:r>
                    <w:t xml:space="preserve">Barbados LCOE</w:t>
                  </w:r>
                </w:p>
              </w:tc>
              <w:tc>
                <w:tcPr/>
                <w:p>
                  <w:pPr>
                    <w:pStyle w:val="Compact"/>
                    <w:jc w:val="right"/>
                    <w:jc w:val="center"/>
                  </w:pPr>
                  <w:r>
                    <w:t xml:space="preserve">0.19</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USD/kWh</w:t>
                  </w:r>
                </w:p>
              </w:tc>
              <w:tc>
                <w:tcPr/>
                <w:p>
                  <w:pPr>
                    <w:pStyle w:val="Compact"/>
                    <w:jc w:val="left"/>
                    <w:jc w:val="center"/>
                  </w:pPr>
                  <w:r>
                    <w:t xml:space="preserve">BNEF Caribbean Energy Outlook 2024: Barbados blended solar+gas LCOE ~$0.19/kWh</w:t>
                  </w:r>
                </w:p>
              </w:tc>
            </w:tr>
            <w:tr>
              <w:tc>
                <w:tcPr/>
                <w:p>
                  <w:pPr>
                    <w:pStyle w:val="Compact"/>
                    <w:jc w:val="left"/>
                    <w:jc w:val="center"/>
                  </w:pPr>
                  <w:r>
                    <w:t xml:space="preserve">Fiji LCOE</w:t>
                  </w:r>
                </w:p>
              </w:tc>
              <w:tc>
                <w:tcPr/>
                <w:p>
                  <w:pPr>
                    <w:pStyle w:val="Compact"/>
                    <w:jc w:val="right"/>
                    <w:jc w:val="center"/>
                  </w:pPr>
                  <w:r>
                    <w:t xml:space="preserve">0.15</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USD/kWh</w:t>
                  </w:r>
                </w:p>
              </w:tc>
              <w:tc>
                <w:tcPr/>
                <w:p>
                  <w:pPr>
                    <w:pStyle w:val="Compact"/>
                    <w:jc w:val="left"/>
                    <w:jc w:val="center"/>
                  </w:pPr>
                  <w:r>
                    <w:t xml:space="preserve">Fiji Electricity Authority Annual Report 2023: blended LCOE ~$0.15/kWh (hydro-do…</w:t>
                  </w:r>
                </w:p>
              </w:tc>
            </w:tr>
          </w:tbl>
          <w:p>
            <w:pPr>
              <w:pStyle w:val="Heading3"/>
              <w:jc w:val="center"/>
            </w:pPr>
            <w:bookmarkStart w:id="326" w:name="distributional"/>
            <w:r>
              <w:t xml:space="preserve">22.1.37 Distributional</w:t>
            </w:r>
            <w:bookmarkEnd w:id="326"/>
          </w:p>
          <w:tbl>
            <w:tblPr>
              <w:tblStyle w:val="Table"/>
              <w:tblW w:type="pct" w:w="5000"/>
              <w:tblLayout w:type="fixed"/>
              <w:tblLook w:firstRow="1" w:lastRow="0" w:firstColumn="0" w:lastColumn="0" w:noHBand="0" w:noVBand="0" w:val="0020"/>
            </w:tblPr>
            <w:tblGrid>
              <w:gridCol w:w="1450"/>
              <w:gridCol w:w="501"/>
              <w:gridCol w:w="390"/>
              <w:gridCol w:w="446"/>
              <w:gridCol w:w="501"/>
              <w:gridCol w:w="4629"/>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left"/>
                    <w:jc w:val="center"/>
                  </w:pPr>
                  <w:r>
                    <w:t xml:space="preserve">Low</w:t>
                  </w:r>
                </w:p>
              </w:tc>
              <w:tc>
                <w:tcPr/>
                <w:p>
                  <w:pPr>
                    <w:pStyle w:val="Compact"/>
                    <w:jc w:val="lef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Cost Share Government</w:t>
                  </w:r>
                </w:p>
              </w:tc>
              <w:tc>
                <w:tcPr/>
                <w:p>
                  <w:pPr>
                    <w:pStyle w:val="Compact"/>
                    <w:jc w:val="right"/>
                    <w:jc w:val="center"/>
                  </w:pPr>
                  <w:r>
                    <w:t xml:space="preserve">25</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percent</w:t>
                  </w:r>
                </w:p>
              </w:tc>
              <w:tc>
                <w:tcPr/>
                <w:p>
                  <w:pPr>
                    <w:pStyle w:val="Compact"/>
                    <w:jc w:val="left"/>
                    <w:jc w:val="center"/>
                  </w:pPr>
                  <w:r>
                    <w:t xml:space="preserve">Illustrative â€” based on GoM PSIP 2024 infrastructure financing patterns; typic…</w:t>
                  </w:r>
                </w:p>
              </w:tc>
            </w:tr>
            <w:tr>
              <w:tc>
                <w:tcPr/>
                <w:p>
                  <w:pPr>
                    <w:pStyle w:val="Compact"/>
                    <w:jc w:val="left"/>
                    <w:jc w:val="center"/>
                  </w:pPr>
                  <w:r>
                    <w:t xml:space="preserve">Cost Share MDBs</w:t>
                  </w:r>
                </w:p>
              </w:tc>
              <w:tc>
                <w:tcPr/>
                <w:p>
                  <w:pPr>
                    <w:pStyle w:val="Compact"/>
                    <w:jc w:val="right"/>
                    <w:jc w:val="center"/>
                  </w:pPr>
                  <w:r>
                    <w:t xml:space="preserve">30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percent</w:t>
                  </w:r>
                </w:p>
              </w:tc>
              <w:tc>
                <w:tcPr/>
                <w:p>
                  <w:pPr>
                    <w:pStyle w:val="Compact"/>
                    <w:jc w:val="left"/>
                    <w:jc w:val="center"/>
                  </w:pPr>
                  <w:r>
                    <w:t xml:space="preserve">Illustrative â€” based on ADB/World Bank SIDS energy portfolio 2020-2024; MDBs t…</w:t>
                  </w:r>
                </w:p>
              </w:tc>
            </w:tr>
            <w:tr>
              <w:tc>
                <w:tcPr/>
                <w:p>
                  <w:pPr>
                    <w:pStyle w:val="Compact"/>
                    <w:jc w:val="left"/>
                    <w:jc w:val="center"/>
                  </w:pPr>
                  <w:r>
                    <w:t xml:space="preserve">Cost Share India</w:t>
                  </w:r>
                </w:p>
              </w:tc>
              <w:tc>
                <w:tcPr/>
                <w:p>
                  <w:pPr>
                    <w:pStyle w:val="Compact"/>
                    <w:jc w:val="right"/>
                    <w:jc w:val="center"/>
                  </w:pPr>
                  <w:r>
                    <w:t xml:space="preserve">25</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percent</w:t>
                  </w:r>
                </w:p>
              </w:tc>
              <w:tc>
                <w:tcPr/>
                <w:p>
                  <w:pPr>
                    <w:pStyle w:val="Compact"/>
                    <w:jc w:val="left"/>
                    <w:jc w:val="center"/>
                  </w:pPr>
                  <w:r>
                    <w:t xml:space="preserve">Illustrative â€” based on India OSOWOG/ISA proposals; India expected to fund cab…</w:t>
                  </w:r>
                </w:p>
              </w:tc>
            </w:tr>
            <w:tr>
              <w:tc>
                <w:tcPr/>
                <w:p>
                  <w:pPr>
                    <w:pStyle w:val="Compact"/>
                    <w:jc w:val="left"/>
                    <w:jc w:val="center"/>
                  </w:pPr>
                  <w:r>
                    <w:t xml:space="preserve">Cost Share Private</w:t>
                  </w:r>
                </w:p>
              </w:tc>
              <w:tc>
                <w:tcPr/>
                <w:p>
                  <w:pPr>
                    <w:pStyle w:val="Compact"/>
                    <w:jc w:val="right"/>
                    <w:jc w:val="center"/>
                  </w:pPr>
                  <w:r>
                    <w:t xml:space="preserve">20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percent</w:t>
                  </w:r>
                </w:p>
              </w:tc>
              <w:tc>
                <w:tcPr/>
                <w:p>
                  <w:pPr>
                    <w:pStyle w:val="Compact"/>
                    <w:jc w:val="left"/>
                    <w:jc w:val="center"/>
                  </w:pPr>
                  <w:r>
                    <w:t xml:space="preserve">Illustrative â€” based on SIDS IPP experience; Maldives CIF/ASPIRE attracted 15-…</w:t>
                  </w:r>
                </w:p>
              </w:tc>
            </w:tr>
            <w:tr>
              <w:tc>
                <w:tcPr/>
                <w:p>
                  <w:pPr>
                    <w:pStyle w:val="Compact"/>
                    <w:jc w:val="left"/>
                    <w:jc w:val="center"/>
                  </w:pPr>
                  <w:r>
                    <w:t xml:space="preserve">Benefit Share Households</w:t>
                  </w:r>
                </w:p>
              </w:tc>
              <w:tc>
                <w:tcPr/>
                <w:p>
                  <w:pPr>
                    <w:pStyle w:val="Compact"/>
                    <w:jc w:val="right"/>
                    <w:jc w:val="center"/>
                  </w:pPr>
                  <w:r>
                    <w:t xml:space="preserve">35</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percent</w:t>
                  </w:r>
                </w:p>
              </w:tc>
              <w:tc>
                <w:tcPr/>
                <w:p>
                  <w:pPr>
                    <w:pStyle w:val="Compact"/>
                    <w:jc w:val="left"/>
                    <w:jc w:val="center"/>
                  </w:pPr>
                  <w:r>
                    <w:t xml:space="preserve">Illustrative â€” households receive largest benefit through lower electricity bi…</w:t>
                  </w:r>
                </w:p>
              </w:tc>
            </w:tr>
            <w:tr>
              <w:tc>
                <w:tcPr/>
                <w:p>
                  <w:pPr>
                    <w:pStyle w:val="Compact"/>
                    <w:jc w:val="left"/>
                    <w:jc w:val="center"/>
                  </w:pPr>
                  <w:r>
                    <w:t xml:space="preserve">Benefit Share Businesses</w:t>
                  </w:r>
                </w:p>
              </w:tc>
              <w:tc>
                <w:tcPr/>
                <w:p>
                  <w:pPr>
                    <w:pStyle w:val="Compact"/>
                    <w:jc w:val="right"/>
                    <w:jc w:val="center"/>
                  </w:pPr>
                  <w:r>
                    <w:t xml:space="preserve">25</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percent</w:t>
                  </w:r>
                </w:p>
              </w:tc>
              <w:tc>
                <w:tcPr/>
                <w:p>
                  <w:pPr>
                    <w:pStyle w:val="Compact"/>
                    <w:jc w:val="left"/>
                    <w:jc w:val="center"/>
                  </w:pPr>
                  <w:r>
                    <w:t xml:space="preserve">Illustrative â€” commercial/tourism sector ~40% of consumption but less price-se…</w:t>
                  </w:r>
                </w:p>
              </w:tc>
            </w:tr>
            <w:tr>
              <w:tc>
                <w:tcPr/>
                <w:p>
                  <w:pPr>
                    <w:pStyle w:val="Compact"/>
                    <w:jc w:val="left"/>
                    <w:jc w:val="center"/>
                  </w:pPr>
                  <w:r>
                    <w:t xml:space="preserve">Benefit Share Government</w:t>
                  </w:r>
                </w:p>
              </w:tc>
              <w:tc>
                <w:tcPr/>
                <w:p>
                  <w:pPr>
                    <w:pStyle w:val="Compact"/>
                    <w:jc w:val="right"/>
                    <w:jc w:val="center"/>
                  </w:pPr>
                  <w:r>
                    <w:t xml:space="preserve">15</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percent</w:t>
                  </w:r>
                </w:p>
              </w:tc>
              <w:tc>
                <w:tcPr/>
                <w:p>
                  <w:pPr>
                    <w:pStyle w:val="Compact"/>
                    <w:jc w:val="left"/>
                    <w:jc w:val="center"/>
                  </w:pPr>
                  <w:r>
                    <w:t xml:space="preserve">Illustrative â€” government benefits through reduced subsidy burden</w:t>
                  </w:r>
                </w:p>
              </w:tc>
            </w:tr>
            <w:tr>
              <w:tc>
                <w:tcPr/>
                <w:p>
                  <w:pPr>
                    <w:pStyle w:val="Compact"/>
                    <w:jc w:val="left"/>
                    <w:jc w:val="center"/>
                  </w:pPr>
                  <w:r>
                    <w:t xml:space="preserve">Benefit Share Climate</w:t>
                  </w:r>
                </w:p>
              </w:tc>
              <w:tc>
                <w:tcPr/>
                <w:p>
                  <w:pPr>
                    <w:pStyle w:val="Compact"/>
                    <w:jc w:val="right"/>
                    <w:jc w:val="center"/>
                  </w:pPr>
                  <w:r>
                    <w:t xml:space="preserve">20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percent</w:t>
                  </w:r>
                </w:p>
              </w:tc>
              <w:tc>
                <w:tcPr/>
                <w:p>
                  <w:pPr>
                    <w:pStyle w:val="Compact"/>
                    <w:jc w:val="left"/>
                    <w:jc w:val="center"/>
                  </w:pPr>
                  <w:r>
                    <w:t xml:space="preserve">Illustrative â€” global climate benefit from avoided CO2 emissions; valued at SC…</w:t>
                  </w:r>
                </w:p>
              </w:tc>
            </w:tr>
            <w:tr>
              <w:tc>
                <w:tcPr/>
                <w:p>
                  <w:pPr>
                    <w:pStyle w:val="Compact"/>
                    <w:jc w:val="left"/>
                    <w:jc w:val="center"/>
                  </w:pPr>
                  <w:r>
                    <w:t xml:space="preserve">Benefit Share Workers</w:t>
                  </w:r>
                </w:p>
              </w:tc>
              <w:tc>
                <w:tcPr/>
                <w:p>
                  <w:pPr>
                    <w:pStyle w:val="Compact"/>
                    <w:jc w:val="right"/>
                    <w:jc w:val="center"/>
                  </w:pPr>
                  <w:r>
                    <w:t xml:space="preserve">5</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percent</w:t>
                  </w:r>
                </w:p>
              </w:tc>
              <w:tc>
                <w:tcPr/>
                <w:p>
                  <w:pPr>
                    <w:pStyle w:val="Compact"/>
                    <w:jc w:val="left"/>
                    <w:jc w:val="center"/>
                  </w:pPr>
                  <w:r>
                    <w:t xml:space="preserve">Illustrative â€” new jobs in solar installation; maintenance; grid operations</w:t>
                  </w:r>
                </w:p>
              </w:tc>
            </w:tr>
          </w:tbl>
          <w:p>
            <w:pPr>
              <w:pStyle w:val="Heading3"/>
              <w:jc w:val="center"/>
            </w:pPr>
            <w:bookmarkStart w:id="327" w:name="investment-phasing"/>
            <w:r>
              <w:t xml:space="preserve">22.1.38 Investment Phasing</w:t>
            </w:r>
            <w:bookmarkEnd w:id="327"/>
          </w:p>
          <w:tbl>
            <w:tblPr>
              <w:tblStyle w:val="Table"/>
              <w:tblW w:type="pct" w:w="5000"/>
              <w:tblLayout w:type="fixed"/>
              <w:tblLook w:firstRow="1" w:lastRow="0" w:firstColumn="0" w:lastColumn="0" w:noHBand="0" w:noVBand="0" w:val="0020"/>
            </w:tblPr>
            <w:tblGrid>
              <w:gridCol w:w="1262"/>
              <w:gridCol w:w="516"/>
              <w:gridCol w:w="401"/>
              <w:gridCol w:w="459"/>
              <w:gridCol w:w="746"/>
              <w:gridCol w:w="4533"/>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left"/>
                    <w:jc w:val="center"/>
                  </w:pPr>
                  <w:r>
                    <w:t xml:space="preserve">Low</w:t>
                  </w:r>
                </w:p>
              </w:tc>
              <w:tc>
                <w:tcPr/>
                <w:p>
                  <w:pPr>
                    <w:pStyle w:val="Compact"/>
                    <w:jc w:val="lef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Solar 2026-28</w:t>
                  </w:r>
                </w:p>
              </w:tc>
              <w:tc>
                <w:tcPr/>
                <w:p>
                  <w:pPr>
                    <w:pStyle w:val="Compact"/>
                    <w:jc w:val="right"/>
                    <w:jc w:val="center"/>
                  </w:pPr>
                  <w:r>
                    <w:t xml:space="preserve">150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million USD</w:t>
                  </w:r>
                </w:p>
              </w:tc>
              <w:tc>
                <w:tcPr/>
                <w:p>
                  <w:pPr>
                    <w:pStyle w:val="Compact"/>
                    <w:jc w:val="left"/>
                    <w:jc w:val="center"/>
                  </w:pPr>
                  <w:r>
                    <w:t xml:space="preserve">Illustrative phasing â€” ~100MW at $1500/kW; front-loaded for quick wins</w:t>
                  </w:r>
                </w:p>
              </w:tc>
            </w:tr>
            <w:tr>
              <w:tc>
                <w:tcPr/>
                <w:p>
                  <w:pPr>
                    <w:pStyle w:val="Compact"/>
                    <w:jc w:val="left"/>
                    <w:jc w:val="center"/>
                  </w:pPr>
                  <w:r>
                    <w:t xml:space="preserve">Solar 2029-32</w:t>
                  </w:r>
                </w:p>
              </w:tc>
              <w:tc>
                <w:tcPr/>
                <w:p>
                  <w:pPr>
                    <w:pStyle w:val="Compact"/>
                    <w:jc w:val="right"/>
                    <w:jc w:val="center"/>
                  </w:pPr>
                  <w:r>
                    <w:t xml:space="preserve">300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million USD</w:t>
                  </w:r>
                </w:p>
              </w:tc>
              <w:tc>
                <w:tcPr/>
                <w:p>
                  <w:pPr>
                    <w:pStyle w:val="Compact"/>
                    <w:jc w:val="left"/>
                    <w:jc w:val="center"/>
                  </w:pPr>
                  <w:r>
                    <w:t xml:space="preserve">Illustrative phasing â€” ~200MW at $1350/kW (with learning); peak solar build</w:t>
                  </w:r>
                </w:p>
              </w:tc>
            </w:tr>
            <w:tr>
              <w:tc>
                <w:tcPr/>
                <w:p>
                  <w:pPr>
                    <w:pStyle w:val="Compact"/>
                    <w:jc w:val="left"/>
                    <w:jc w:val="center"/>
                  </w:pPr>
                  <w:r>
                    <w:t xml:space="preserve">Solar 2033-36</w:t>
                  </w:r>
                </w:p>
              </w:tc>
              <w:tc>
                <w:tcPr/>
                <w:p>
                  <w:pPr>
                    <w:pStyle w:val="Compact"/>
                    <w:jc w:val="right"/>
                    <w:jc w:val="center"/>
                  </w:pPr>
                  <w:r>
                    <w:t xml:space="preserve">250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million USD</w:t>
                  </w:r>
                </w:p>
              </w:tc>
              <w:tc>
                <w:tcPr/>
                <w:p>
                  <w:pPr>
                    <w:pStyle w:val="Compact"/>
                    <w:jc w:val="left"/>
                    <w:jc w:val="center"/>
                  </w:pPr>
                  <w:r>
                    <w:t xml:space="preserve">Illustrative phasing â€” ~200MW at $1200/kW; continued expansion</w:t>
                  </w:r>
                </w:p>
              </w:tc>
            </w:tr>
            <w:tr>
              <w:tc>
                <w:tcPr/>
                <w:p>
                  <w:pPr>
                    <w:pStyle w:val="Compact"/>
                    <w:jc w:val="left"/>
                    <w:jc w:val="center"/>
                  </w:pPr>
                  <w:r>
                    <w:t xml:space="preserve">Solar 2037-40</w:t>
                  </w:r>
                </w:p>
              </w:tc>
              <w:tc>
                <w:tcPr/>
                <w:p>
                  <w:pPr>
                    <w:pStyle w:val="Compact"/>
                    <w:jc w:val="right"/>
                    <w:jc w:val="center"/>
                  </w:pPr>
                  <w:r>
                    <w:t xml:space="preserve">150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million USD</w:t>
                  </w:r>
                </w:p>
              </w:tc>
              <w:tc>
                <w:tcPr/>
                <w:p>
                  <w:pPr>
                    <w:pStyle w:val="Compact"/>
                    <w:jc w:val="left"/>
                    <w:jc w:val="center"/>
                  </w:pPr>
                  <w:r>
                    <w:t xml:space="preserve">Illustrative phasing â€” ~150MW at $1000/kW; filling remaining capacity</w:t>
                  </w:r>
                </w:p>
              </w:tc>
            </w:tr>
            <w:tr>
              <w:tc>
                <w:tcPr/>
                <w:p>
                  <w:pPr>
                    <w:pStyle w:val="Compact"/>
                    <w:jc w:val="left"/>
                    <w:jc w:val="center"/>
                  </w:pPr>
                  <w:r>
                    <w:t xml:space="preserve">Solar 2041-50</w:t>
                  </w:r>
                </w:p>
              </w:tc>
              <w:tc>
                <w:tcPr/>
                <w:p>
                  <w:pPr>
                    <w:pStyle w:val="Compact"/>
                    <w:jc w:val="right"/>
                    <w:jc w:val="center"/>
                  </w:pPr>
                  <w:r>
                    <w:t xml:space="preserve">100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million USD</w:t>
                  </w:r>
                </w:p>
              </w:tc>
              <w:tc>
                <w:tcPr/>
                <w:p>
                  <w:pPr>
                    <w:pStyle w:val="Compact"/>
                    <w:jc w:val="left"/>
                    <w:jc w:val="center"/>
                  </w:pPr>
                  <w:r>
                    <w:t xml:space="preserve">Illustrative phasing â€” replacement + marginal additions</w:t>
                  </w:r>
                </w:p>
              </w:tc>
            </w:tr>
            <w:tr>
              <w:tc>
                <w:tcPr/>
                <w:p>
                  <w:pPr>
                    <w:pStyle w:val="Compact"/>
                    <w:jc w:val="left"/>
                    <w:jc w:val="center"/>
                  </w:pPr>
                  <w:r>
                    <w:t xml:space="preserve">Battery 2026-28</w:t>
                  </w:r>
                </w:p>
              </w:tc>
              <w:tc>
                <w:tcPr/>
                <w:p>
                  <w:pPr>
                    <w:pStyle w:val="Compact"/>
                    <w:jc w:val="right"/>
                    <w:jc w:val="center"/>
                  </w:pPr>
                  <w:r>
                    <w:t xml:space="preserve">50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million USD</w:t>
                  </w:r>
                </w:p>
              </w:tc>
              <w:tc>
                <w:tcPr/>
                <w:p>
                  <w:pPr>
                    <w:pStyle w:val="Compact"/>
                    <w:jc w:val="left"/>
                    <w:jc w:val="center"/>
                  </w:pPr>
                  <w:r>
                    <w:t xml:space="preserve">Illustrative phasing â€” initial BESS paired with early solar</w:t>
                  </w:r>
                </w:p>
              </w:tc>
            </w:tr>
            <w:tr>
              <w:tc>
                <w:tcPr/>
                <w:p>
                  <w:pPr>
                    <w:pStyle w:val="Compact"/>
                    <w:jc w:val="left"/>
                    <w:jc w:val="center"/>
                  </w:pPr>
                  <w:r>
                    <w:t xml:space="preserve">Battery 2029-32</w:t>
                  </w:r>
                </w:p>
              </w:tc>
              <w:tc>
                <w:tcPr/>
                <w:p>
                  <w:pPr>
                    <w:pStyle w:val="Compact"/>
                    <w:jc w:val="right"/>
                    <w:jc w:val="center"/>
                  </w:pPr>
                  <w:r>
                    <w:t xml:space="preserve">150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million USD</w:t>
                  </w:r>
                </w:p>
              </w:tc>
              <w:tc>
                <w:tcPr/>
                <w:p>
                  <w:pPr>
                    <w:pStyle w:val="Compact"/>
                    <w:jc w:val="left"/>
                    <w:jc w:val="center"/>
                  </w:pPr>
                  <w:r>
                    <w:t xml:space="preserve">Illustrative phasing â€” major BESS deployment with grid buildout</w:t>
                  </w:r>
                </w:p>
              </w:tc>
            </w:tr>
            <w:tr>
              <w:tc>
                <w:tcPr/>
                <w:p>
                  <w:pPr>
                    <w:pStyle w:val="Compact"/>
                    <w:jc w:val="left"/>
                    <w:jc w:val="center"/>
                  </w:pPr>
                  <w:r>
                    <w:t xml:space="preserve">Battery 2033-36</w:t>
                  </w:r>
                </w:p>
              </w:tc>
              <w:tc>
                <w:tcPr/>
                <w:p>
                  <w:pPr>
                    <w:pStyle w:val="Compact"/>
                    <w:jc w:val="right"/>
                    <w:jc w:val="center"/>
                  </w:pPr>
                  <w:r>
                    <w:t xml:space="preserve">100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million USD</w:t>
                  </w:r>
                </w:p>
              </w:tc>
              <w:tc>
                <w:tcPr/>
                <w:p>
                  <w:pPr>
                    <w:pStyle w:val="Compact"/>
                    <w:jc w:val="left"/>
                    <w:jc w:val="center"/>
                  </w:pPr>
                  <w:r>
                    <w:t xml:space="preserve">Illustrative phasing â€” continued BESS expansion</w:t>
                  </w:r>
                </w:p>
              </w:tc>
            </w:tr>
            <w:tr>
              <w:tc>
                <w:tcPr/>
                <w:p>
                  <w:pPr>
                    <w:pStyle w:val="Compact"/>
                    <w:jc w:val="left"/>
                    <w:jc w:val="center"/>
                  </w:pPr>
                  <w:r>
                    <w:t xml:space="preserve">Battery 2037-40</w:t>
                  </w:r>
                </w:p>
              </w:tc>
              <w:tc>
                <w:tcPr/>
                <w:p>
                  <w:pPr>
                    <w:pStyle w:val="Compact"/>
                    <w:jc w:val="right"/>
                    <w:jc w:val="center"/>
                  </w:pPr>
                  <w:r>
                    <w:t xml:space="preserve">50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million USD</w:t>
                  </w:r>
                </w:p>
              </w:tc>
              <w:tc>
                <w:tcPr/>
                <w:p>
                  <w:pPr>
                    <w:pStyle w:val="Compact"/>
                    <w:jc w:val="left"/>
                    <w:jc w:val="center"/>
                  </w:pPr>
                  <w:r>
                    <w:t xml:space="preserve">Illustrative phasing â€” replacement cycle begins</w:t>
                  </w:r>
                </w:p>
              </w:tc>
            </w:tr>
            <w:tr>
              <w:tc>
                <w:tcPr/>
                <w:p>
                  <w:pPr>
                    <w:pStyle w:val="Compact"/>
                    <w:jc w:val="left"/>
                    <w:jc w:val="center"/>
                  </w:pPr>
                  <w:r>
                    <w:t xml:space="preserve">Battery 2041-50</w:t>
                  </w:r>
                </w:p>
              </w:tc>
              <w:tc>
                <w:tcPr/>
                <w:p>
                  <w:pPr>
                    <w:pStyle w:val="Compact"/>
                    <w:jc w:val="right"/>
                    <w:jc w:val="center"/>
                  </w:pPr>
                  <w:r>
                    <w:t xml:space="preserve">50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million USD</w:t>
                  </w:r>
                </w:p>
              </w:tc>
              <w:tc>
                <w:tcPr/>
                <w:p>
                  <w:pPr>
                    <w:pStyle w:val="Compact"/>
                    <w:jc w:val="left"/>
                    <w:jc w:val="center"/>
                  </w:pPr>
                  <w:r>
                    <w:t xml:space="preserve">Illustrative phasing â€” ongoing replacement</w:t>
                  </w:r>
                </w:p>
              </w:tc>
            </w:tr>
            <w:tr>
              <w:tc>
                <w:tcPr/>
                <w:p>
                  <w:pPr>
                    <w:pStyle w:val="Compact"/>
                    <w:jc w:val="left"/>
                    <w:jc w:val="center"/>
                  </w:pPr>
                  <w:r>
                    <w:t xml:space="preserve">Inter-Island 2026-28</w:t>
                  </w:r>
                </w:p>
              </w:tc>
              <w:tc>
                <w:tcPr/>
                <w:p>
                  <w:pPr>
                    <w:pStyle w:val="Compact"/>
                    <w:jc w:val="right"/>
                    <w:jc w:val="center"/>
                  </w:pPr>
                  <w:r>
                    <w:t xml:space="preserve">100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million USD</w:t>
                  </w:r>
                </w:p>
              </w:tc>
              <w:tc>
                <w:tcPr/>
                <w:p>
                  <w:pPr>
                    <w:pStyle w:val="Compact"/>
                    <w:jc w:val="left"/>
                    <w:jc w:val="center"/>
                  </w:pPr>
                  <w:r>
                    <w:t xml:space="preserve">Illustrative phasing â€” Phase 1 Greater Male region</w:t>
                  </w:r>
                </w:p>
              </w:tc>
            </w:tr>
            <w:tr>
              <w:tc>
                <w:tcPr/>
                <w:p>
                  <w:pPr>
                    <w:pStyle w:val="Compact"/>
                    <w:jc w:val="left"/>
                    <w:jc w:val="center"/>
                  </w:pPr>
                  <w:r>
                    <w:t xml:space="preserve">Inter-Island 2029-32</w:t>
                  </w:r>
                </w:p>
              </w:tc>
              <w:tc>
                <w:tcPr/>
                <w:p>
                  <w:pPr>
                    <w:pStyle w:val="Compact"/>
                    <w:jc w:val="right"/>
                    <w:jc w:val="center"/>
                  </w:pPr>
                  <w:r>
                    <w:t xml:space="preserve">400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million USD</w:t>
                  </w:r>
                </w:p>
              </w:tc>
              <w:tc>
                <w:tcPr/>
                <w:p>
                  <w:pPr>
                    <w:pStyle w:val="Compact"/>
                    <w:jc w:val="left"/>
                    <w:jc w:val="center"/>
                  </w:pPr>
                  <w:r>
                    <w:t xml:space="preserve">Illustrative phasing â€” major inter-atoll connections</w:t>
                  </w:r>
                </w:p>
              </w:tc>
            </w:tr>
            <w:tr>
              <w:tc>
                <w:tcPr/>
                <w:p>
                  <w:pPr>
                    <w:pStyle w:val="Compact"/>
                    <w:jc w:val="left"/>
                    <w:jc w:val="center"/>
                  </w:pPr>
                  <w:r>
                    <w:t xml:space="preserve">Inter-Island 2033-36</w:t>
                  </w:r>
                </w:p>
              </w:tc>
              <w:tc>
                <w:tcPr/>
                <w:p>
                  <w:pPr>
                    <w:pStyle w:val="Compact"/>
                    <w:jc w:val="right"/>
                    <w:jc w:val="center"/>
                  </w:pPr>
                  <w:r>
                    <w:t xml:space="preserve">200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million USD</w:t>
                  </w:r>
                </w:p>
              </w:tc>
              <w:tc>
                <w:tcPr/>
                <w:p>
                  <w:pPr>
                    <w:pStyle w:val="Compact"/>
                    <w:jc w:val="left"/>
                    <w:jc w:val="center"/>
                  </w:pPr>
                  <w:r>
                    <w:t xml:space="preserve">Illustrative phasing â€” extending to outer atolls</w:t>
                  </w:r>
                </w:p>
              </w:tc>
            </w:tr>
            <w:tr>
              <w:tc>
                <w:tcPr/>
                <w:p>
                  <w:pPr>
                    <w:pStyle w:val="Compact"/>
                    <w:jc w:val="left"/>
                    <w:jc w:val="center"/>
                  </w:pPr>
                  <w:r>
                    <w:t xml:space="preserve">Inter-Island 2037-40</w:t>
                  </w:r>
                </w:p>
              </w:tc>
              <w:tc>
                <w:tcPr/>
                <w:p>
                  <w:pPr>
                    <w:pStyle w:val="Compact"/>
                    <w:jc w:val="right"/>
                    <w:jc w:val="center"/>
                  </w:pPr>
                  <w:r>
                    <w:t xml:space="preserve">100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million USD</w:t>
                  </w:r>
                </w:p>
              </w:tc>
              <w:tc>
                <w:tcPr/>
                <w:p>
                  <w:pPr>
                    <w:pStyle w:val="Compact"/>
                    <w:jc w:val="left"/>
                    <w:jc w:val="center"/>
                  </w:pPr>
                  <w:r>
                    <w:t xml:space="preserve">Illustrative phasing â€” final connections</w:t>
                  </w:r>
                </w:p>
              </w:tc>
            </w:tr>
            <w:tr>
              <w:tc>
                <w:tcPr/>
                <w:p>
                  <w:pPr>
                    <w:pStyle w:val="Compact"/>
                    <w:jc w:val="left"/>
                    <w:jc w:val="center"/>
                  </w:pPr>
                  <w:r>
                    <w:t xml:space="preserve">Inter-Island 2041-50</w:t>
                  </w:r>
                </w:p>
              </w:tc>
              <w:tc>
                <w:tcPr/>
                <w:p>
                  <w:pPr>
                    <w:pStyle w:val="Compact"/>
                    <w:jc w:val="right"/>
                    <w:jc w:val="center"/>
                  </w:pPr>
                  <w:r>
                    <w:t xml:space="preserve">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million USD</w:t>
                  </w:r>
                </w:p>
              </w:tc>
              <w:tc>
                <w:tcPr/>
                <w:p>
                  <w:pPr>
                    <w:pStyle w:val="Compact"/>
                    <w:jc w:val="left"/>
                    <w:jc w:val="center"/>
                  </w:pPr>
                  <w:r>
                    <w:t xml:space="preserve">Illustrative phasing â€” complete</w:t>
                  </w:r>
                </w:p>
              </w:tc>
            </w:tr>
            <w:tr>
              <w:tc>
                <w:tcPr/>
                <w:p>
                  <w:pPr>
                    <w:pStyle w:val="Compact"/>
                    <w:jc w:val="left"/>
                    <w:jc w:val="center"/>
                  </w:pPr>
                  <w:r>
                    <w:t xml:space="preserve">India Cable 2026-28</w:t>
                  </w:r>
                </w:p>
              </w:tc>
              <w:tc>
                <w:tcPr/>
                <w:p>
                  <w:pPr>
                    <w:pStyle w:val="Compact"/>
                    <w:jc w:val="right"/>
                    <w:jc w:val="center"/>
                  </w:pPr>
                  <w:r>
                    <w:t xml:space="preserve">200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million USD</w:t>
                  </w:r>
                </w:p>
              </w:tc>
              <w:tc>
                <w:tcPr/>
                <w:p>
                  <w:pPr>
                    <w:pStyle w:val="Compact"/>
                    <w:jc w:val="left"/>
                    <w:jc w:val="center"/>
                  </w:pPr>
                  <w:r>
                    <w:t xml:space="preserve">Illustrative phasing â€” planning; surveying; initial manufacturing</w:t>
                  </w:r>
                </w:p>
              </w:tc>
            </w:tr>
            <w:tr>
              <w:tc>
                <w:tcPr/>
                <w:p>
                  <w:pPr>
                    <w:pStyle w:val="Compact"/>
                    <w:jc w:val="left"/>
                    <w:jc w:val="center"/>
                  </w:pPr>
                  <w:r>
                    <w:t xml:space="preserve">India Cable 2029-32</w:t>
                  </w:r>
                </w:p>
              </w:tc>
              <w:tc>
                <w:tcPr/>
                <w:p>
                  <w:pPr>
                    <w:pStyle w:val="Compact"/>
                    <w:jc w:val="right"/>
                    <w:jc w:val="center"/>
                  </w:pPr>
                  <w:r>
                    <w:t xml:space="preserve">1200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million USD</w:t>
                  </w:r>
                </w:p>
              </w:tc>
              <w:tc>
                <w:tcPr/>
                <w:p>
                  <w:pPr>
                    <w:pStyle w:val="Compact"/>
                    <w:jc w:val="left"/>
                    <w:jc w:val="center"/>
                  </w:pPr>
                  <w:r>
                    <w:t xml:space="preserve">Illustrative phasing â€” main cable construction period</w:t>
                  </w:r>
                </w:p>
              </w:tc>
            </w:tr>
            <w:tr>
              <w:tc>
                <w:tcPr/>
                <w:p>
                  <w:pPr>
                    <w:pStyle w:val="Compact"/>
                    <w:jc w:val="left"/>
                    <w:jc w:val="center"/>
                  </w:pPr>
                  <w:r>
                    <w:t xml:space="preserve">India Cable 2033-36</w:t>
                  </w:r>
                </w:p>
              </w:tc>
              <w:tc>
                <w:tcPr/>
                <w:p>
                  <w:pPr>
                    <w:pStyle w:val="Compact"/>
                    <w:jc w:val="right"/>
                    <w:jc w:val="center"/>
                  </w:pPr>
                  <w:r>
                    <w:t xml:space="preserve">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million USD</w:t>
                  </w:r>
                </w:p>
              </w:tc>
              <w:tc>
                <w:tcPr/>
                <w:p>
                  <w:pPr>
                    <w:pStyle w:val="Compact"/>
                    <w:jc w:val="left"/>
                    <w:jc w:val="center"/>
                  </w:pPr>
                  <w:r>
                    <w:t xml:space="preserve">Illustrative phasing â€” cable operational by 2032</w:t>
                  </w:r>
                </w:p>
              </w:tc>
            </w:tr>
            <w:tr>
              <w:tc>
                <w:tcPr/>
                <w:p>
                  <w:pPr>
                    <w:pStyle w:val="Compact"/>
                    <w:jc w:val="left"/>
                    <w:jc w:val="center"/>
                  </w:pPr>
                  <w:r>
                    <w:t xml:space="preserve">India Cable 2037-40</w:t>
                  </w:r>
                </w:p>
              </w:tc>
              <w:tc>
                <w:tcPr/>
                <w:p>
                  <w:pPr>
                    <w:pStyle w:val="Compact"/>
                    <w:jc w:val="right"/>
                    <w:jc w:val="center"/>
                  </w:pPr>
                  <w:r>
                    <w:t xml:space="preserve">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million USD</w:t>
                  </w:r>
                </w:p>
              </w:tc>
              <w:tc>
                <w:tcPr/>
                <w:p>
                  <w:pPr>
                    <w:pStyle w:val="Compact"/>
                    <w:jc w:val="left"/>
                    <w:jc w:val="center"/>
                  </w:pPr>
                  <w:r>
                    <w:t xml:space="preserve">Illustrative phasing â€” cable operational</w:t>
                  </w:r>
                </w:p>
              </w:tc>
            </w:tr>
            <w:tr>
              <w:tc>
                <w:tcPr/>
                <w:p>
                  <w:pPr>
                    <w:pStyle w:val="Compact"/>
                    <w:jc w:val="left"/>
                    <w:jc w:val="center"/>
                  </w:pPr>
                  <w:r>
                    <w:t xml:space="preserve">India Cable 2041-50</w:t>
                  </w:r>
                </w:p>
              </w:tc>
              <w:tc>
                <w:tcPr/>
                <w:p>
                  <w:pPr>
                    <w:pStyle w:val="Compact"/>
                    <w:jc w:val="right"/>
                    <w:jc w:val="center"/>
                  </w:pPr>
                  <w:r>
                    <w:t xml:space="preserve">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million USD</w:t>
                  </w:r>
                </w:p>
              </w:tc>
              <w:tc>
                <w:tcPr/>
                <w:p>
                  <w:pPr>
                    <w:pStyle w:val="Compact"/>
                    <w:jc w:val="left"/>
                    <w:jc w:val="center"/>
                  </w:pPr>
                  <w:r>
                    <w:t xml:space="preserve">Illustrative phasing â€” cable operational</w:t>
                  </w:r>
                </w:p>
              </w:tc>
            </w:tr>
          </w:tbl>
          <w:p>
            <w:pPr>
              <w:pStyle w:val="Heading3"/>
              <w:jc w:val="center"/>
            </w:pPr>
            <w:bookmarkStart w:id="328" w:name="mca-weights"/>
            <w:r>
              <w:t xml:space="preserve">22.1.39 MCA Weights</w:t>
            </w:r>
            <w:bookmarkEnd w:id="328"/>
          </w:p>
          <w:tbl>
            <w:tblPr>
              <w:tblStyle w:val="Table"/>
              <w:tblW w:type="pct" w:w="5000"/>
              <w:tblLayout w:type="fixed"/>
              <w:tblLook w:firstRow="1" w:lastRow="0" w:firstColumn="0" w:lastColumn="0" w:noHBand="0" w:noVBand="0" w:val="0020"/>
            </w:tblPr>
            <w:tblGrid>
              <w:gridCol w:w="1895"/>
              <w:gridCol w:w="609"/>
              <w:gridCol w:w="473"/>
              <w:gridCol w:w="541"/>
              <w:gridCol w:w="541"/>
              <w:gridCol w:w="3858"/>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right"/>
                    <w:jc w:val="center"/>
                  </w:pPr>
                  <w:r>
                    <w:t xml:space="preserve">Low</w:t>
                  </w:r>
                </w:p>
              </w:tc>
              <w:tc>
                <w:tcPr/>
                <w:p>
                  <w:pPr>
                    <w:pStyle w:val="Compact"/>
                    <w:jc w:val="righ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Economic Efficiency</w:t>
                  </w:r>
                </w:p>
              </w:tc>
              <w:tc>
                <w:tcPr/>
                <w:p>
                  <w:pPr>
                    <w:pStyle w:val="Compact"/>
                    <w:jc w:val="right"/>
                    <w:jc w:val="center"/>
                  </w:pPr>
                  <w:r>
                    <w:t xml:space="preserve">0.2</w:t>
                  </w:r>
                </w:p>
              </w:tc>
              <w:tc>
                <w:tcPr/>
                <w:p>
                  <w:pPr>
                    <w:pStyle w:val="Compact"/>
                    <w:jc w:val="right"/>
                    <w:jc w:val="center"/>
                  </w:pPr>
                  <w:r>
                    <w:t xml:space="preserve">0.1</w:t>
                  </w:r>
                </w:p>
              </w:tc>
              <w:tc>
                <w:tcPr/>
                <w:p>
                  <w:pPr>
                    <w:pStyle w:val="Compact"/>
                    <w:jc w:val="right"/>
                    <w:jc w:val="center"/>
                  </w:pPr>
                  <w:r>
                    <w:t xml:space="preserve">0.4</w:t>
                  </w:r>
                </w:p>
              </w:tc>
              <w:tc>
                <w:tcPr/>
                <w:p>
                  <w:pPr>
                    <w:pStyle w:val="Compact"/>
                    <w:jc w:val="left"/>
                    <w:jc w:val="center"/>
                  </w:pPr>
                  <w:r>
                    <w:t xml:space="preserve">weight</w:t>
                  </w:r>
                </w:p>
              </w:tc>
              <w:tc>
                <w:tcPr/>
                <w:p>
                  <w:pPr>
                    <w:pStyle w:val="Compact"/>
                    <w:jc w:val="left"/>
                    <w:jc w:val="center"/>
                  </w:pPr>
                  <w:r>
                    <w:t xml:space="preserve">ADB (2017) Â§7.3; Dodgson et al. (2009) DCLG MCA Manual</w:t>
                  </w:r>
                </w:p>
              </w:tc>
            </w:tr>
            <w:tr>
              <w:tc>
                <w:tcPr/>
                <w:p>
                  <w:pPr>
                    <w:pStyle w:val="Compact"/>
                    <w:jc w:val="left"/>
                    <w:jc w:val="center"/>
                  </w:pPr>
                  <w:r>
                    <w:t xml:space="preserve">Environmental Impact</w:t>
                  </w:r>
                </w:p>
              </w:tc>
              <w:tc>
                <w:tcPr/>
                <w:p>
                  <w:pPr>
                    <w:pStyle w:val="Compact"/>
                    <w:jc w:val="right"/>
                    <w:jc w:val="center"/>
                  </w:pPr>
                  <w:r>
                    <w:t xml:space="preserve">0.15</w:t>
                  </w:r>
                </w:p>
              </w:tc>
              <w:tc>
                <w:tcPr/>
                <w:p>
                  <w:pPr>
                    <w:pStyle w:val="Compact"/>
                    <w:jc w:val="right"/>
                    <w:jc w:val="center"/>
                  </w:pPr>
                  <w:r>
                    <w:t xml:space="preserve">0.05</w:t>
                  </w:r>
                </w:p>
              </w:tc>
              <w:tc>
                <w:tcPr/>
                <w:p>
                  <w:pPr>
                    <w:pStyle w:val="Compact"/>
                    <w:jc w:val="right"/>
                    <w:jc w:val="center"/>
                  </w:pPr>
                  <w:r>
                    <w:t xml:space="preserve">0.3</w:t>
                  </w:r>
                </w:p>
              </w:tc>
              <w:tc>
                <w:tcPr/>
                <w:p>
                  <w:pPr>
                    <w:pStyle w:val="Compact"/>
                    <w:jc w:val="left"/>
                    <w:jc w:val="center"/>
                  </w:pPr>
                  <w:r>
                    <w:t xml:space="preserve">weight</w:t>
                  </w:r>
                </w:p>
              </w:tc>
              <w:tc>
                <w:tcPr/>
                <w:p>
                  <w:pPr>
                    <w:pStyle w:val="Compact"/>
                    <w:jc w:val="left"/>
                    <w:jc w:val="center"/>
                  </w:pPr>
                  <w:r>
                    <w:t xml:space="preserve">ADB (2017) Â§7.3; Dodgson et al. (2009) DCLG MCA Manual</w:t>
                  </w:r>
                </w:p>
              </w:tc>
            </w:tr>
            <w:tr>
              <w:tc>
                <w:tcPr/>
                <w:p>
                  <w:pPr>
                    <w:pStyle w:val="Compact"/>
                    <w:jc w:val="left"/>
                    <w:jc w:val="center"/>
                  </w:pPr>
                  <w:r>
                    <w:t xml:space="preserve">Energy Security</w:t>
                  </w:r>
                </w:p>
              </w:tc>
              <w:tc>
                <w:tcPr/>
                <w:p>
                  <w:pPr>
                    <w:pStyle w:val="Compact"/>
                    <w:jc w:val="right"/>
                    <w:jc w:val="center"/>
                  </w:pPr>
                  <w:r>
                    <w:t xml:space="preserve">0.15</w:t>
                  </w:r>
                </w:p>
              </w:tc>
              <w:tc>
                <w:tcPr/>
                <w:p>
                  <w:pPr>
                    <w:pStyle w:val="Compact"/>
                    <w:jc w:val="right"/>
                    <w:jc w:val="center"/>
                  </w:pPr>
                  <w:r>
                    <w:t xml:space="preserve">0.05</w:t>
                  </w:r>
                </w:p>
              </w:tc>
              <w:tc>
                <w:tcPr/>
                <w:p>
                  <w:pPr>
                    <w:pStyle w:val="Compact"/>
                    <w:jc w:val="right"/>
                    <w:jc w:val="center"/>
                  </w:pPr>
                  <w:r>
                    <w:t xml:space="preserve">0.25</w:t>
                  </w:r>
                </w:p>
              </w:tc>
              <w:tc>
                <w:tcPr/>
                <w:p>
                  <w:pPr>
                    <w:pStyle w:val="Compact"/>
                    <w:jc w:val="left"/>
                    <w:jc w:val="center"/>
                  </w:pPr>
                  <w:r>
                    <w:t xml:space="preserve">weight</w:t>
                  </w:r>
                </w:p>
              </w:tc>
              <w:tc>
                <w:tcPr/>
                <w:p>
                  <w:pPr>
                    <w:pStyle w:val="Compact"/>
                    <w:jc w:val="left"/>
                    <w:jc w:val="center"/>
                  </w:pPr>
                  <w:r>
                    <w:t xml:space="preserve">ADB (2017) Â§7.3; Dodgson et al. (2009) DCLG MCA Manual</w:t>
                  </w:r>
                </w:p>
              </w:tc>
            </w:tr>
            <w:tr>
              <w:tc>
                <w:tcPr/>
                <w:p>
                  <w:pPr>
                    <w:pStyle w:val="Compact"/>
                    <w:jc w:val="left"/>
                    <w:jc w:val="center"/>
                  </w:pPr>
                  <w:r>
                    <w:t xml:space="preserve">Health Benefits</w:t>
                  </w:r>
                </w:p>
              </w:tc>
              <w:tc>
                <w:tcPr/>
                <w:p>
                  <w:pPr>
                    <w:pStyle w:val="Compact"/>
                    <w:jc w:val="right"/>
                    <w:jc w:val="center"/>
                  </w:pPr>
                  <w:r>
                    <w:t xml:space="preserve">0.1</w:t>
                  </w:r>
                </w:p>
              </w:tc>
              <w:tc>
                <w:tcPr/>
                <w:p>
                  <w:pPr>
                    <w:pStyle w:val="Compact"/>
                    <w:jc w:val="right"/>
                    <w:jc w:val="center"/>
                  </w:pPr>
                  <w:r>
                    <w:t xml:space="preserve">0.05</w:t>
                  </w:r>
                </w:p>
              </w:tc>
              <w:tc>
                <w:tcPr/>
                <w:p>
                  <w:pPr>
                    <w:pStyle w:val="Compact"/>
                    <w:jc w:val="right"/>
                    <w:jc w:val="center"/>
                  </w:pPr>
                  <w:r>
                    <w:t xml:space="preserve">0.2</w:t>
                  </w:r>
                </w:p>
              </w:tc>
              <w:tc>
                <w:tcPr/>
                <w:p>
                  <w:pPr>
                    <w:pStyle w:val="Compact"/>
                    <w:jc w:val="left"/>
                    <w:jc w:val="center"/>
                  </w:pPr>
                  <w:r>
                    <w:t xml:space="preserve">weight</w:t>
                  </w:r>
                </w:p>
              </w:tc>
              <w:tc>
                <w:tcPr/>
                <w:p>
                  <w:pPr>
                    <w:pStyle w:val="Compact"/>
                    <w:jc w:val="left"/>
                    <w:jc w:val="center"/>
                  </w:pPr>
                  <w:r>
                    <w:t xml:space="preserve">ADB (2017) Â§7.3; Dodgson et al. (2009) DCLG MCA Manual</w:t>
                  </w:r>
                </w:p>
              </w:tc>
            </w:tr>
            <w:tr>
              <w:tc>
                <w:tcPr/>
                <w:p>
                  <w:pPr>
                    <w:pStyle w:val="Compact"/>
                    <w:jc w:val="left"/>
                    <w:jc w:val="center"/>
                  </w:pPr>
                  <w:r>
                    <w:t xml:space="preserve">Fiscal Burden</w:t>
                  </w:r>
                </w:p>
              </w:tc>
              <w:tc>
                <w:tcPr/>
                <w:p>
                  <w:pPr>
                    <w:pStyle w:val="Compact"/>
                    <w:jc w:val="right"/>
                    <w:jc w:val="center"/>
                  </w:pPr>
                  <w:r>
                    <w:t xml:space="preserve">0.1</w:t>
                  </w:r>
                </w:p>
              </w:tc>
              <w:tc>
                <w:tcPr/>
                <w:p>
                  <w:pPr>
                    <w:pStyle w:val="Compact"/>
                    <w:jc w:val="right"/>
                    <w:jc w:val="center"/>
                  </w:pPr>
                  <w:r>
                    <w:t xml:space="preserve">0.05</w:t>
                  </w:r>
                </w:p>
              </w:tc>
              <w:tc>
                <w:tcPr/>
                <w:p>
                  <w:pPr>
                    <w:pStyle w:val="Compact"/>
                    <w:jc w:val="right"/>
                    <w:jc w:val="center"/>
                  </w:pPr>
                  <w:r>
                    <w:t xml:space="preserve">0.2</w:t>
                  </w:r>
                </w:p>
              </w:tc>
              <w:tc>
                <w:tcPr/>
                <w:p>
                  <w:pPr>
                    <w:pStyle w:val="Compact"/>
                    <w:jc w:val="left"/>
                    <w:jc w:val="center"/>
                  </w:pPr>
                  <w:r>
                    <w:t xml:space="preserve">weight</w:t>
                  </w:r>
                </w:p>
              </w:tc>
              <w:tc>
                <w:tcPr/>
                <w:p>
                  <w:pPr>
                    <w:pStyle w:val="Compact"/>
                    <w:jc w:val="left"/>
                    <w:jc w:val="center"/>
                  </w:pPr>
                  <w:r>
                    <w:t xml:space="preserve">ADB (2017) Â§7.3; Dodgson et al. (2009) DCLG MCA Manual</w:t>
                  </w:r>
                </w:p>
              </w:tc>
            </w:tr>
            <w:tr>
              <w:tc>
                <w:tcPr/>
                <w:p>
                  <w:pPr>
                    <w:pStyle w:val="Compact"/>
                    <w:jc w:val="left"/>
                    <w:jc w:val="center"/>
                  </w:pPr>
                  <w:r>
                    <w:t xml:space="preserve">Implementation Feasibility</w:t>
                  </w:r>
                </w:p>
              </w:tc>
              <w:tc>
                <w:tcPr/>
                <w:p>
                  <w:pPr>
                    <w:pStyle w:val="Compact"/>
                    <w:jc w:val="right"/>
                    <w:jc w:val="center"/>
                  </w:pPr>
                  <w:r>
                    <w:t xml:space="preserve">0.1</w:t>
                  </w:r>
                </w:p>
              </w:tc>
              <w:tc>
                <w:tcPr/>
                <w:p>
                  <w:pPr>
                    <w:pStyle w:val="Compact"/>
                    <w:jc w:val="right"/>
                    <w:jc w:val="center"/>
                  </w:pPr>
                  <w:r>
                    <w:t xml:space="preserve">0.05</w:t>
                  </w:r>
                </w:p>
              </w:tc>
              <w:tc>
                <w:tcPr/>
                <w:p>
                  <w:pPr>
                    <w:pStyle w:val="Compact"/>
                    <w:jc w:val="right"/>
                    <w:jc w:val="center"/>
                  </w:pPr>
                  <w:r>
                    <w:t xml:space="preserve">0.2</w:t>
                  </w:r>
                </w:p>
              </w:tc>
              <w:tc>
                <w:tcPr/>
                <w:p>
                  <w:pPr>
                    <w:pStyle w:val="Compact"/>
                    <w:jc w:val="left"/>
                    <w:jc w:val="center"/>
                  </w:pPr>
                  <w:r>
                    <w:t xml:space="preserve">weight</w:t>
                  </w:r>
                </w:p>
              </w:tc>
              <w:tc>
                <w:tcPr/>
                <w:p>
                  <w:pPr>
                    <w:pStyle w:val="Compact"/>
                    <w:jc w:val="left"/>
                    <w:jc w:val="center"/>
                  </w:pPr>
                  <w:r>
                    <w:t xml:space="preserve">ADB (2017) Â§7.3; Dodgson et al. (2009) DCLG MCA Manual</w:t>
                  </w:r>
                </w:p>
              </w:tc>
            </w:tr>
            <w:tr>
              <w:tc>
                <w:tcPr/>
                <w:p>
                  <w:pPr>
                    <w:pStyle w:val="Compact"/>
                    <w:jc w:val="left"/>
                    <w:jc w:val="center"/>
                  </w:pPr>
                  <w:r>
                    <w:t xml:space="preserve">Social Equity</w:t>
                  </w:r>
                </w:p>
              </w:tc>
              <w:tc>
                <w:tcPr/>
                <w:p>
                  <w:pPr>
                    <w:pStyle w:val="Compact"/>
                    <w:jc w:val="right"/>
                    <w:jc w:val="center"/>
                  </w:pPr>
                  <w:r>
                    <w:t xml:space="preserve">0.1</w:t>
                  </w:r>
                </w:p>
              </w:tc>
              <w:tc>
                <w:tcPr/>
                <w:p>
                  <w:pPr>
                    <w:pStyle w:val="Compact"/>
                    <w:jc w:val="right"/>
                    <w:jc w:val="center"/>
                  </w:pPr>
                  <w:r>
                    <w:t xml:space="preserve">0.05</w:t>
                  </w:r>
                </w:p>
              </w:tc>
              <w:tc>
                <w:tcPr/>
                <w:p>
                  <w:pPr>
                    <w:pStyle w:val="Compact"/>
                    <w:jc w:val="right"/>
                    <w:jc w:val="center"/>
                  </w:pPr>
                  <w:r>
                    <w:t xml:space="preserve">0.3</w:t>
                  </w:r>
                </w:p>
              </w:tc>
              <w:tc>
                <w:tcPr/>
                <w:p>
                  <w:pPr>
                    <w:pStyle w:val="Compact"/>
                    <w:jc w:val="left"/>
                    <w:jc w:val="center"/>
                  </w:pPr>
                  <w:r>
                    <w:t xml:space="preserve">weight</w:t>
                  </w:r>
                </w:p>
              </w:tc>
              <w:tc>
                <w:tcPr/>
                <w:p>
                  <w:pPr>
                    <w:pStyle w:val="Compact"/>
                    <w:jc w:val="left"/>
                    <w:jc w:val="center"/>
                  </w:pPr>
                  <w:r>
                    <w:t xml:space="preserve">ADB (2017) Â§7.3; Dodgson et al. (2009) DCLG MCA Manual</w:t>
                  </w:r>
                </w:p>
              </w:tc>
            </w:tr>
            <w:tr>
              <w:tc>
                <w:tcPr/>
                <w:p>
                  <w:pPr>
                    <w:pStyle w:val="Compact"/>
                    <w:jc w:val="left"/>
                    <w:jc w:val="center"/>
                  </w:pPr>
                  <w:r>
                    <w:t xml:space="preserve">Climate Resilience</w:t>
                  </w:r>
                </w:p>
              </w:tc>
              <w:tc>
                <w:tcPr/>
                <w:p>
                  <w:pPr>
                    <w:pStyle w:val="Compact"/>
                    <w:jc w:val="right"/>
                    <w:jc w:val="center"/>
                  </w:pPr>
                  <w:r>
                    <w:t xml:space="preserve">0.1</w:t>
                  </w:r>
                </w:p>
              </w:tc>
              <w:tc>
                <w:tcPr/>
                <w:p>
                  <w:pPr>
                    <w:pStyle w:val="Compact"/>
                    <w:jc w:val="right"/>
                    <w:jc w:val="center"/>
                  </w:pPr>
                  <w:r>
                    <w:t xml:space="preserve">0.05</w:t>
                  </w:r>
                </w:p>
              </w:tc>
              <w:tc>
                <w:tcPr/>
                <w:p>
                  <w:pPr>
                    <w:pStyle w:val="Compact"/>
                    <w:jc w:val="right"/>
                    <w:jc w:val="center"/>
                  </w:pPr>
                  <w:r>
                    <w:t xml:space="preserve">0.2</w:t>
                  </w:r>
                </w:p>
              </w:tc>
              <w:tc>
                <w:tcPr/>
                <w:p>
                  <w:pPr>
                    <w:pStyle w:val="Compact"/>
                    <w:jc w:val="left"/>
                    <w:jc w:val="center"/>
                  </w:pPr>
                  <w:r>
                    <w:t xml:space="preserve">weight</w:t>
                  </w:r>
                </w:p>
              </w:tc>
              <w:tc>
                <w:tcPr/>
                <w:p>
                  <w:pPr>
                    <w:pStyle w:val="Compact"/>
                    <w:jc w:val="left"/>
                    <w:jc w:val="center"/>
                  </w:pPr>
                  <w:r>
                    <w:t xml:space="preserve">ADB (2017) Â§7.3; Dodgson et al. (2009) DCLG MCA Manual</w:t>
                  </w:r>
                </w:p>
              </w:tc>
            </w:tr>
          </w:tbl>
          <w:p>
            <w:pPr>
              <w:pStyle w:val="Heading3"/>
              <w:jc w:val="center"/>
            </w:pPr>
            <w:bookmarkStart w:id="329" w:name="mca-scores-fi"/>
            <w:r>
              <w:t xml:space="preserve">22.1.40 MCA Scores FI</w:t>
            </w:r>
            <w:bookmarkEnd w:id="329"/>
          </w:p>
          <w:tbl>
            <w:tblPr>
              <w:tblStyle w:val="Table"/>
              <w:tblW w:type="pct" w:w="5000"/>
              <w:tblLayout w:type="fixed"/>
              <w:tblLook w:firstRow="1" w:lastRow="0" w:firstColumn="0" w:lastColumn="0" w:noHBand="0" w:noVBand="0" w:val="0020"/>
            </w:tblPr>
            <w:tblGrid>
              <w:gridCol w:w="1606"/>
              <w:gridCol w:w="516"/>
              <w:gridCol w:w="401"/>
              <w:gridCol w:w="459"/>
              <w:gridCol w:w="459"/>
              <w:gridCol w:w="4476"/>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right"/>
                    <w:jc w:val="center"/>
                  </w:pPr>
                  <w:r>
                    <w:t xml:space="preserve">Low</w:t>
                  </w:r>
                </w:p>
              </w:tc>
              <w:tc>
                <w:tcPr/>
                <w:p>
                  <w:pPr>
                    <w:pStyle w:val="Compact"/>
                    <w:jc w:val="righ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Implementation Feasibility</w:t>
                  </w:r>
                </w:p>
              </w:tc>
              <w:tc>
                <w:tcPr/>
                <w:p>
                  <w:pPr>
                    <w:pStyle w:val="Compact"/>
                    <w:jc w:val="right"/>
                    <w:jc w:val="center"/>
                  </w:pPr>
                  <w:r>
                    <w:t xml:space="preserve">0.3</w:t>
                  </w:r>
                </w:p>
              </w:tc>
              <w:tc>
                <w:tcPr/>
                <w:p>
                  <w:pPr>
                    <w:pStyle w:val="Compact"/>
                    <w:jc w:val="right"/>
                    <w:jc w:val="center"/>
                  </w:pPr>
                  <w:r>
                    <w:t xml:space="preserve">0.15</w:t>
                  </w:r>
                </w:p>
              </w:tc>
              <w:tc>
                <w:tcPr/>
                <w:p>
                  <w:pPr>
                    <w:pStyle w:val="Compact"/>
                    <w:jc w:val="right"/>
                    <w:jc w:val="center"/>
                  </w:pPr>
                  <w:r>
                    <w:t xml:space="preserve">0.45</w:t>
                  </w:r>
                </w:p>
              </w:tc>
              <w:tc>
                <w:tcPr/>
                <w:p>
                  <w:pPr>
                    <w:pStyle w:val="Compact"/>
                    <w:jc w:val="left"/>
                    <w:jc w:val="center"/>
                  </w:pPr>
                  <w:r>
                    <w:t xml:space="preserve">score</w:t>
                  </w:r>
                </w:p>
              </w:tc>
              <w:tc>
                <w:tcPr/>
                <w:p>
                  <w:pPr>
                    <w:pStyle w:val="Compact"/>
                    <w:jc w:val="left"/>
                    <w:jc w:val="center"/>
                  </w:pPr>
                  <w:r>
                    <w:t xml:space="preserve">Expert assessment â€” cross-border cable; PPA negotiation; geopolitical risk</w:t>
                  </w:r>
                </w:p>
              </w:tc>
            </w:tr>
            <w:tr>
              <w:tc>
                <w:tcPr/>
                <w:p>
                  <w:pPr>
                    <w:pStyle w:val="Compact"/>
                    <w:jc w:val="left"/>
                    <w:jc w:val="center"/>
                  </w:pPr>
                  <w:r>
                    <w:t xml:space="preserve">Social Equity</w:t>
                  </w:r>
                </w:p>
              </w:tc>
              <w:tc>
                <w:tcPr/>
                <w:p>
                  <w:pPr>
                    <w:pStyle w:val="Compact"/>
                    <w:jc w:val="right"/>
                    <w:jc w:val="center"/>
                  </w:pPr>
                  <w:r>
                    <w:t xml:space="preserve">0.4</w:t>
                  </w:r>
                </w:p>
              </w:tc>
              <w:tc>
                <w:tcPr/>
                <w:p>
                  <w:pPr>
                    <w:pStyle w:val="Compact"/>
                    <w:jc w:val="right"/>
                    <w:jc w:val="center"/>
                  </w:pPr>
                  <w:r>
                    <w:t xml:space="preserve">0.2</w:t>
                  </w:r>
                </w:p>
              </w:tc>
              <w:tc>
                <w:tcPr/>
                <w:p>
                  <w:pPr>
                    <w:pStyle w:val="Compact"/>
                    <w:jc w:val="right"/>
                    <w:jc w:val="center"/>
                  </w:pPr>
                  <w:r>
                    <w:t xml:space="preserve">0.6</w:t>
                  </w:r>
                </w:p>
              </w:tc>
              <w:tc>
                <w:tcPr/>
                <w:p>
                  <w:pPr>
                    <w:pStyle w:val="Compact"/>
                    <w:jc w:val="left"/>
                    <w:jc w:val="center"/>
                  </w:pPr>
                  <w:r>
                    <w:t xml:space="preserve">score</w:t>
                  </w:r>
                </w:p>
              </w:tc>
              <w:tc>
                <w:tcPr/>
                <w:p>
                  <w:pPr>
                    <w:pStyle w:val="Compact"/>
                    <w:jc w:val="left"/>
                    <w:jc w:val="center"/>
                  </w:pPr>
                  <w:r>
                    <w:t xml:space="preserve">Expert assessment â€” benefits concentrated near Male cable landing</w:t>
                  </w:r>
                </w:p>
              </w:tc>
            </w:tr>
            <w:tr>
              <w:tc>
                <w:tcPr/>
                <w:p>
                  <w:pPr>
                    <w:pStyle w:val="Compact"/>
                    <w:jc w:val="left"/>
                    <w:jc w:val="center"/>
                  </w:pPr>
                  <w:r>
                    <w:t xml:space="preserve">Climate Resilience</w:t>
                  </w:r>
                </w:p>
              </w:tc>
              <w:tc>
                <w:tcPr/>
                <w:p>
                  <w:pPr>
                    <w:pStyle w:val="Compact"/>
                    <w:jc w:val="right"/>
                    <w:jc w:val="center"/>
                  </w:pPr>
                  <w:r>
                    <w:t xml:space="preserve">0.5</w:t>
                  </w:r>
                </w:p>
              </w:tc>
              <w:tc>
                <w:tcPr/>
                <w:p>
                  <w:pPr>
                    <w:pStyle w:val="Compact"/>
                    <w:jc w:val="right"/>
                    <w:jc w:val="center"/>
                  </w:pPr>
                  <w:r>
                    <w:t xml:space="preserve">0.3</w:t>
                  </w:r>
                </w:p>
              </w:tc>
              <w:tc>
                <w:tcPr/>
                <w:p>
                  <w:pPr>
                    <w:pStyle w:val="Compact"/>
                    <w:jc w:val="right"/>
                    <w:jc w:val="center"/>
                  </w:pPr>
                  <w:r>
                    <w:t xml:space="preserve">0.7</w:t>
                  </w:r>
                </w:p>
              </w:tc>
              <w:tc>
                <w:tcPr/>
                <w:p>
                  <w:pPr>
                    <w:pStyle w:val="Compact"/>
                    <w:jc w:val="left"/>
                    <w:jc w:val="center"/>
                  </w:pPr>
                  <w:r>
                    <w:t xml:space="preserve">score</w:t>
                  </w:r>
                </w:p>
              </w:tc>
              <w:tc>
                <w:tcPr/>
                <w:p>
                  <w:pPr>
                    <w:pStyle w:val="Compact"/>
                    <w:jc w:val="left"/>
                    <w:jc w:val="center"/>
                  </w:pPr>
                  <w:r>
                    <w:t xml:space="preserve">Expert assessment â€” single submarine cable = single point of failure</w:t>
                  </w:r>
                </w:p>
              </w:tc>
            </w:tr>
          </w:tbl>
          <w:p>
            <w:pPr>
              <w:pStyle w:val="Heading3"/>
              <w:jc w:val="center"/>
            </w:pPr>
            <w:bookmarkStart w:id="330" w:name="mca-scores-ng"/>
            <w:r>
              <w:t xml:space="preserve">22.1.41 MCA Scores NG</w:t>
            </w:r>
            <w:bookmarkEnd w:id="330"/>
          </w:p>
          <w:tbl>
            <w:tblPr>
              <w:tblStyle w:val="Table"/>
              <w:tblW w:type="pct" w:w="5000"/>
              <w:tblLayout w:type="fixed"/>
              <w:tblLook w:firstRow="1" w:lastRow="0" w:firstColumn="0" w:lastColumn="0" w:noHBand="0" w:noVBand="0" w:val="0020"/>
            </w:tblPr>
            <w:tblGrid>
              <w:gridCol w:w="1572"/>
              <w:gridCol w:w="505"/>
              <w:gridCol w:w="393"/>
              <w:gridCol w:w="449"/>
              <w:gridCol w:w="449"/>
              <w:gridCol w:w="4549"/>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right"/>
                    <w:jc w:val="center"/>
                  </w:pPr>
                  <w:r>
                    <w:t xml:space="preserve">Low</w:t>
                  </w:r>
                </w:p>
              </w:tc>
              <w:tc>
                <w:tcPr/>
                <w:p>
                  <w:pPr>
                    <w:pStyle w:val="Compact"/>
                    <w:jc w:val="righ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Implementation Feasibility</w:t>
                  </w:r>
                </w:p>
              </w:tc>
              <w:tc>
                <w:tcPr/>
                <w:p>
                  <w:pPr>
                    <w:pStyle w:val="Compact"/>
                    <w:jc w:val="right"/>
                    <w:jc w:val="center"/>
                  </w:pPr>
                  <w:r>
                    <w:t xml:space="preserve">0.5</w:t>
                  </w:r>
                </w:p>
              </w:tc>
              <w:tc>
                <w:tcPr/>
                <w:p>
                  <w:pPr>
                    <w:pStyle w:val="Compact"/>
                    <w:jc w:val="right"/>
                    <w:jc w:val="center"/>
                  </w:pPr>
                  <w:r>
                    <w:t xml:space="preserve">0.3</w:t>
                  </w:r>
                </w:p>
              </w:tc>
              <w:tc>
                <w:tcPr/>
                <w:p>
                  <w:pPr>
                    <w:pStyle w:val="Compact"/>
                    <w:jc w:val="right"/>
                    <w:jc w:val="center"/>
                  </w:pPr>
                  <w:r>
                    <w:t xml:space="preserve">0.7</w:t>
                  </w:r>
                </w:p>
              </w:tc>
              <w:tc>
                <w:tcPr/>
                <w:p>
                  <w:pPr>
                    <w:pStyle w:val="Compact"/>
                    <w:jc w:val="left"/>
                    <w:jc w:val="center"/>
                  </w:pPr>
                  <w:r>
                    <w:t xml:space="preserve">score</w:t>
                  </w:r>
                </w:p>
              </w:tc>
              <w:tc>
                <w:tcPr/>
                <w:p>
                  <w:pPr>
                    <w:pStyle w:val="Compact"/>
                    <w:jc w:val="left"/>
                    <w:jc w:val="center"/>
                  </w:pPr>
                  <w:r>
                    <w:t xml:space="preserve">Expert assessment â€” domestic grid; distributed solar; moderate complexity</w:t>
                  </w:r>
                </w:p>
              </w:tc>
            </w:tr>
            <w:tr>
              <w:tc>
                <w:tcPr/>
                <w:p>
                  <w:pPr>
                    <w:pStyle w:val="Compact"/>
                    <w:jc w:val="left"/>
                    <w:jc w:val="center"/>
                  </w:pPr>
                  <w:r>
                    <w:t xml:space="preserve">Social Equity</w:t>
                  </w:r>
                </w:p>
              </w:tc>
              <w:tc>
                <w:tcPr/>
                <w:p>
                  <w:pPr>
                    <w:pStyle w:val="Compact"/>
                    <w:jc w:val="right"/>
                    <w:jc w:val="center"/>
                  </w:pPr>
                  <w:r>
                    <w:t xml:space="preserve">0.7</w:t>
                  </w:r>
                </w:p>
              </w:tc>
              <w:tc>
                <w:tcPr/>
                <w:p>
                  <w:pPr>
                    <w:pStyle w:val="Compact"/>
                    <w:jc w:val="right"/>
                    <w:jc w:val="center"/>
                  </w:pPr>
                  <w:r>
                    <w:t xml:space="preserve">0.5</w:t>
                  </w:r>
                </w:p>
              </w:tc>
              <w:tc>
                <w:tcPr/>
                <w:p>
                  <w:pPr>
                    <w:pStyle w:val="Compact"/>
                    <w:jc w:val="right"/>
                    <w:jc w:val="center"/>
                  </w:pPr>
                  <w:r>
                    <w:t xml:space="preserve">0.85</w:t>
                  </w:r>
                </w:p>
              </w:tc>
              <w:tc>
                <w:tcPr/>
                <w:p>
                  <w:pPr>
                    <w:pStyle w:val="Compact"/>
                    <w:jc w:val="left"/>
                    <w:jc w:val="center"/>
                  </w:pPr>
                  <w:r>
                    <w:t xml:space="preserve">score</w:t>
                  </w:r>
                </w:p>
              </w:tc>
              <w:tc>
                <w:tcPr/>
                <w:p>
                  <w:pPr>
                    <w:pStyle w:val="Compact"/>
                    <w:jc w:val="left"/>
                    <w:jc w:val="center"/>
                  </w:pPr>
                  <w:r>
                    <w:t xml:space="preserve">Expert assessment â€” grid reaches many islands via submarine cables</w:t>
                  </w:r>
                </w:p>
              </w:tc>
            </w:tr>
            <w:tr>
              <w:tc>
                <w:tcPr/>
                <w:p>
                  <w:pPr>
                    <w:pStyle w:val="Compact"/>
                    <w:jc w:val="left"/>
                    <w:jc w:val="center"/>
                  </w:pPr>
                  <w:r>
                    <w:t xml:space="preserve">Climate Resilience</w:t>
                  </w:r>
                </w:p>
              </w:tc>
              <w:tc>
                <w:tcPr/>
                <w:p>
                  <w:pPr>
                    <w:pStyle w:val="Compact"/>
                    <w:jc w:val="right"/>
                    <w:jc w:val="center"/>
                  </w:pPr>
                  <w:r>
                    <w:t xml:space="preserve">0.7</w:t>
                  </w:r>
                </w:p>
              </w:tc>
              <w:tc>
                <w:tcPr/>
                <w:p>
                  <w:pPr>
                    <w:pStyle w:val="Compact"/>
                    <w:jc w:val="right"/>
                    <w:jc w:val="center"/>
                  </w:pPr>
                  <w:r>
                    <w:t xml:space="preserve">0.5</w:t>
                  </w:r>
                </w:p>
              </w:tc>
              <w:tc>
                <w:tcPr/>
                <w:p>
                  <w:pPr>
                    <w:pStyle w:val="Compact"/>
                    <w:jc w:val="right"/>
                    <w:jc w:val="center"/>
                  </w:pPr>
                  <w:r>
                    <w:t xml:space="preserve">0.85</w:t>
                  </w:r>
                </w:p>
              </w:tc>
              <w:tc>
                <w:tcPr/>
                <w:p>
                  <w:pPr>
                    <w:pStyle w:val="Compact"/>
                    <w:jc w:val="left"/>
                    <w:jc w:val="center"/>
                  </w:pPr>
                  <w:r>
                    <w:t xml:space="preserve">score</w:t>
                  </w:r>
                </w:p>
              </w:tc>
              <w:tc>
                <w:tcPr/>
                <w:p>
                  <w:pPr>
                    <w:pStyle w:val="Compact"/>
                    <w:jc w:val="left"/>
                    <w:jc w:val="center"/>
                  </w:pPr>
                  <w:r>
                    <w:t xml:space="preserve">Expert assessment â€” domestic solar + grid redundancy; no single failure point</w:t>
                  </w:r>
                </w:p>
              </w:tc>
            </w:tr>
          </w:tbl>
          <w:p>
            <w:pPr>
              <w:pStyle w:val="Heading3"/>
              <w:jc w:val="center"/>
            </w:pPr>
            <w:bookmarkStart w:id="331" w:name="mca-scores-ig"/>
            <w:r>
              <w:t xml:space="preserve">22.1.42 MCA Scores IG</w:t>
            </w:r>
            <w:bookmarkEnd w:id="331"/>
          </w:p>
          <w:tbl>
            <w:tblPr>
              <w:tblStyle w:val="Table"/>
              <w:tblW w:type="pct" w:w="5000"/>
              <w:tblLayout w:type="fixed"/>
              <w:tblLook w:firstRow="1" w:lastRow="0" w:firstColumn="0" w:lastColumn="0" w:noHBand="0" w:noVBand="0" w:val="0020"/>
            </w:tblPr>
            <w:tblGrid>
              <w:gridCol w:w="1595"/>
              <w:gridCol w:w="512"/>
              <w:gridCol w:w="398"/>
              <w:gridCol w:w="455"/>
              <w:gridCol w:w="455"/>
              <w:gridCol w:w="4501"/>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right"/>
                    <w:jc w:val="center"/>
                  </w:pPr>
                  <w:r>
                    <w:t xml:space="preserve">Low</w:t>
                  </w:r>
                </w:p>
              </w:tc>
              <w:tc>
                <w:tcPr/>
                <w:p>
                  <w:pPr>
                    <w:pStyle w:val="Compact"/>
                    <w:jc w:val="righ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Implementation Feasibility</w:t>
                  </w:r>
                </w:p>
              </w:tc>
              <w:tc>
                <w:tcPr/>
                <w:p>
                  <w:pPr>
                    <w:pStyle w:val="Compact"/>
                    <w:jc w:val="right"/>
                    <w:jc w:val="center"/>
                  </w:pPr>
                  <w:r>
                    <w:t xml:space="preserve">0.8</w:t>
                  </w:r>
                </w:p>
              </w:tc>
              <w:tc>
                <w:tcPr/>
                <w:p>
                  <w:pPr>
                    <w:pStyle w:val="Compact"/>
                    <w:jc w:val="right"/>
                    <w:jc w:val="center"/>
                  </w:pPr>
                  <w:r>
                    <w:t xml:space="preserve">0.6</w:t>
                  </w:r>
                </w:p>
              </w:tc>
              <w:tc>
                <w:tcPr/>
                <w:p>
                  <w:pPr>
                    <w:pStyle w:val="Compact"/>
                    <w:jc w:val="right"/>
                    <w:jc w:val="center"/>
                  </w:pPr>
                  <w:r>
                    <w:t xml:space="preserve">0.95</w:t>
                  </w:r>
                </w:p>
              </w:tc>
              <w:tc>
                <w:tcPr/>
                <w:p>
                  <w:pPr>
                    <w:pStyle w:val="Compact"/>
                    <w:jc w:val="left"/>
                    <w:jc w:val="center"/>
                  </w:pPr>
                  <w:r>
                    <w:t xml:space="preserve">score</w:t>
                  </w:r>
                </w:p>
              </w:tc>
              <w:tc>
                <w:tcPr/>
                <w:p>
                  <w:pPr>
                    <w:pStyle w:val="Compact"/>
                    <w:jc w:val="left"/>
                    <w:jc w:val="center"/>
                  </w:pPr>
                  <w:r>
                    <w:t xml:space="preserve">Expert assessment â€” modular island-by-island deployment; no grid dependency</w:t>
                  </w:r>
                </w:p>
              </w:tc>
            </w:tr>
            <w:tr>
              <w:tc>
                <w:tcPr/>
                <w:p>
                  <w:pPr>
                    <w:pStyle w:val="Compact"/>
                    <w:jc w:val="left"/>
                    <w:jc w:val="center"/>
                  </w:pPr>
                  <w:r>
                    <w:t xml:space="preserve">Social Equity</w:t>
                  </w:r>
                </w:p>
              </w:tc>
              <w:tc>
                <w:tcPr/>
                <w:p>
                  <w:pPr>
                    <w:pStyle w:val="Compact"/>
                    <w:jc w:val="right"/>
                    <w:jc w:val="center"/>
                  </w:pPr>
                  <w:r>
                    <w:t xml:space="preserve">0.9</w:t>
                  </w:r>
                </w:p>
              </w:tc>
              <w:tc>
                <w:tcPr/>
                <w:p>
                  <w:pPr>
                    <w:pStyle w:val="Compact"/>
                    <w:jc w:val="right"/>
                    <w:jc w:val="center"/>
                  </w:pPr>
                  <w:r>
                    <w:t xml:space="preserve">0.7</w:t>
                  </w:r>
                </w:p>
              </w:tc>
              <w:tc>
                <w:tcPr/>
                <w:p>
                  <w:pPr>
                    <w:pStyle w:val="Compact"/>
                    <w:jc w:val="right"/>
                    <w:jc w:val="center"/>
                  </w:pPr>
                  <w:r>
                    <w:t xml:space="preserve">1</w:t>
                  </w:r>
                </w:p>
              </w:tc>
              <w:tc>
                <w:tcPr/>
                <w:p>
                  <w:pPr>
                    <w:pStyle w:val="Compact"/>
                    <w:jc w:val="left"/>
                    <w:jc w:val="center"/>
                  </w:pPr>
                  <w:r>
                    <w:t xml:space="preserve">score</w:t>
                  </w:r>
                </w:p>
              </w:tc>
              <w:tc>
                <w:tcPr/>
                <w:p>
                  <w:pPr>
                    <w:pStyle w:val="Compact"/>
                    <w:jc w:val="left"/>
                    <w:jc w:val="center"/>
                  </w:pPr>
                  <w:r>
                    <w:t xml:space="preserve">Expert assessment â€” every island gets own RE system; most equitable</w:t>
                  </w:r>
                </w:p>
              </w:tc>
            </w:tr>
            <w:tr>
              <w:tc>
                <w:tcPr/>
                <w:p>
                  <w:pPr>
                    <w:pStyle w:val="Compact"/>
                    <w:jc w:val="left"/>
                    <w:jc w:val="center"/>
                  </w:pPr>
                  <w:r>
                    <w:t xml:space="preserve">Climate Resilience</w:t>
                  </w:r>
                </w:p>
              </w:tc>
              <w:tc>
                <w:tcPr/>
                <w:p>
                  <w:pPr>
                    <w:pStyle w:val="Compact"/>
                    <w:jc w:val="right"/>
                    <w:jc w:val="center"/>
                  </w:pPr>
                  <w:r>
                    <w:t xml:space="preserve">0.8</w:t>
                  </w:r>
                </w:p>
              </w:tc>
              <w:tc>
                <w:tcPr/>
                <w:p>
                  <w:pPr>
                    <w:pStyle w:val="Compact"/>
                    <w:jc w:val="right"/>
                    <w:jc w:val="center"/>
                  </w:pPr>
                  <w:r>
                    <w:t xml:space="preserve">0.6</w:t>
                  </w:r>
                </w:p>
              </w:tc>
              <w:tc>
                <w:tcPr/>
                <w:p>
                  <w:pPr>
                    <w:pStyle w:val="Compact"/>
                    <w:jc w:val="right"/>
                    <w:jc w:val="center"/>
                  </w:pPr>
                  <w:r>
                    <w:t xml:space="preserve">0.95</w:t>
                  </w:r>
                </w:p>
              </w:tc>
              <w:tc>
                <w:tcPr/>
                <w:p>
                  <w:pPr>
                    <w:pStyle w:val="Compact"/>
                    <w:jc w:val="left"/>
                    <w:jc w:val="center"/>
                  </w:pPr>
                  <w:r>
                    <w:t xml:space="preserve">score</w:t>
                  </w:r>
                </w:p>
              </w:tc>
              <w:tc>
                <w:tcPr/>
                <w:p>
                  <w:pPr>
                    <w:pStyle w:val="Compact"/>
                    <w:jc w:val="left"/>
                    <w:jc w:val="center"/>
                  </w:pPr>
                  <w:r>
                    <w:t xml:space="preserve">Expert assessment â€” fully distributed; no cable or grid dependency</w:t>
                  </w:r>
                </w:p>
              </w:tc>
            </w:tr>
          </w:tbl>
          <w:p>
            <w:pPr>
              <w:pStyle w:val="Heading3"/>
              <w:jc w:val="center"/>
            </w:pPr>
            <w:bookmarkStart w:id="332" w:name="transport-fleet"/>
            <w:r>
              <w:t xml:space="preserve">22.1.43 Transport Fleet</w:t>
            </w:r>
            <w:bookmarkEnd w:id="332"/>
          </w:p>
          <w:tbl>
            <w:tblPr>
              <w:tblStyle w:val="Table"/>
              <w:tblW w:type="pct" w:w="5000"/>
              <w:tblLayout w:type="fixed"/>
              <w:tblLook w:firstRow="1" w:lastRow="0" w:firstColumn="0" w:lastColumn="0" w:noHBand="0" w:noVBand="0" w:val="0020"/>
            </w:tblPr>
            <w:tblGrid>
              <w:gridCol w:w="1279"/>
              <w:gridCol w:w="670"/>
              <w:gridCol w:w="670"/>
              <w:gridCol w:w="670"/>
              <w:gridCol w:w="609"/>
              <w:gridCol w:w="4020"/>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right"/>
                    <w:jc w:val="center"/>
                  </w:pPr>
                  <w:r>
                    <w:t xml:space="preserve">Low</w:t>
                  </w:r>
                </w:p>
              </w:tc>
              <w:tc>
                <w:tcPr/>
                <w:p>
                  <w:pPr>
                    <w:pStyle w:val="Compact"/>
                    <w:jc w:val="righ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Total Vehicles 2026</w:t>
                  </w:r>
                </w:p>
              </w:tc>
              <w:tc>
                <w:tcPr/>
                <w:p>
                  <w:pPr>
                    <w:pStyle w:val="Compact"/>
                    <w:jc w:val="right"/>
                    <w:jc w:val="center"/>
                  </w:pPr>
                  <w:r>
                    <w:t xml:space="preserve">131000</w:t>
                  </w:r>
                </w:p>
              </w:tc>
              <w:tc>
                <w:tcPr/>
                <w:p>
                  <w:pPr>
                    <w:pStyle w:val="Compact"/>
                    <w:jc w:val="right"/>
                    <w:jc w:val="center"/>
                  </w:pPr>
                  <w:r>
                    <w:t xml:space="preserve">110000</w:t>
                  </w:r>
                </w:p>
              </w:tc>
              <w:tc>
                <w:tcPr/>
                <w:p>
                  <w:pPr>
                    <w:pStyle w:val="Compact"/>
                    <w:jc w:val="right"/>
                    <w:jc w:val="center"/>
                  </w:pPr>
                  <w:r>
                    <w:t xml:space="preserve">150000</w:t>
                  </w:r>
                </w:p>
              </w:tc>
              <w:tc>
                <w:tcPr/>
                <w:p>
                  <w:pPr>
                    <w:pStyle w:val="Compact"/>
                    <w:jc w:val="left"/>
                    <w:jc w:val="center"/>
                  </w:pPr>
                  <w:r>
                    <w:t xml:space="preserve">vehicles</w:t>
                  </w:r>
                </w:p>
              </w:tc>
              <w:tc>
                <w:tcPr/>
                <w:p>
                  <w:pPr>
                    <w:pStyle w:val="Compact"/>
                    <w:jc w:val="left"/>
                    <w:jc w:val="center"/>
                  </w:pPr>
                  <w:r>
                    <w:t xml:space="preserve">MalÃ© City Council / World Bank (2022); gathunkaaru.com (2024)</w:t>
                  </w:r>
                </w:p>
              </w:tc>
            </w:tr>
            <w:tr>
              <w:tc>
                <w:tcPr/>
                <w:p>
                  <w:pPr>
                    <w:pStyle w:val="Compact"/>
                    <w:jc w:val="left"/>
                    <w:jc w:val="center"/>
                  </w:pPr>
                  <w:r>
                    <w:t xml:space="preserve">Motorcycle Share</w:t>
                  </w:r>
                </w:p>
              </w:tc>
              <w:tc>
                <w:tcPr/>
                <w:p>
                  <w:pPr>
                    <w:pStyle w:val="Compact"/>
                    <w:jc w:val="right"/>
                    <w:jc w:val="center"/>
                  </w:pPr>
                  <w:r>
                    <w:t xml:space="preserve">0.92</w:t>
                  </w:r>
                </w:p>
              </w:tc>
              <w:tc>
                <w:tcPr/>
                <w:p>
                  <w:pPr>
                    <w:pStyle w:val="Compact"/>
                    <w:jc w:val="right"/>
                    <w:jc w:val="center"/>
                  </w:pPr>
                  <w:r>
                    <w:t xml:space="preserve">0.88</w:t>
                  </w:r>
                </w:p>
              </w:tc>
              <w:tc>
                <w:tcPr/>
                <w:p>
                  <w:pPr>
                    <w:pStyle w:val="Compact"/>
                    <w:jc w:val="right"/>
                    <w:jc w:val="center"/>
                  </w:pPr>
                  <w:r>
                    <w:t xml:space="preserve">0.95</w:t>
                  </w:r>
                </w:p>
              </w:tc>
              <w:tc>
                <w:tcPr/>
                <w:p>
                  <w:pPr>
                    <w:pStyle w:val="Compact"/>
                    <w:jc w:val="left"/>
                    <w:jc w:val="center"/>
                  </w:pPr>
                  <w:r>
                    <w:t xml:space="preserve">ratio</w:t>
                  </w:r>
                </w:p>
              </w:tc>
              <w:tc>
                <w:tcPr/>
                <w:p>
                  <w:pPr>
                    <w:pStyle w:val="Compact"/>
                    <w:jc w:val="left"/>
                    <w:jc w:val="center"/>
                  </w:pPr>
                  <w:r>
                    <w:t xml:space="preserve">edition.mv / gathunkaaru.com (2024) â€” 92% motorcycles</w:t>
                  </w:r>
                </w:p>
              </w:tc>
            </w:tr>
            <w:tr>
              <w:tc>
                <w:tcPr/>
                <w:p>
                  <w:pPr>
                    <w:pStyle w:val="Compact"/>
                    <w:jc w:val="left"/>
                    <w:jc w:val="center"/>
                  </w:pPr>
                  <w:r>
                    <w:t xml:space="preserve">EV Share 2026</w:t>
                  </w:r>
                </w:p>
              </w:tc>
              <w:tc>
                <w:tcPr/>
                <w:p>
                  <w:pPr>
                    <w:pStyle w:val="Compact"/>
                    <w:jc w:val="right"/>
                    <w:jc w:val="center"/>
                  </w:pPr>
                  <w:r>
                    <w:t xml:space="preserve">0.04</w:t>
                  </w:r>
                </w:p>
              </w:tc>
              <w:tc>
                <w:tcPr/>
                <w:p>
                  <w:pPr>
                    <w:pStyle w:val="Compact"/>
                    <w:jc w:val="right"/>
                    <w:jc w:val="center"/>
                  </w:pPr>
                  <w:r>
                    <w:t xml:space="preserve">0.02</w:t>
                  </w:r>
                </w:p>
              </w:tc>
              <w:tc>
                <w:tcPr/>
                <w:p>
                  <w:pPr>
                    <w:pStyle w:val="Compact"/>
                    <w:jc w:val="right"/>
                    <w:jc w:val="center"/>
                  </w:pPr>
                  <w:r>
                    <w:t xml:space="preserve">0.06</w:t>
                  </w:r>
                </w:p>
              </w:tc>
              <w:tc>
                <w:tcPr/>
                <w:p>
                  <w:pPr>
                    <w:pStyle w:val="Compact"/>
                    <w:jc w:val="left"/>
                    <w:jc w:val="center"/>
                  </w:pPr>
                  <w:r>
                    <w:t xml:space="preserve">ratio</w:t>
                  </w:r>
                </w:p>
              </w:tc>
              <w:tc>
                <w:tcPr/>
                <w:p>
                  <w:pPr>
                    <w:pStyle w:val="Compact"/>
                    <w:jc w:val="left"/>
                    <w:jc w:val="center"/>
                  </w:pPr>
                  <w:r>
                    <w:t xml:space="preserve">gathunkaaru.com (2024) â€” ~5240 EVs mostly e-bicycles/tricycles</w:t>
                  </w:r>
                </w:p>
              </w:tc>
            </w:tr>
            <w:tr>
              <w:tc>
                <w:tcPr/>
                <w:p>
                  <w:pPr>
                    <w:pStyle w:val="Compact"/>
                    <w:jc w:val="left"/>
                    <w:jc w:val="center"/>
                  </w:pPr>
                  <w:r>
                    <w:t xml:space="preserve">Fleet Growth Rate</w:t>
                  </w:r>
                </w:p>
              </w:tc>
              <w:tc>
                <w:tcPr/>
                <w:p>
                  <w:pPr>
                    <w:pStyle w:val="Compact"/>
                    <w:jc w:val="right"/>
                    <w:jc w:val="center"/>
                  </w:pPr>
                  <w:r>
                    <w:t xml:space="preserve">0.03</w:t>
                  </w:r>
                </w:p>
              </w:tc>
              <w:tc>
                <w:tcPr/>
                <w:p>
                  <w:pPr>
                    <w:pStyle w:val="Compact"/>
                    <w:jc w:val="right"/>
                    <w:jc w:val="center"/>
                  </w:pPr>
                  <w:r>
                    <w:t xml:space="preserve">0.02</w:t>
                  </w:r>
                </w:p>
              </w:tc>
              <w:tc>
                <w:tcPr/>
                <w:p>
                  <w:pPr>
                    <w:pStyle w:val="Compact"/>
                    <w:jc w:val="right"/>
                    <w:jc w:val="center"/>
                  </w:pPr>
                  <w:r>
                    <w:t xml:space="preserve">0.05</w:t>
                  </w:r>
                </w:p>
              </w:tc>
              <w:tc>
                <w:tcPr/>
                <w:p>
                  <w:pPr>
                    <w:pStyle w:val="Compact"/>
                    <w:jc w:val="left"/>
                    <w:jc w:val="center"/>
                  </w:pPr>
                  <w:r>
                    <w:t xml:space="preserve">%/yr</w:t>
                  </w:r>
                </w:p>
              </w:tc>
              <w:tc>
                <w:tcPr/>
                <w:p>
                  <w:pPr>
                    <w:pStyle w:val="Compact"/>
                    <w:jc w:val="left"/>
                    <w:jc w:val="center"/>
                  </w:pPr>
                  <w:r>
                    <w:t xml:space="preserve">World Bank WDI (2022) â€” Maldives vehicle registration growth</w:t>
                  </w:r>
                </w:p>
              </w:tc>
            </w:tr>
          </w:tbl>
          <w:p>
            <w:pPr>
              <w:pStyle w:val="Heading3"/>
              <w:jc w:val="center"/>
            </w:pPr>
            <w:bookmarkStart w:id="333" w:name="transport-ev"/>
            <w:r>
              <w:t xml:space="preserve">22.1.44 Transport EV</w:t>
            </w:r>
            <w:bookmarkEnd w:id="333"/>
          </w:p>
          <w:tbl>
            <w:tblPr>
              <w:tblStyle w:val="Table"/>
              <w:tblW w:type="pct" w:w="5000"/>
              <w:tblLayout w:type="fixed"/>
              <w:tblLook w:firstRow="1" w:lastRow="0" w:firstColumn="0" w:lastColumn="0" w:noHBand="0" w:noVBand="0" w:val="0020"/>
            </w:tblPr>
            <w:tblGrid>
              <w:gridCol w:w="1401"/>
              <w:gridCol w:w="548"/>
              <w:gridCol w:w="548"/>
              <w:gridCol w:w="548"/>
              <w:gridCol w:w="487"/>
              <w:gridCol w:w="4386"/>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right"/>
                    <w:jc w:val="center"/>
                  </w:pPr>
                  <w:r>
                    <w:t xml:space="preserve">Low</w:t>
                  </w:r>
                </w:p>
              </w:tc>
              <w:tc>
                <w:tcPr/>
                <w:p>
                  <w:pPr>
                    <w:pStyle w:val="Compact"/>
                    <w:jc w:val="righ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EV Target Low 2056</w:t>
                  </w:r>
                </w:p>
              </w:tc>
              <w:tc>
                <w:tcPr/>
                <w:p>
                  <w:pPr>
                    <w:pStyle w:val="Compact"/>
                    <w:jc w:val="right"/>
                    <w:jc w:val="center"/>
                  </w:pPr>
                  <w:r>
                    <w:t xml:space="preserve">0.3</w:t>
                  </w:r>
                </w:p>
              </w:tc>
              <w:tc>
                <w:tcPr/>
                <w:p>
                  <w:pPr>
                    <w:pStyle w:val="Compact"/>
                    <w:jc w:val="right"/>
                    <w:jc w:val="center"/>
                  </w:pPr>
                  <w:r>
                    <w:t xml:space="preserve">0.15</w:t>
                  </w:r>
                </w:p>
              </w:tc>
              <w:tc>
                <w:tcPr/>
                <w:p>
                  <w:pPr>
                    <w:pStyle w:val="Compact"/>
                    <w:jc w:val="right"/>
                    <w:jc w:val="center"/>
                  </w:pPr>
                  <w:r>
                    <w:t xml:space="preserve">0.4</w:t>
                  </w:r>
                </w:p>
              </w:tc>
              <w:tc>
                <w:tcPr/>
                <w:p>
                  <w:pPr>
                    <w:pStyle w:val="Compact"/>
                    <w:jc w:val="left"/>
                    <w:jc w:val="center"/>
                  </w:pPr>
                  <w:r>
                    <w:t xml:space="preserve">ratio</w:t>
                  </w:r>
                </w:p>
              </w:tc>
              <w:tc>
                <w:tcPr/>
                <w:p>
                  <w:pPr>
                    <w:pStyle w:val="Compact"/>
                    <w:jc w:val="left"/>
                    <w:jc w:val="center"/>
                  </w:pPr>
                  <w:r>
                    <w:t xml:space="preserve">ESMAP TA (2024); conservative SIDS uptake â€” limited charging infra</w:t>
                  </w:r>
                </w:p>
              </w:tc>
            </w:tr>
            <w:tr>
              <w:tc>
                <w:tcPr/>
                <w:p>
                  <w:pPr>
                    <w:pStyle w:val="Compact"/>
                    <w:jc w:val="left"/>
                    <w:jc w:val="center"/>
                  </w:pPr>
                  <w:r>
                    <w:t xml:space="preserve">EV Target Medium 2056</w:t>
                  </w:r>
                </w:p>
              </w:tc>
              <w:tc>
                <w:tcPr/>
                <w:p>
                  <w:pPr>
                    <w:pStyle w:val="Compact"/>
                    <w:jc w:val="right"/>
                    <w:jc w:val="center"/>
                  </w:pPr>
                  <w:r>
                    <w:t xml:space="preserve">0.6</w:t>
                  </w:r>
                </w:p>
              </w:tc>
              <w:tc>
                <w:tcPr/>
                <w:p>
                  <w:pPr>
                    <w:pStyle w:val="Compact"/>
                    <w:jc w:val="right"/>
                    <w:jc w:val="center"/>
                  </w:pPr>
                  <w:r>
                    <w:t xml:space="preserve">0.45</w:t>
                  </w:r>
                </w:p>
              </w:tc>
              <w:tc>
                <w:tcPr/>
                <w:p>
                  <w:pPr>
                    <w:pStyle w:val="Compact"/>
                    <w:jc w:val="right"/>
                    <w:jc w:val="center"/>
                  </w:pPr>
                  <w:r>
                    <w:t xml:space="preserve">0.7</w:t>
                  </w:r>
                </w:p>
              </w:tc>
              <w:tc>
                <w:tcPr/>
                <w:p>
                  <w:pPr>
                    <w:pStyle w:val="Compact"/>
                    <w:jc w:val="left"/>
                    <w:jc w:val="center"/>
                  </w:pPr>
                  <w:r>
                    <w:t xml:space="preserve">ratio</w:t>
                  </w:r>
                </w:p>
              </w:tc>
              <w:tc>
                <w:tcPr/>
                <w:p>
                  <w:pPr>
                    <w:pStyle w:val="Compact"/>
                    <w:jc w:val="left"/>
                    <w:jc w:val="center"/>
                  </w:pPr>
                  <w:r>
                    <w:t xml:space="preserve">NDC 2022 implied pathway; UNDP/MOTCA pilot scaling</w:t>
                  </w:r>
                </w:p>
              </w:tc>
            </w:tr>
            <w:tr>
              <w:tc>
                <w:tcPr/>
                <w:p>
                  <w:pPr>
                    <w:pStyle w:val="Compact"/>
                    <w:jc w:val="left"/>
                    <w:jc w:val="center"/>
                  </w:pPr>
                  <w:r>
                    <w:t xml:space="preserve">EV Target High 2056</w:t>
                  </w:r>
                </w:p>
              </w:tc>
              <w:tc>
                <w:tcPr/>
                <w:p>
                  <w:pPr>
                    <w:pStyle w:val="Compact"/>
                    <w:jc w:val="right"/>
                    <w:jc w:val="center"/>
                  </w:pPr>
                  <w:r>
                    <w:t xml:space="preserve">0.85</w:t>
                  </w:r>
                </w:p>
              </w:tc>
              <w:tc>
                <w:tcPr/>
                <w:p>
                  <w:pPr>
                    <w:pStyle w:val="Compact"/>
                    <w:jc w:val="right"/>
                    <w:jc w:val="center"/>
                  </w:pPr>
                  <w:r>
                    <w:t xml:space="preserve">0.7</w:t>
                  </w:r>
                </w:p>
              </w:tc>
              <w:tc>
                <w:tcPr/>
                <w:p>
                  <w:pPr>
                    <w:pStyle w:val="Compact"/>
                    <w:jc w:val="right"/>
                    <w:jc w:val="center"/>
                  </w:pPr>
                  <w:r>
                    <w:t xml:space="preserve">0.95</w:t>
                  </w:r>
                </w:p>
              </w:tc>
              <w:tc>
                <w:tcPr/>
                <w:p>
                  <w:pPr>
                    <w:pStyle w:val="Compact"/>
                    <w:jc w:val="left"/>
                    <w:jc w:val="center"/>
                  </w:pPr>
                  <w:r>
                    <w:t xml:space="preserve">ratio</w:t>
                  </w:r>
                </w:p>
              </w:tc>
              <w:tc>
                <w:tcPr/>
                <w:p>
                  <w:pPr>
                    <w:pStyle w:val="Compact"/>
                    <w:jc w:val="left"/>
                    <w:jc w:val="center"/>
                  </w:pPr>
                  <w:r>
                    <w:t xml:space="preserve">Aggressive NDC target; full STELCO charging rollout assumed</w:t>
                  </w:r>
                </w:p>
              </w:tc>
            </w:tr>
            <w:tr>
              <w:tc>
                <w:tcPr/>
                <w:p>
                  <w:pPr>
                    <w:pStyle w:val="Compact"/>
                    <w:jc w:val="left"/>
                    <w:jc w:val="center"/>
                  </w:pPr>
                  <w:r>
                    <w:t xml:space="preserve">EV Adoption Midpoint</w:t>
                  </w:r>
                </w:p>
              </w:tc>
              <w:tc>
                <w:tcPr/>
                <w:p>
                  <w:pPr>
                    <w:pStyle w:val="Compact"/>
                    <w:jc w:val="right"/>
                    <w:jc w:val="center"/>
                  </w:pPr>
                  <w:r>
                    <w:t xml:space="preserve">2038</w:t>
                  </w:r>
                </w:p>
              </w:tc>
              <w:tc>
                <w:tcPr/>
                <w:p>
                  <w:pPr>
                    <w:pStyle w:val="Compact"/>
                    <w:jc w:val="right"/>
                    <w:jc w:val="center"/>
                  </w:pPr>
                  <w:r>
                    <w:t xml:space="preserve">2034</w:t>
                  </w:r>
                </w:p>
              </w:tc>
              <w:tc>
                <w:tcPr/>
                <w:p>
                  <w:pPr>
                    <w:pStyle w:val="Compact"/>
                    <w:jc w:val="right"/>
                    <w:jc w:val="center"/>
                  </w:pPr>
                  <w:r>
                    <w:t xml:space="preserve">2042</w:t>
                  </w:r>
                </w:p>
              </w:tc>
              <w:tc>
                <w:tcPr/>
                <w:p>
                  <w:pPr>
                    <w:pStyle w:val="Compact"/>
                    <w:jc w:val="left"/>
                    <w:jc w:val="center"/>
                  </w:pPr>
                  <w:r>
                    <w:t xml:space="preserve">year</w:t>
                  </w:r>
                </w:p>
              </w:tc>
              <w:tc>
                <w:tcPr/>
                <w:p>
                  <w:pPr>
                    <w:pStyle w:val="Compact"/>
                    <w:jc w:val="left"/>
                    <w:jc w:val="center"/>
                  </w:pPr>
                  <w:r>
                    <w:t xml:space="preserve">Logistic midpoint; S-curve inflection â€” ESMAP/UNDP projections</w:t>
                  </w:r>
                </w:p>
              </w:tc>
            </w:tr>
            <w:tr>
              <w:tc>
                <w:tcPr/>
                <w:p>
                  <w:pPr>
                    <w:pStyle w:val="Compact"/>
                    <w:jc w:val="left"/>
                    <w:jc w:val="center"/>
                  </w:pPr>
                  <w:r>
                    <w:t xml:space="preserve">EV Adoption Steepness</w:t>
                  </w:r>
                </w:p>
              </w:tc>
              <w:tc>
                <w:tcPr/>
                <w:p>
                  <w:pPr>
                    <w:pStyle w:val="Compact"/>
                    <w:jc w:val="right"/>
                    <w:jc w:val="center"/>
                  </w:pPr>
                  <w:r>
                    <w:t xml:space="preserve">0.25</w:t>
                  </w:r>
                </w:p>
              </w:tc>
              <w:tc>
                <w:tcPr/>
                <w:p>
                  <w:pPr>
                    <w:pStyle w:val="Compact"/>
                    <w:jc w:val="right"/>
                    <w:jc w:val="center"/>
                  </w:pPr>
                  <w:r>
                    <w:t xml:space="preserve">0.15</w:t>
                  </w:r>
                </w:p>
              </w:tc>
              <w:tc>
                <w:tcPr/>
                <w:p>
                  <w:pPr>
                    <w:pStyle w:val="Compact"/>
                    <w:jc w:val="right"/>
                    <w:jc w:val="center"/>
                  </w:pPr>
                  <w:r>
                    <w:t xml:space="preserve">0.4</w:t>
                  </w:r>
                </w:p>
              </w:tc>
              <w:tc>
                <w:tcPr/>
                <w:p>
                  <w:pPr>
                    <w:pStyle w:val="Compact"/>
                    <w:jc w:val="left"/>
                    <w:jc w:val="center"/>
                  </w:pPr>
                  <w:r>
                    <w:t xml:space="preserve">1/yr</w:t>
                  </w:r>
                </w:p>
              </w:tc>
              <w:tc>
                <w:tcPr/>
                <w:p>
                  <w:pPr>
                    <w:pStyle w:val="Compact"/>
                    <w:jc w:val="left"/>
                    <w:jc w:val="center"/>
                  </w:pPr>
                  <w:r>
                    <w:t xml:space="preserve">Standard logistic steepness for technology diffusion; Griliches (1957)</w:t>
                  </w:r>
                </w:p>
              </w:tc>
            </w:tr>
          </w:tbl>
          <w:p>
            <w:pPr>
              <w:pStyle w:val="Heading3"/>
              <w:jc w:val="center"/>
            </w:pPr>
            <w:bookmarkStart w:id="334" w:name="transport-energy"/>
            <w:r>
              <w:t xml:space="preserve">22.1.45 Transport Energy</w:t>
            </w:r>
            <w:bookmarkEnd w:id="334"/>
          </w:p>
          <w:tbl>
            <w:tblPr>
              <w:tblStyle w:val="Table"/>
              <w:tblW w:type="pct" w:w="5000"/>
              <w:tblLayout w:type="fixed"/>
              <w:tblLook w:firstRow="1" w:lastRow="0" w:firstColumn="0" w:lastColumn="0" w:noHBand="0" w:noVBand="0" w:val="0020"/>
            </w:tblPr>
            <w:tblGrid>
              <w:gridCol w:w="1523"/>
              <w:gridCol w:w="548"/>
              <w:gridCol w:w="487"/>
              <w:gridCol w:w="487"/>
              <w:gridCol w:w="548"/>
              <w:gridCol w:w="4325"/>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right"/>
                    <w:jc w:val="center"/>
                  </w:pPr>
                  <w:r>
                    <w:t xml:space="preserve">Low</w:t>
                  </w:r>
                </w:p>
              </w:tc>
              <w:tc>
                <w:tcPr/>
                <w:p>
                  <w:pPr>
                    <w:pStyle w:val="Compact"/>
                    <w:jc w:val="righ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Motorcycle Daily km</w:t>
                  </w:r>
                </w:p>
              </w:tc>
              <w:tc>
                <w:tcPr/>
                <w:p>
                  <w:pPr>
                    <w:pStyle w:val="Compact"/>
                    <w:jc w:val="right"/>
                    <w:jc w:val="center"/>
                  </w:pPr>
                  <w:r>
                    <w:t xml:space="preserve">15</w:t>
                  </w:r>
                </w:p>
              </w:tc>
              <w:tc>
                <w:tcPr/>
                <w:p>
                  <w:pPr>
                    <w:pStyle w:val="Compact"/>
                    <w:jc w:val="right"/>
                    <w:jc w:val="center"/>
                  </w:pPr>
                  <w:r>
                    <w:t xml:space="preserve">10</w:t>
                  </w:r>
                </w:p>
              </w:tc>
              <w:tc>
                <w:tcPr/>
                <w:p>
                  <w:pPr>
                    <w:pStyle w:val="Compact"/>
                    <w:jc w:val="right"/>
                    <w:jc w:val="center"/>
                  </w:pPr>
                  <w:r>
                    <w:t xml:space="preserve">25</w:t>
                  </w:r>
                </w:p>
              </w:tc>
              <w:tc>
                <w:tcPr/>
                <w:p>
                  <w:pPr>
                    <w:pStyle w:val="Compact"/>
                    <w:jc w:val="left"/>
                    <w:jc w:val="center"/>
                  </w:pPr>
                  <w:r>
                    <w:t xml:space="preserve">km/day</w:t>
                  </w:r>
                </w:p>
              </w:tc>
              <w:tc>
                <w:tcPr/>
                <w:p>
                  <w:pPr>
                    <w:pStyle w:val="Compact"/>
                    <w:jc w:val="left"/>
                    <w:jc w:val="center"/>
                  </w:pPr>
                  <w:r>
                    <w:t xml:space="preserve">MalÃ© island 5.8 kmÂ²; short commute distances â€” expert estimate</w:t>
                  </w:r>
                </w:p>
              </w:tc>
            </w:tr>
            <w:tr>
              <w:tc>
                <w:tcPr/>
                <w:p>
                  <w:pPr>
                    <w:pStyle w:val="Compact"/>
                    <w:jc w:val="left"/>
                    <w:jc w:val="center"/>
                  </w:pPr>
                  <w:r>
                    <w:t xml:space="preserve">ICE Fuel Consumption</w:t>
                  </w:r>
                </w:p>
              </w:tc>
              <w:tc>
                <w:tcPr/>
                <w:p>
                  <w:pPr>
                    <w:pStyle w:val="Compact"/>
                    <w:jc w:val="right"/>
                    <w:jc w:val="center"/>
                  </w:pPr>
                  <w:r>
                    <w:t xml:space="preserve">3</w:t>
                  </w:r>
                </w:p>
              </w:tc>
              <w:tc>
                <w:tcPr/>
                <w:p>
                  <w:pPr>
                    <w:pStyle w:val="Compact"/>
                    <w:jc w:val="right"/>
                    <w:jc w:val="center"/>
                  </w:pPr>
                  <w:r>
                    <w:t xml:space="preserve">2</w:t>
                  </w:r>
                </w:p>
              </w:tc>
              <w:tc>
                <w:tcPr/>
                <w:p>
                  <w:pPr>
                    <w:pStyle w:val="Compact"/>
                    <w:jc w:val="right"/>
                    <w:jc w:val="center"/>
                  </w:pPr>
                  <w:r>
                    <w:t xml:space="preserve">4</w:t>
                  </w:r>
                </w:p>
              </w:tc>
              <w:tc>
                <w:tcPr/>
                <w:p>
                  <w:pPr>
                    <w:pStyle w:val="Compact"/>
                    <w:jc w:val="left"/>
                    <w:jc w:val="center"/>
                  </w:pPr>
                  <w:r>
                    <w:t xml:space="preserve">L/100km</w:t>
                  </w:r>
                </w:p>
              </w:tc>
              <w:tc>
                <w:tcPr/>
                <w:p>
                  <w:pPr>
                    <w:pStyle w:val="Compact"/>
                    <w:jc w:val="left"/>
                    <w:jc w:val="center"/>
                  </w:pPr>
                  <w:r>
                    <w:t xml:space="preserve">Average 100-150cc scooters (ICCT 2021); tropical riding conditions</w:t>
                  </w:r>
                </w:p>
              </w:tc>
            </w:tr>
            <w:tr>
              <w:tc>
                <w:tcPr/>
                <w:p>
                  <w:pPr>
                    <w:pStyle w:val="Compact"/>
                    <w:jc w:val="left"/>
                    <w:jc w:val="center"/>
                  </w:pPr>
                  <w:r>
                    <w:t xml:space="preserve">EV Energy per km</w:t>
                  </w:r>
                </w:p>
              </w:tc>
              <w:tc>
                <w:tcPr/>
                <w:p>
                  <w:pPr>
                    <w:pStyle w:val="Compact"/>
                    <w:jc w:val="right"/>
                    <w:jc w:val="center"/>
                  </w:pPr>
                  <w:r>
                    <w:t xml:space="preserve">0.025</w:t>
                  </w:r>
                </w:p>
              </w:tc>
              <w:tc>
                <w:tcPr/>
                <w:p>
                  <w:pPr>
                    <w:pStyle w:val="Compact"/>
                    <w:jc w:val="right"/>
                    <w:jc w:val="center"/>
                  </w:pPr>
                  <w:r>
                    <w:t xml:space="preserve">0.018</w:t>
                  </w:r>
                </w:p>
              </w:tc>
              <w:tc>
                <w:tcPr/>
                <w:p>
                  <w:pPr>
                    <w:pStyle w:val="Compact"/>
                    <w:jc w:val="right"/>
                    <w:jc w:val="center"/>
                  </w:pPr>
                  <w:r>
                    <w:t xml:space="preserve">0.035</w:t>
                  </w:r>
                </w:p>
              </w:tc>
              <w:tc>
                <w:tcPr/>
                <w:p>
                  <w:pPr>
                    <w:pStyle w:val="Compact"/>
                    <w:jc w:val="left"/>
                    <w:jc w:val="center"/>
                  </w:pPr>
                  <w:r>
                    <w:t xml:space="preserve">kWh/km</w:t>
                  </w:r>
                </w:p>
              </w:tc>
              <w:tc>
                <w:tcPr/>
                <w:p>
                  <w:pPr>
                    <w:pStyle w:val="Compact"/>
                    <w:jc w:val="left"/>
                    <w:jc w:val="center"/>
                  </w:pPr>
                  <w:r>
                    <w:t xml:space="preserve">E-motorcycle/e-scooter typical (IEA GEVO 2024); tropical flat terrain</w:t>
                  </w:r>
                </w:p>
              </w:tc>
            </w:tr>
            <w:tr>
              <w:tc>
                <w:tcPr/>
                <w:p>
                  <w:pPr>
                    <w:pStyle w:val="Compact"/>
                    <w:jc w:val="left"/>
                    <w:jc w:val="center"/>
                  </w:pPr>
                  <w:r>
                    <w:t xml:space="preserve">Petrol Price 2026</w:t>
                  </w:r>
                </w:p>
              </w:tc>
              <w:tc>
                <w:tcPr/>
                <w:p>
                  <w:pPr>
                    <w:pStyle w:val="Compact"/>
                    <w:jc w:val="right"/>
                    <w:jc w:val="center"/>
                  </w:pPr>
                  <w:r>
                    <w:t xml:space="preserve">1.1</w:t>
                  </w:r>
                </w:p>
              </w:tc>
              <w:tc>
                <w:tcPr/>
                <w:p>
                  <w:pPr>
                    <w:pStyle w:val="Compact"/>
                    <w:jc w:val="right"/>
                    <w:jc w:val="center"/>
                  </w:pPr>
                  <w:r>
                    <w:t xml:space="preserve">0.9</w:t>
                  </w:r>
                </w:p>
              </w:tc>
              <w:tc>
                <w:tcPr/>
                <w:p>
                  <w:pPr>
                    <w:pStyle w:val="Compact"/>
                    <w:jc w:val="right"/>
                    <w:jc w:val="center"/>
                  </w:pPr>
                  <w:r>
                    <w:t xml:space="preserve">1.4</w:t>
                  </w:r>
                </w:p>
              </w:tc>
              <w:tc>
                <w:tcPr/>
                <w:p>
                  <w:pPr>
                    <w:pStyle w:val="Compact"/>
                    <w:jc w:val="left"/>
                    <w:jc w:val="center"/>
                  </w:pPr>
                  <w:r>
                    <w:t xml:space="preserve">USD/L</w:t>
                  </w:r>
                </w:p>
              </w:tc>
              <w:tc>
                <w:tcPr/>
                <w:p>
                  <w:pPr>
                    <w:pStyle w:val="Compact"/>
                    <w:jc w:val="left"/>
                    <w:jc w:val="center"/>
                  </w:pPr>
                  <w:r>
                    <w:t xml:space="preserve">STO Maldives retail price (2024); imported CIF + margin</w:t>
                  </w:r>
                </w:p>
              </w:tc>
            </w:tr>
            <w:tr>
              <w:tc>
                <w:tcPr/>
                <w:p>
                  <w:pPr>
                    <w:pStyle w:val="Compact"/>
                    <w:jc w:val="left"/>
                    <w:jc w:val="center"/>
                  </w:pPr>
                  <w:r>
                    <w:t xml:space="preserve">Petrol Price Escalation</w:t>
                  </w:r>
                </w:p>
              </w:tc>
              <w:tc>
                <w:tcPr/>
                <w:p>
                  <w:pPr>
                    <w:pStyle w:val="Compact"/>
                    <w:jc w:val="right"/>
                    <w:jc w:val="center"/>
                  </w:pPr>
                  <w:r>
                    <w:t xml:space="preserve">0.03</w:t>
                  </w:r>
                </w:p>
              </w:tc>
              <w:tc>
                <w:tcPr/>
                <w:p>
                  <w:pPr>
                    <w:pStyle w:val="Compact"/>
                    <w:jc w:val="right"/>
                    <w:jc w:val="center"/>
                  </w:pPr>
                  <w:r>
                    <w:t xml:space="preserve">0.01</w:t>
                  </w:r>
                </w:p>
              </w:tc>
              <w:tc>
                <w:tcPr/>
                <w:p>
                  <w:pPr>
                    <w:pStyle w:val="Compact"/>
                    <w:jc w:val="right"/>
                    <w:jc w:val="center"/>
                  </w:pPr>
                  <w:r>
                    <w:t xml:space="preserve">0.05</w:t>
                  </w:r>
                </w:p>
              </w:tc>
              <w:tc>
                <w:tcPr/>
                <w:p>
                  <w:pPr>
                    <w:pStyle w:val="Compact"/>
                    <w:jc w:val="left"/>
                    <w:jc w:val="center"/>
                  </w:pPr>
                  <w:r>
                    <w:t xml:space="preserve">%/yr</w:t>
                  </w:r>
                </w:p>
              </w:tc>
              <w:tc>
                <w:tcPr/>
                <w:p>
                  <w:pPr>
                    <w:pStyle w:val="Compact"/>
                    <w:jc w:val="left"/>
                    <w:jc w:val="center"/>
                  </w:pPr>
                  <w:r>
                    <w:t xml:space="preserve">IMF WEO (2024) â€” real oil price growth projection</w:t>
                  </w:r>
                </w:p>
              </w:tc>
            </w:tr>
          </w:tbl>
          <w:p>
            <w:pPr>
              <w:pStyle w:val="Heading3"/>
              <w:jc w:val="center"/>
            </w:pPr>
            <w:bookmarkStart w:id="335" w:name="transport-costs"/>
            <w:r>
              <w:t xml:space="preserve">22.1.46 Transport Costs</w:t>
            </w:r>
            <w:bookmarkEnd w:id="335"/>
          </w:p>
          <w:tbl>
            <w:tblPr>
              <w:tblStyle w:val="Table"/>
              <w:tblW w:type="pct" w:w="5000"/>
              <w:tblLayout w:type="fixed"/>
              <w:tblLook w:firstRow="1" w:lastRow="0" w:firstColumn="0" w:lastColumn="0" w:noHBand="0" w:noVBand="0" w:val="0020"/>
            </w:tblPr>
            <w:tblGrid>
              <w:gridCol w:w="1495"/>
              <w:gridCol w:w="553"/>
              <w:gridCol w:w="553"/>
              <w:gridCol w:w="498"/>
              <w:gridCol w:w="996"/>
              <w:gridCol w:w="3821"/>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right"/>
                    <w:jc w:val="center"/>
                  </w:pPr>
                  <w:r>
                    <w:t xml:space="preserve">Low</w:t>
                  </w:r>
                </w:p>
              </w:tc>
              <w:tc>
                <w:tcPr/>
                <w:p>
                  <w:pPr>
                    <w:pStyle w:val="Compact"/>
                    <w:jc w:val="righ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E-Motorcycle Premium 2026</w:t>
                  </w:r>
                </w:p>
              </w:tc>
              <w:tc>
                <w:tcPr/>
                <w:p>
                  <w:pPr>
                    <w:pStyle w:val="Compact"/>
                    <w:jc w:val="right"/>
                    <w:jc w:val="center"/>
                  </w:pPr>
                  <w:r>
                    <w:t xml:space="preserve">800</w:t>
                  </w:r>
                </w:p>
              </w:tc>
              <w:tc>
                <w:tcPr/>
                <w:p>
                  <w:pPr>
                    <w:pStyle w:val="Compact"/>
                    <w:jc w:val="right"/>
                    <w:jc w:val="center"/>
                  </w:pPr>
                  <w:r>
                    <w:t xml:space="preserve">500</w:t>
                  </w:r>
                </w:p>
              </w:tc>
              <w:tc>
                <w:tcPr/>
                <w:p>
                  <w:pPr>
                    <w:pStyle w:val="Compact"/>
                    <w:jc w:val="right"/>
                    <w:jc w:val="center"/>
                  </w:pPr>
                  <w:r>
                    <w:t xml:space="preserve">1200</w:t>
                  </w:r>
                </w:p>
              </w:tc>
              <w:tc>
                <w:tcPr/>
                <w:p>
                  <w:pPr>
                    <w:pStyle w:val="Compact"/>
                    <w:jc w:val="left"/>
                    <w:jc w:val="center"/>
                  </w:pPr>
                  <w:r>
                    <w:t xml:space="preserve">USD</w:t>
                  </w:r>
                </w:p>
              </w:tc>
              <w:tc>
                <w:tcPr/>
                <w:p>
                  <w:pPr>
                    <w:pStyle w:val="Compact"/>
                    <w:jc w:val="left"/>
                    <w:jc w:val="center"/>
                  </w:pPr>
                  <w:r>
                    <w:t xml:space="preserve">IEA GEVO (2024); Hero Electric vs ICE â€” emerging market premium</w:t>
                  </w:r>
                </w:p>
              </w:tc>
            </w:tr>
            <w:tr>
              <w:tc>
                <w:tcPr/>
                <w:p>
                  <w:pPr>
                    <w:pStyle w:val="Compact"/>
                    <w:jc w:val="left"/>
                    <w:jc w:val="center"/>
                  </w:pPr>
                  <w:r>
                    <w:t xml:space="preserve">Premium Decline Rate</w:t>
                  </w:r>
                </w:p>
              </w:tc>
              <w:tc>
                <w:tcPr/>
                <w:p>
                  <w:pPr>
                    <w:pStyle w:val="Compact"/>
                    <w:jc w:val="right"/>
                    <w:jc w:val="center"/>
                  </w:pPr>
                  <w:r>
                    <w:t xml:space="preserve">0.06</w:t>
                  </w:r>
                </w:p>
              </w:tc>
              <w:tc>
                <w:tcPr/>
                <w:p>
                  <w:pPr>
                    <w:pStyle w:val="Compact"/>
                    <w:jc w:val="right"/>
                    <w:jc w:val="center"/>
                  </w:pPr>
                  <w:r>
                    <w:t xml:space="preserve">0.04</w:t>
                  </w:r>
                </w:p>
              </w:tc>
              <w:tc>
                <w:tcPr/>
                <w:p>
                  <w:pPr>
                    <w:pStyle w:val="Compact"/>
                    <w:jc w:val="right"/>
                    <w:jc w:val="center"/>
                  </w:pPr>
                  <w:r>
                    <w:t xml:space="preserve">0.1</w:t>
                  </w:r>
                </w:p>
              </w:tc>
              <w:tc>
                <w:tcPr/>
                <w:p>
                  <w:pPr>
                    <w:pStyle w:val="Compact"/>
                    <w:jc w:val="left"/>
                    <w:jc w:val="center"/>
                  </w:pPr>
                  <w:r>
                    <w:t xml:space="preserve">%/yr</w:t>
                  </w:r>
                </w:p>
              </w:tc>
              <w:tc>
                <w:tcPr/>
                <w:p>
                  <w:pPr>
                    <w:pStyle w:val="Compact"/>
                    <w:jc w:val="left"/>
                    <w:jc w:val="center"/>
                  </w:pPr>
                  <w:r>
                    <w:t xml:space="preserve">BNEF EV Outlook (2024) â€” battery cost decline drives parity</w:t>
                  </w:r>
                </w:p>
              </w:tc>
            </w:tr>
            <w:tr>
              <w:tc>
                <w:tcPr/>
                <w:p>
                  <w:pPr>
                    <w:pStyle w:val="Compact"/>
                    <w:jc w:val="left"/>
                    <w:jc w:val="center"/>
                  </w:pPr>
                  <w:r>
                    <w:t xml:space="preserve">Charging Station Cost</w:t>
                  </w:r>
                </w:p>
              </w:tc>
              <w:tc>
                <w:tcPr/>
                <w:p>
                  <w:pPr>
                    <w:pStyle w:val="Compact"/>
                    <w:jc w:val="right"/>
                    <w:jc w:val="center"/>
                  </w:pPr>
                  <w:r>
                    <w:t xml:space="preserve">25000</w:t>
                  </w:r>
                </w:p>
              </w:tc>
              <w:tc>
                <w:tcPr/>
                <w:p>
                  <w:pPr>
                    <w:pStyle w:val="Compact"/>
                    <w:jc w:val="right"/>
                    <w:jc w:val="center"/>
                  </w:pPr>
                  <w:r>
                    <w:t xml:space="preserve">15000</w:t>
                  </w:r>
                </w:p>
              </w:tc>
              <w:tc>
                <w:tcPr/>
                <w:p>
                  <w:pPr>
                    <w:pStyle w:val="Compact"/>
                    <w:jc w:val="right"/>
                    <w:jc w:val="center"/>
                  </w:pPr>
                  <w:r>
                    <w:t xml:space="preserve">40000</w:t>
                  </w:r>
                </w:p>
              </w:tc>
              <w:tc>
                <w:tcPr/>
                <w:p>
                  <w:pPr>
                    <w:pStyle w:val="Compact"/>
                    <w:jc w:val="left"/>
                    <w:jc w:val="center"/>
                  </w:pPr>
                  <w:r>
                    <w:t xml:space="preserve">USD/station</w:t>
                  </w:r>
                </w:p>
              </w:tc>
              <w:tc>
                <w:tcPr/>
                <w:p>
                  <w:pPr>
                    <w:pStyle w:val="Compact"/>
                    <w:jc w:val="left"/>
                    <w:jc w:val="center"/>
                  </w:pPr>
                  <w:r>
                    <w:t xml:space="preserve">UNDP Maldives EV pilot (2024) â€” Level 2 solar-backed stations</w:t>
                  </w:r>
                </w:p>
              </w:tc>
            </w:tr>
            <w:tr>
              <w:tc>
                <w:tcPr/>
                <w:p>
                  <w:pPr>
                    <w:pStyle w:val="Compact"/>
                    <w:jc w:val="left"/>
                    <w:jc w:val="center"/>
                  </w:pPr>
                  <w:r>
                    <w:t xml:space="preserve">Vehicles per Station</w:t>
                  </w:r>
                </w:p>
              </w:tc>
              <w:tc>
                <w:tcPr/>
                <w:p>
                  <w:pPr>
                    <w:pStyle w:val="Compact"/>
                    <w:jc w:val="right"/>
                    <w:jc w:val="center"/>
                  </w:pPr>
                  <w:r>
                    <w:t xml:space="preserve">100</w:t>
                  </w:r>
                </w:p>
              </w:tc>
              <w:tc>
                <w:tcPr/>
                <w:p>
                  <w:pPr>
                    <w:pStyle w:val="Compact"/>
                    <w:jc w:val="right"/>
                    <w:jc w:val="center"/>
                  </w:pPr>
                  <w:r>
                    <w:t xml:space="preserve">50</w:t>
                  </w:r>
                </w:p>
              </w:tc>
              <w:tc>
                <w:tcPr/>
                <w:p>
                  <w:pPr>
                    <w:pStyle w:val="Compact"/>
                    <w:jc w:val="right"/>
                    <w:jc w:val="center"/>
                  </w:pPr>
                  <w:r>
                    <w:t xml:space="preserve">200</w:t>
                  </w:r>
                </w:p>
              </w:tc>
              <w:tc>
                <w:tcPr/>
                <w:p>
                  <w:pPr>
                    <w:pStyle w:val="Compact"/>
                    <w:jc w:val="left"/>
                    <w:jc w:val="center"/>
                  </w:pPr>
                  <w:r>
                    <w:t xml:space="preserve">vehicles/station</w:t>
                  </w:r>
                </w:p>
              </w:tc>
              <w:tc>
                <w:tcPr/>
                <w:p>
                  <w:pPr>
                    <w:pStyle w:val="Compact"/>
                    <w:jc w:val="left"/>
                    <w:jc w:val="center"/>
                  </w:pPr>
                  <w:r>
                    <w:t xml:space="preserve">UNDP pilot design; 5 stations for ~500 vehicles currently</w:t>
                  </w:r>
                </w:p>
              </w:tc>
            </w:tr>
            <w:tr>
              <w:tc>
                <w:tcPr/>
                <w:p>
                  <w:pPr>
                    <w:pStyle w:val="Compact"/>
                    <w:jc w:val="left"/>
                    <w:jc w:val="center"/>
                  </w:pPr>
                  <w:r>
                    <w:t xml:space="preserve">ICE Annual Maintenance</w:t>
                  </w:r>
                </w:p>
              </w:tc>
              <w:tc>
                <w:tcPr/>
                <w:p>
                  <w:pPr>
                    <w:pStyle w:val="Compact"/>
                    <w:jc w:val="right"/>
                    <w:jc w:val="center"/>
                  </w:pPr>
                  <w:r>
                    <w:t xml:space="preserve">200</w:t>
                  </w:r>
                </w:p>
              </w:tc>
              <w:tc>
                <w:tcPr/>
                <w:p>
                  <w:pPr>
                    <w:pStyle w:val="Compact"/>
                    <w:jc w:val="right"/>
                    <w:jc w:val="center"/>
                  </w:pPr>
                  <w:r>
                    <w:t xml:space="preserve">150</w:t>
                  </w:r>
                </w:p>
              </w:tc>
              <w:tc>
                <w:tcPr/>
                <w:p>
                  <w:pPr>
                    <w:pStyle w:val="Compact"/>
                    <w:jc w:val="right"/>
                    <w:jc w:val="center"/>
                  </w:pPr>
                  <w:r>
                    <w:t xml:space="preserve">300</w:t>
                  </w:r>
                </w:p>
              </w:tc>
              <w:tc>
                <w:tcPr/>
                <w:p>
                  <w:pPr>
                    <w:pStyle w:val="Compact"/>
                    <w:jc w:val="left"/>
                    <w:jc w:val="center"/>
                  </w:pPr>
                  <w:r>
                    <w:t xml:space="preserve">USD/yr</w:t>
                  </w:r>
                </w:p>
              </w:tc>
              <w:tc>
                <w:tcPr/>
                <w:p>
                  <w:pPr>
                    <w:pStyle w:val="Compact"/>
                    <w:jc w:val="left"/>
                    <w:jc w:val="center"/>
                  </w:pPr>
                  <w:r>
                    <w:t xml:space="preserve">ICCT (2021) â€” motorcycle maintenance in developing countries</w:t>
                  </w:r>
                </w:p>
              </w:tc>
            </w:tr>
            <w:tr>
              <w:tc>
                <w:tcPr/>
                <w:p>
                  <w:pPr>
                    <w:pStyle w:val="Compact"/>
                    <w:jc w:val="left"/>
                    <w:jc w:val="center"/>
                  </w:pPr>
                  <w:r>
                    <w:t xml:space="preserve">EV Annual Maintenance</w:t>
                  </w:r>
                </w:p>
              </w:tc>
              <w:tc>
                <w:tcPr/>
                <w:p>
                  <w:pPr>
                    <w:pStyle w:val="Compact"/>
                    <w:jc w:val="right"/>
                    <w:jc w:val="center"/>
                  </w:pPr>
                  <w:r>
                    <w:t xml:space="preserve">80</w:t>
                  </w:r>
                </w:p>
              </w:tc>
              <w:tc>
                <w:tcPr/>
                <w:p>
                  <w:pPr>
                    <w:pStyle w:val="Compact"/>
                    <w:jc w:val="right"/>
                    <w:jc w:val="center"/>
                  </w:pPr>
                  <w:r>
                    <w:t xml:space="preserve">50</w:t>
                  </w:r>
                </w:p>
              </w:tc>
              <w:tc>
                <w:tcPr/>
                <w:p>
                  <w:pPr>
                    <w:pStyle w:val="Compact"/>
                    <w:jc w:val="right"/>
                    <w:jc w:val="center"/>
                  </w:pPr>
                  <w:r>
                    <w:t xml:space="preserve">120</w:t>
                  </w:r>
                </w:p>
              </w:tc>
              <w:tc>
                <w:tcPr/>
                <w:p>
                  <w:pPr>
                    <w:pStyle w:val="Compact"/>
                    <w:jc w:val="left"/>
                    <w:jc w:val="center"/>
                  </w:pPr>
                  <w:r>
                    <w:t xml:space="preserve">USD/yr</w:t>
                  </w:r>
                </w:p>
              </w:tc>
              <w:tc>
                <w:tcPr/>
                <w:p>
                  <w:pPr>
                    <w:pStyle w:val="Compact"/>
                    <w:jc w:val="left"/>
                    <w:jc w:val="center"/>
                  </w:pPr>
                  <w:r>
                    <w:t xml:space="preserve">IEA GEVO (2024) â€” EVs ~60% lower maintenance (fewer moving parts)</w:t>
                  </w:r>
                </w:p>
              </w:tc>
            </w:tr>
          </w:tbl>
          <w:p>
            <w:pPr>
              <w:pStyle w:val="Heading3"/>
              <w:jc w:val="center"/>
            </w:pPr>
            <w:bookmarkStart w:id="336" w:name="transport-health"/>
            <w:r>
              <w:t xml:space="preserve">22.1.47 Transport Health</w:t>
            </w:r>
            <w:bookmarkEnd w:id="336"/>
          </w:p>
          <w:tbl>
            <w:tblPr>
              <w:tblStyle w:val="Table"/>
              <w:tblW w:type="pct" w:w="5000"/>
              <w:tblLayout w:type="fixed"/>
              <w:tblLook w:firstRow="1" w:lastRow="0" w:firstColumn="0" w:lastColumn="0" w:noHBand="0" w:noVBand="0" w:val="0020"/>
            </w:tblPr>
            <w:tblGrid>
              <w:gridCol w:w="1595"/>
              <w:gridCol w:w="512"/>
              <w:gridCol w:w="398"/>
              <w:gridCol w:w="455"/>
              <w:gridCol w:w="512"/>
              <w:gridCol w:w="4444"/>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right"/>
                    <w:jc w:val="center"/>
                  </w:pPr>
                  <w:r>
                    <w:t xml:space="preserve">Low</w:t>
                  </w:r>
                </w:p>
              </w:tc>
              <w:tc>
                <w:tcPr/>
                <w:p>
                  <w:pPr>
                    <w:pStyle w:val="Compact"/>
                    <w:jc w:val="righ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PM25 Damage per Vehicle km</w:t>
                  </w:r>
                </w:p>
              </w:tc>
              <w:tc>
                <w:tcPr/>
                <w:p>
                  <w:pPr>
                    <w:pStyle w:val="Compact"/>
                    <w:jc w:val="right"/>
                    <w:jc w:val="center"/>
                  </w:pPr>
                  <w:r>
                    <w:t xml:space="preserve">0.012</w:t>
                  </w:r>
                </w:p>
              </w:tc>
              <w:tc>
                <w:tcPr/>
                <w:p>
                  <w:pPr>
                    <w:pStyle w:val="Compact"/>
                    <w:jc w:val="right"/>
                    <w:jc w:val="center"/>
                  </w:pPr>
                  <w:r>
                    <w:t xml:space="preserve">0.006</w:t>
                  </w:r>
                </w:p>
              </w:tc>
              <w:tc>
                <w:tcPr/>
                <w:p>
                  <w:pPr>
                    <w:pStyle w:val="Compact"/>
                    <w:jc w:val="right"/>
                    <w:jc w:val="center"/>
                  </w:pPr>
                  <w:r>
                    <w:t xml:space="preserve">0.025</w:t>
                  </w:r>
                </w:p>
              </w:tc>
              <w:tc>
                <w:tcPr/>
                <w:p>
                  <w:pPr>
                    <w:pStyle w:val="Compact"/>
                    <w:jc w:val="left"/>
                    <w:jc w:val="center"/>
                  </w:pPr>
                  <w:r>
                    <w:t xml:space="preserve">USD/vkm</w:t>
                  </w:r>
                </w:p>
              </w:tc>
              <w:tc>
                <w:tcPr/>
                <w:p>
                  <w:pPr>
                    <w:pStyle w:val="Compact"/>
                    <w:jc w:val="left"/>
                    <w:jc w:val="center"/>
                  </w:pPr>
                  <w:r>
                    <w:t xml:space="preserve">Parry et al. (2014) IMF WP/14/199 â€” urban motorcycle PM2.5 in dense cities</w:t>
                  </w:r>
                </w:p>
              </w:tc>
            </w:tr>
            <w:tr>
              <w:tc>
                <w:tcPr/>
                <w:p>
                  <w:pPr>
                    <w:pStyle w:val="Compact"/>
                    <w:jc w:val="left"/>
                    <w:jc w:val="center"/>
                  </w:pPr>
                  <w:r>
                    <w:t xml:space="preserve">NOx Damage per Vehicle km</w:t>
                  </w:r>
                </w:p>
              </w:tc>
              <w:tc>
                <w:tcPr/>
                <w:p>
                  <w:pPr>
                    <w:pStyle w:val="Compact"/>
                    <w:jc w:val="right"/>
                    <w:jc w:val="center"/>
                  </w:pPr>
                  <w:r>
                    <w:t xml:space="preserve">0.005</w:t>
                  </w:r>
                </w:p>
              </w:tc>
              <w:tc>
                <w:tcPr/>
                <w:p>
                  <w:pPr>
                    <w:pStyle w:val="Compact"/>
                    <w:jc w:val="right"/>
                    <w:jc w:val="center"/>
                  </w:pPr>
                  <w:r>
                    <w:t xml:space="preserve">0.002</w:t>
                  </w:r>
                </w:p>
              </w:tc>
              <w:tc>
                <w:tcPr/>
                <w:p>
                  <w:pPr>
                    <w:pStyle w:val="Compact"/>
                    <w:jc w:val="right"/>
                    <w:jc w:val="center"/>
                  </w:pPr>
                  <w:r>
                    <w:t xml:space="preserve">0.01</w:t>
                  </w:r>
                </w:p>
              </w:tc>
              <w:tc>
                <w:tcPr/>
                <w:p>
                  <w:pPr>
                    <w:pStyle w:val="Compact"/>
                    <w:jc w:val="left"/>
                    <w:jc w:val="center"/>
                  </w:pPr>
                  <w:r>
                    <w:t xml:space="preserve">USD/vkm</w:t>
                  </w:r>
                </w:p>
              </w:tc>
              <w:tc>
                <w:tcPr/>
                <w:p>
                  <w:pPr>
                    <w:pStyle w:val="Compact"/>
                    <w:jc w:val="left"/>
                    <w:jc w:val="center"/>
                  </w:pPr>
                  <w:r>
                    <w:t xml:space="preserve">Parry et al. (2014) IMF WP/14/199 â€” motorcycle NOx in tropical urban</w:t>
                  </w:r>
                </w:p>
              </w:tc>
            </w:tr>
            <w:tr>
              <w:tc>
                <w:tcPr/>
                <w:p>
                  <w:pPr>
                    <w:pStyle w:val="Compact"/>
                    <w:jc w:val="left"/>
                    <w:jc w:val="center"/>
                  </w:pPr>
                  <w:r>
                    <w:t xml:space="preserve">Noise Reduction per EV km</w:t>
                  </w:r>
                </w:p>
              </w:tc>
              <w:tc>
                <w:tcPr/>
                <w:p>
                  <w:pPr>
                    <w:pStyle w:val="Compact"/>
                    <w:jc w:val="right"/>
                    <w:jc w:val="center"/>
                  </w:pPr>
                  <w:r>
                    <w:t xml:space="preserve">0.002</w:t>
                  </w:r>
                </w:p>
              </w:tc>
              <w:tc>
                <w:tcPr/>
                <w:p>
                  <w:pPr>
                    <w:pStyle w:val="Compact"/>
                    <w:jc w:val="right"/>
                    <w:jc w:val="center"/>
                  </w:pPr>
                  <w:r>
                    <w:t xml:space="preserve">0.001</w:t>
                  </w:r>
                </w:p>
              </w:tc>
              <w:tc>
                <w:tcPr/>
                <w:p>
                  <w:pPr>
                    <w:pStyle w:val="Compact"/>
                    <w:jc w:val="right"/>
                    <w:jc w:val="center"/>
                  </w:pPr>
                  <w:r>
                    <w:t xml:space="preserve">0.004</w:t>
                  </w:r>
                </w:p>
              </w:tc>
              <w:tc>
                <w:tcPr/>
                <w:p>
                  <w:pPr>
                    <w:pStyle w:val="Compact"/>
                    <w:jc w:val="left"/>
                    <w:jc w:val="center"/>
                  </w:pPr>
                  <w:r>
                    <w:t xml:space="preserve">USD/vkm</w:t>
                  </w:r>
                </w:p>
              </w:tc>
              <w:tc>
                <w:tcPr/>
                <w:p>
                  <w:pPr>
                    <w:pStyle w:val="Compact"/>
                    <w:jc w:val="left"/>
                    <w:jc w:val="center"/>
                  </w:pPr>
                  <w:r>
                    <w:t xml:space="preserve">EU ExternE methodology adapted for high-density MalÃ©</w:t>
                  </w:r>
                </w:p>
              </w:tc>
            </w:tr>
          </w:tbl>
          <w:p>
            <w:pPr>
              <w:pStyle w:val="Heading3"/>
              <w:jc w:val="center"/>
            </w:pPr>
            <w:bookmarkStart w:id="337" w:name="transport-co2"/>
            <w:r>
              <w:t xml:space="preserve">22.1.48 Transport CO2</w:t>
            </w:r>
            <w:bookmarkEnd w:id="337"/>
          </w:p>
          <w:tbl>
            <w:tblPr>
              <w:tblStyle w:val="Table"/>
              <w:tblW w:type="pct" w:w="5000"/>
              <w:tblLayout w:type="fixed"/>
              <w:tblLook w:firstRow="1" w:lastRow="0" w:firstColumn="0" w:lastColumn="0" w:noHBand="0" w:noVBand="0" w:val="0020"/>
            </w:tblPr>
            <w:tblGrid>
              <w:gridCol w:w="1680"/>
              <w:gridCol w:w="540"/>
              <w:gridCol w:w="420"/>
              <w:gridCol w:w="480"/>
              <w:gridCol w:w="540"/>
              <w:gridCol w:w="4260"/>
            </w:tblGrid>
            <w:tr>
              <w:trPr>
                <w:tblHeader w:val="on"/>
              </w:trPr>
              <w:tc>
                <w:tcPr/>
                <w:p>
                  <w:pPr>
                    <w:pStyle w:val="Compact"/>
                    <w:jc w:val="left"/>
                    <w:jc w:val="center"/>
                  </w:pPr>
                  <w:r>
                    <w:t xml:space="preserve">Parameter</w:t>
                  </w:r>
                </w:p>
              </w:tc>
              <w:tc>
                <w:tcPr/>
                <w:p>
                  <w:pPr>
                    <w:pStyle w:val="Compact"/>
                    <w:jc w:val="right"/>
                    <w:jc w:val="center"/>
                  </w:pPr>
                  <w:r>
                    <w:t xml:space="preserve">Value</w:t>
                  </w:r>
                </w:p>
              </w:tc>
              <w:tc>
                <w:tcPr/>
                <w:p>
                  <w:pPr>
                    <w:pStyle w:val="Compact"/>
                    <w:jc w:val="right"/>
                    <w:jc w:val="center"/>
                  </w:pPr>
                  <w:r>
                    <w:t xml:space="preserve">Low</w:t>
                  </w:r>
                </w:p>
              </w:tc>
              <w:tc>
                <w:tcPr/>
                <w:p>
                  <w:pPr>
                    <w:pStyle w:val="Compact"/>
                    <w:jc w:val="right"/>
                    <w:jc w:val="center"/>
                  </w:pPr>
                  <w:r>
                    <w:t xml:space="preserve">High</w:t>
                  </w:r>
                </w:p>
              </w:tc>
              <w:tc>
                <w:tcPr/>
                <w:p>
                  <w:pPr>
                    <w:pStyle w:val="Compact"/>
                    <w:jc w:val="left"/>
                    <w:jc w:val="center"/>
                  </w:pPr>
                  <w:r>
                    <w:t xml:space="preserve">Unit</w:t>
                  </w:r>
                </w:p>
              </w:tc>
              <w:tc>
                <w:tcPr/>
                <w:p>
                  <w:pPr>
                    <w:pStyle w:val="Compact"/>
                    <w:jc w:val="left"/>
                    <w:jc w:val="center"/>
                  </w:pPr>
                  <w:r>
                    <w:t xml:space="preserve">Source</w:t>
                  </w:r>
                </w:p>
              </w:tc>
            </w:tr>
            <w:tr>
              <w:tc>
                <w:tcPr/>
                <w:p>
                  <w:pPr>
                    <w:pStyle w:val="Compact"/>
                    <w:jc w:val="left"/>
                    <w:jc w:val="center"/>
                  </w:pPr>
                  <w:r>
                    <w:t xml:space="preserve">ICE Motorcycle gCO2 per km</w:t>
                  </w:r>
                </w:p>
              </w:tc>
              <w:tc>
                <w:tcPr/>
                <w:p>
                  <w:pPr>
                    <w:pStyle w:val="Compact"/>
                    <w:jc w:val="right"/>
                    <w:jc w:val="center"/>
                  </w:pPr>
                  <w:r>
                    <w:t xml:space="preserve">65</w:t>
                  </w:r>
                </w:p>
              </w:tc>
              <w:tc>
                <w:tcPr/>
                <w:p>
                  <w:pPr>
                    <w:pStyle w:val="Compact"/>
                    <w:jc w:val="right"/>
                    <w:jc w:val="center"/>
                  </w:pPr>
                  <w:r>
                    <w:t xml:space="preserve">50</w:t>
                  </w:r>
                </w:p>
              </w:tc>
              <w:tc>
                <w:tcPr/>
                <w:p>
                  <w:pPr>
                    <w:pStyle w:val="Compact"/>
                    <w:jc w:val="right"/>
                    <w:jc w:val="center"/>
                  </w:pPr>
                  <w:r>
                    <w:t xml:space="preserve">85</w:t>
                  </w:r>
                </w:p>
              </w:tc>
              <w:tc>
                <w:tcPr/>
                <w:p>
                  <w:pPr>
                    <w:pStyle w:val="Compact"/>
                    <w:jc w:val="left"/>
                    <w:jc w:val="center"/>
                  </w:pPr>
                  <w:r>
                    <w:t xml:space="preserve">gCO2/km</w:t>
                  </w:r>
                </w:p>
              </w:tc>
              <w:tc>
                <w:tcPr/>
                <w:p>
                  <w:pPr>
                    <w:pStyle w:val="Compact"/>
                    <w:jc w:val="left"/>
                    <w:jc w:val="center"/>
                  </w:pPr>
                  <w:r>
                    <w:t xml:space="preserve">ICCT (2021) â€” 100-150cc motorcycle WTW emissions; Maldives fuel mix</w:t>
                  </w:r>
                </w:p>
              </w:tc>
            </w:tr>
          </w:tbl>
          <w:bookmarkEnd w:id="338"/>
          <w:p/>
        </w:tc>
      </w:tr>
    </w:tbl>
    <w:bookmarkEnd w:id="339"/>
    <w:bookmarkStart w:id="343" w:name="parameter-source-summary"/>
    <w:p>
      <w:pPr>
        <w:pStyle w:val="Heading2"/>
      </w:pPr>
      <w:r>
        <w:t xml:space="preserve">22.2 Parameter Source Summary</w:t>
      </w:r>
    </w:p>
    <w:p>
      <w:pPr>
        <w:pStyle w:val="FirstParagraph"/>
      </w:pPr>
      <w:r>
        <w:t xml:space="preserve">The credibility of any cost-benefit analysis depends fundamentally on the quality of its input data. Parameters derived from peer-reviewed academic research or institutional publications by organisations with established methodological standards (IRENA, IEA, ADB, World Bank, IPCC) carry greater evidential weight than assumed or estimated values. The following chart classifies every parameter by the quality of its source citation, providing a transparent assessment of the overall evidence base.</w:t>
      </w:r>
    </w:p>
    <w:bookmarkStart w:id="342" w:name="source-quality"/>
    <w:bookmarkStart w:id="340" w:name="source-quality-1"/>
    <w:p>
      <w:pPr>
        <w:pStyle w:val="SourceCode"/>
      </w:pPr>
      <w:r>
        <w:rPr>
          <w:rStyle w:val="VerbatimChar"/>
        </w:rPr>
        <w:t xml:space="preserve">Unable to display output for mime type(s): text/html</w:t>
      </w:r>
    </w:p>
    <w:p>
      <w:pPr>
        <w:pStyle w:val="FirstParagraph"/>
      </w:pPr>
      <w:r>
        <w:t xml:space="preserve">Parameter source classification</w:t>
      </w:r>
    </w:p>
    <w:bookmarkEnd w:id="340"/>
    <w:bookmarkStart w:id="341" w:name="source-quality-2"/>
    <w:p>
      <w:pPr>
        <w:pStyle w:val="SourceCode"/>
      </w:pPr>
      <w:r>
        <w:rPr>
          <w:rStyle w:val="VerbatimChar"/>
        </w:rPr>
        <w:t xml:space="preserve">Unable to display output for mime type(s): text/html</w:t>
      </w:r>
    </w:p>
    <w:bookmarkEnd w:id="341"/>
    <w:bookmarkEnd w:id="342"/>
    <w:p>
      <w:pPr>
        <w:pStyle w:val="FirstParagraph"/>
      </w:pPr>
      <w:r>
        <w:t xml:space="preserve">The pie chart above shows the distribution of parameter sources across five quality categories. Institutional sources (IRENA, IEA, ADB, World Bank, IMF, IPCC, BNEF) and academic sources (peer-reviewed journal articles with DOIs) together constitute the majority of the evidence base, reflecting a deliberate effort to ground every parameter in verifiable, recent, citable research. Derived parameters are computed from other parameters using transparent formulae (for example, blended WACC derived from ADB and commercial interest rates). A small number of estimated parameters remain where Maldives-specific data are unavailable; these are identified in the sensitivity analysis as candidate parameters for future empirical research.</w:t>
      </w:r>
    </w:p>
    <w:bookmarkEnd w:id="343"/>
    <w:bookmarkStart w:id="346" w:name="sensitivity-ranges"/>
    <w:p>
      <w:pPr>
        <w:pStyle w:val="Heading2"/>
      </w:pPr>
      <w:r>
        <w:t xml:space="preserve">22.3 Sensitivity Ranges</w:t>
      </w:r>
    </w:p>
    <w:p>
      <w:pPr>
        <w:pStyle w:val="FirstParagraph"/>
      </w:pPr>
      <w:r>
        <w:rPr>
          <w:b/>
          <w:bCs/>
        </w:rPr>
        <w:t xml:space="preserve">163</w:t>
      </w:r>
      <w:r>
        <w:t xml:space="preserve"> </w:t>
      </w:r>
      <w:r>
        <w:t xml:space="preserve">parameters have explicit sensitivity ranges (Low–High bounds) out of</w:t>
      </w:r>
      <w:r>
        <w:t xml:space="preserve"> </w:t>
      </w:r>
      <w:r>
        <w:rPr>
          <w:b/>
          <w:bCs/>
        </w:rPr>
        <w:t xml:space="preserve">300</w:t>
      </w:r>
      <w:r>
        <w:t xml:space="preserve"> </w:t>
      </w:r>
      <w:r>
        <w:t xml:space="preserve">total parameters. These ranges feed directly into the one-way sensitivity analysis (tornado diagrams) and Monte Carlo simulation (triangular distributions).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4" name="Picture"/>
                  <a:graphic>
                    <a:graphicData uri="http://schemas.openxmlformats.org/drawingml/2006/picture">
                      <pic:pic>
                        <pic:nvPicPr>
                          <pic:cNvPr descr="C:\Users\LucasSempe\AppData\Local\Programs\Quarto\share\formats\docx\note.png" id="345"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Parameters without Low/High ranges are structural choices (e.g., base year, number of landings) rather than uncertain quantities. They are held constant across all sensitivity runs.</w:t>
            </w:r>
          </w:p>
        </w:tc>
      </w:tr>
    </w:tbl>
    <w:bookmarkEnd w:id="346"/>
    <w:bookmarkEnd w:id="347"/>
    <w:bookmarkStart w:id="418" w:name="appendix-c-supplementary-analyses"/>
    <w:p>
      <w:pPr>
        <w:pStyle w:val="Heading1"/>
      </w:pPr>
      <w:r>
        <w:t xml:space="preserve">23. Appendix C — Supplementary Analyses</w:t>
      </w:r>
    </w:p>
    <w:p>
      <w:pPr>
        <w:pStyle w:val="FirstParagraph"/>
      </w:pPr>
      <w:r>
        <w:t xml:space="preserve">This appendix presents five supplementary analyses that extend the core CBA framework in distinct directions. Each analysis uses a specialised analytical method to address a question that the standard NPV framework cannot fully capture: technology learning dynamics, climate resilience, cross-sectoral synergies, investment timing under uncertainty, and positioning relative to the international evidence base. Together, these supplementary analyses strengthen the robustness of the main findings and provide additional evidence for the policy recommendations in</w:t>
      </w:r>
      <w:r>
        <w:t xml:space="preserve"> </w:t>
      </w:r>
      <w:hyperlink w:anchor="sec-conclusions">
        <w:r>
          <w:rPr>
            <w:rStyle w:val="Hyperlink"/>
          </w:rPr>
          <w:t xml:space="preserve">Chapter 20</w:t>
        </w:r>
      </w:hyperlink>
      <w:r>
        <w:t xml:space="preserve">.</w:t>
      </w:r>
    </w:p>
    <w:p>
      <w:r>
        <w:pict>
          <v:rect style="width:0;height:1.5pt" o:hralign="center" o:hrstd="t" o:hr="t"/>
        </w:pict>
      </w:r>
    </w:p>
    <w:bookmarkStart w:id="352" w:name="sec-learning"/>
    <w:p>
      <w:pPr>
        <w:pStyle w:val="Heading2"/>
      </w:pPr>
      <w:r>
        <w:t xml:space="preserve">23.1 C.1 Endogenous Learning Curves (P6)</w:t>
      </w:r>
    </w:p>
    <w:p>
      <w:pPr>
        <w:pStyle w:val="FirstParagraph"/>
      </w:pPr>
      <w:r>
        <w:t xml:space="preserve">Technology costs in the main CBA decline at exogenous rates — a fixed percentage per year that is independent of deployment volumes. While this is the standard approach in most energy planning models, it ignores the well-documented empirical regularity known as</w:t>
      </w:r>
      <w:r>
        <w:t xml:space="preserve"> </w:t>
      </w:r>
      <w:r>
        <w:rPr>
          <w:b/>
          <w:bCs/>
        </w:rPr>
        <w:t xml:space="preserve">Wright’s Law</w:t>
      </w:r>
      <w:r>
        <w:t xml:space="preserve">: the cost of a manufactured product declines by a predictable percentage each time cumulative production doubles. This section applies endogenous (deployment-driven) learning curves to solar PV and battery storage costs, testing whether the Maldives’ deployment volumes are large enough to meaningfully influence the cost trajectory.</w:t>
      </w:r>
    </w:p>
    <w:tbl>
      <w:tblPr>
        <w:tblStyle w:val="Table"/>
        <w:tblW w:type="pct" w:w="5000"/>
        <w:tblLayout w:type="fixed"/>
        <w:tblLook w:firstRow="0" w:lastRow="0" w:firstColumn="0" w:lastColumn="0" w:noHBand="0" w:noVBand="0" w:val="0000"/>
      </w:tblPr>
      <w:tblGrid>
        <w:gridCol w:w="7920"/>
      </w:tblGrid>
      <w:tr>
        <w:tc>
          <w:tcPr/>
          <w:bookmarkStart w:id="350" w:name="fig-learning-trajectory"/>
          <w:tbl>
            <w:tblPr>
              <w:tblStyle w:val="Table"/>
              <w:tblW w:type="pct" w:w="5000"/>
              <w:tblLayout w:type="fixed"/>
              <w:tblLook w:firstRow="0" w:lastRow="0" w:firstColumn="0" w:lastColumn="0" w:noHBand="0" w:noVBand="0" w:val="0000"/>
            </w:tblPr>
            <w:tblGrid>
              <w:gridCol w:w="7920"/>
            </w:tblGrid>
            <w:tr>
              <w:tc>
                <w:tcPr/>
                <w:bookmarkStart w:id="348" w:name="fig-learning-trajectory-1"/>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(a) Solar PV cost trajectory: exogenous vs. endogenous (Wright’s Law)</w:t>
                  </w:r>
                </w:p>
                <w:bookmarkEnd w:id="348"/>
              </w:tc>
            </w:tr>
          </w:tbl>
          <w:p>
            <w:pPr>
              <w:jc w:val="center"/>
            </w:pPr>
            <w:r>
              <w:t xml:space="preserve"> </w:t>
            </w:r>
          </w:p>
          <w:tbl>
            <w:tblPr>
              <w:tblStyle w:val="Table"/>
              <w:tblW w:type="pct" w:w="5000"/>
              <w:tblLayout w:type="fixed"/>
              <w:tblLook w:firstRow="0" w:lastRow="0" w:firstColumn="0" w:lastColumn="0" w:noHBand="0" w:noVBand="0" w:val="0000"/>
            </w:tblPr>
            <w:tblGrid>
              <w:gridCol w:w="7920"/>
            </w:tblGrid>
            <w:tr>
              <w:tc>
                <w:tcPr/>
                <w:bookmarkStart w:id="349" w:name="fig-learning-trajectory-2"/>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(b)</w:t>
                  </w:r>
                </w:p>
                <w:bookmarkEnd w:id="349"/>
              </w:tc>
            </w:tr>
          </w:tbl>
          <w:p>
            <w:pPr>
              <w:jc w:val="center"/>
            </w:pPr>
            <w:pPr>
              <w:jc w:val="start"/>
              <w:spacing w:before="200"/>
              <w:pStyle w:val="ImageCaption"/>
            </w:pPr>
            <w:r>
              <w:t xml:space="preserve">Figure 23.1</w:t>
            </w:r>
          </w:p>
          <w:bookmarkEnd w:id="350"/>
        </w:tc>
      </w:tr>
    </w:tbl>
    <w:p>
      <w:pPr>
        <w:pStyle w:val="BodyText"/>
      </w:pPr>
      <w:r>
        <w:rPr>
          <w:b/>
          <w:bCs/>
        </w:rPr>
        <w:t xml:space="preserve">Learning rates:</w:t>
      </w:r>
      <w:r>
        <w:t xml:space="preserve"> </w:t>
      </w:r>
      <w:r>
        <w:t xml:space="preserve">Solar PV 20% and battery 18% cost reduction per doubling of cumulative installed capacity, consistent with IRENA (2024) and BNEF (2025) global learning rate estimates.</w:t>
      </w:r>
    </w:p>
    <w:p>
      <w:pPr>
        <w:pStyle w:val="BodyText"/>
      </w:pPr>
      <w:hyperlink w:anchor="fig-learning-trajectory">
        <w:r>
          <w:rPr>
            <w:rStyle w:val="Hyperlink"/>
          </w:rPr>
          <w:t xml:space="preserve">Figure 23.1</w:t>
        </w:r>
      </w:hyperlink>
      <w:r>
        <w:t xml:space="preserve"> </w:t>
      </w:r>
      <w:r>
        <w:t xml:space="preserve">and</w:t>
      </w:r>
      <w:r>
        <w:t xml:space="preserve"> </w:t>
      </w:r>
      <w:hyperlink w:anchor="fig-learning-battery">
        <w:r>
          <w:rPr>
            <w:rStyle w:val="Hyperlink"/>
          </w:rPr>
          <w:t xml:space="preserve">Figure 23.2</w:t>
        </w:r>
      </w:hyperlink>
      <w:r>
        <w:t xml:space="preserve"> </w:t>
      </w:r>
      <w:r>
        <w:t xml:space="preserve">compare the exogenous and endogenous cost trajectories for solar PV and battery storage, respectively. The dashed grey line represents the main CBA’s assumption of a fixed annual cost decline, while the solid coloured line traces the endogenous trajectory implied by Wright’s Law applied to cumulative deployment. The divergence between the two curves reveals an important insight: because the Maldives is a small market (contributing a tiny fraction of global cumulative deployment), endogenous costs are actually</w:t>
      </w:r>
      <w:r>
        <w:t xml:space="preserve"> </w:t>
      </w:r>
      <w:r>
        <w:rPr>
          <w:i/>
          <w:iCs/>
        </w:rPr>
        <w:t xml:space="preserve">higher</w:t>
      </w:r>
      <w:r>
        <w:t xml:space="preserve"> </w:t>
      </w:r>
      <w:r>
        <w:t xml:space="preserve">than exogenous projections in the near term. The global learning curve is driven overwhelmingly by deployment in China, India, the United States, and Europe — the Maldives’ hundreds of megawatts are a rounding error in a global market deploying hundreds of gigawatts per year.</w:t>
      </w:r>
    </w:p>
    <w:p>
      <w:pPr>
        <w:pStyle w:val="BodyText"/>
      </w:pPr>
      <w:r>
        <w:t xml:space="preserve">However, the policy implication is unchanged: early deployment in the Maldives locks in the benefits of global learning by allowing the country to procure subsequent phases at costs that have been driven down by others’ deployment. The Maldives is a price-taker in global solar and battery markets, and delaying deployment merely delays access to these falling costs without influencing the learning trajectory. This finding reinforces the main CBA’s conclusion that early deployment is economically advantageous.</w:t>
      </w:r>
    </w:p>
    <w:tbl>
      <w:tblPr>
        <w:tblStyle w:val="Table"/>
        <w:tblW w:type="pct" w:w="5000"/>
        <w:tblLayout w:type="fixed"/>
        <w:tblLook w:firstRow="0" w:lastRow="0" w:firstColumn="0" w:lastColumn="0" w:noHBand="0" w:noVBand="0" w:val="0000"/>
      </w:tblPr>
      <w:tblGrid>
        <w:gridCol w:w="7920"/>
      </w:tblGrid>
      <w:tr>
        <w:tc>
          <w:tcPr/>
          <w:bookmarkStart w:id="351" w:name="fig-learning-battery"/>
          <w:p>
            <w:pPr>
              <w:pStyle w:val="SourceCode"/>
              <w:jc w:val="center"/>
            </w:pPr>
            <w:r>
              <w:rPr>
                <w:rStyle w:val="VerbatimChar"/>
              </w:rPr>
              <w:t xml:space="preserve">Unable to display output for mime type(s): text/html</w:t>
            </w:r>
          </w:p>
          <w:p>
            <w:pPr>
              <w:jc w:val="center"/>
            </w:pPr>
            <w:pPr>
              <w:jc w:val="start"/>
              <w:spacing w:before="200"/>
              <w:pStyle w:val="ImageCaption"/>
            </w:pPr>
            <w:r>
              <w:t xml:space="preserve">Figure 23.2: Battery cost trajectory: exogenous vs. endogenous</w:t>
            </w:r>
          </w:p>
          <w:bookmarkEnd w:id="351"/>
        </w:tc>
      </w:tr>
    </w:tbl>
    <w:p>
      <w:r>
        <w:pict>
          <v:rect style="width:0;height:1.5pt" o:hralign="center" o:hrstd="t" o:hr="t"/>
        </w:pict>
      </w:r>
    </w:p>
    <w:bookmarkEnd w:id="352"/>
    <w:bookmarkStart w:id="354" w:name="sec-climate"/>
    <w:p>
      <w:pPr>
        <w:pStyle w:val="Heading2"/>
      </w:pPr>
      <w:r>
        <w:t xml:space="preserve">23.2 C.2 Climate Damage Scenarios (P7)</w:t>
      </w:r>
    </w:p>
    <w:p>
      <w:pPr>
        <w:pStyle w:val="FirstParagraph"/>
      </w:pPr>
      <w:r>
        <w:t xml:space="preserve">Solar photovoltaic generation depends on two climate-sensitive variables: global horizontal irradiance (GHI), which determines how much sunlight reaches the panels, and ambient temperature, which affects cell efficiency through temperature derating. Climate change affects both variables simultaneously but in opposing directions — reduced irradiance lowers output while higher temperatures also reduce efficiency, creating a compounding negative effect. This section quantifies the magnitude of these effects under two IPCC Representative Concentration Pathways to assess whether climate change could undermine the solar energy transition case.</w:t>
      </w:r>
    </w:p>
    <w:p>
      <w:pPr>
        <w:pStyle w:val="BodyText"/>
      </w:pPr>
      <w:r>
        <w:rPr>
          <w:b/>
          <w:bCs/>
        </w:rPr>
        <w:t xml:space="preserve">Scenarios modelled: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Pathway</w:t>
            </w:r>
          </w:p>
        </w:tc>
        <w:tc>
          <w:tcPr/>
          <w:p>
            <w:pPr>
              <w:pStyle w:val="Compact"/>
            </w:pPr>
            <w:r>
              <w:t xml:space="preserve">GHI Change by 2050</w:t>
            </w:r>
          </w:p>
        </w:tc>
        <w:tc>
          <w:tcPr/>
          <w:p>
            <w:pPr>
              <w:pStyle w:val="Compact"/>
            </w:pPr>
            <w:r>
              <w:t xml:space="preserve">Temperature Increase</w:t>
            </w:r>
          </w:p>
        </w:tc>
        <w:tc>
          <w:tcPr/>
          <w:p>
            <w:pPr>
              <w:pStyle w:val="Compact"/>
            </w:pPr>
            <w:r>
              <w:t xml:space="preserve">Solar Output Impact</w:t>
            </w:r>
          </w:p>
        </w:tc>
      </w:tr>
      <w:tr>
        <w:tc>
          <w:tcPr/>
          <w:p>
            <w:pPr>
              <w:pStyle w:val="Compact"/>
            </w:pPr>
            <w:r>
              <w:t xml:space="preserve">Baseline</w:t>
            </w:r>
          </w:p>
        </w:tc>
        <w:tc>
          <w:tcPr/>
          <w:p>
            <w:pPr>
              <w:pStyle w:val="Compact"/>
            </w:pPr>
            <w:r>
              <w:t xml:space="preserve">No change</w:t>
            </w:r>
          </w:p>
        </w:tc>
        <w:tc>
          <w:tcPr/>
          <w:p>
            <w:pPr>
              <w:pStyle w:val="Compact"/>
            </w:pPr>
            <w:r>
              <w:t xml:space="preserve">+0.5°C (trend)</w:t>
            </w:r>
          </w:p>
        </w:tc>
        <w:tc>
          <w:tcPr/>
          <w:p>
            <w:pPr>
              <w:pStyle w:val="Compact"/>
            </w:pPr>
            <w:r>
              <w:t xml:space="preserve">Reference</w:t>
            </w:r>
          </w:p>
        </w:tc>
      </w:tr>
      <w:tr>
        <w:tc>
          <w:tcPr/>
          <w:p>
            <w:pPr>
              <w:pStyle w:val="Compact"/>
            </w:pPr>
            <w:r>
              <w:t xml:space="preserve">RCP 4.5</w:t>
            </w:r>
          </w:p>
        </w:tc>
        <w:tc>
          <w:tcPr/>
          <w:p>
            <w:pPr>
              <w:pStyle w:val="Compact"/>
            </w:pPr>
            <w:r>
              <w:t xml:space="preserve">-2%</w:t>
            </w:r>
          </w:p>
        </w:tc>
        <w:tc>
          <w:tcPr/>
          <w:p>
            <w:pPr>
              <w:pStyle w:val="Compact"/>
            </w:pPr>
            <w:r>
              <w:t xml:space="preserve">+1.5°C</w:t>
            </w:r>
          </w:p>
        </w:tc>
        <w:tc>
          <w:tcPr/>
          <w:p>
            <w:pPr>
              <w:pStyle w:val="Compact"/>
            </w:pPr>
            <w:r>
              <w:t xml:space="preserve">0.4% cumulative</w:t>
            </w:r>
          </w:p>
        </w:tc>
      </w:tr>
      <w:tr>
        <w:tc>
          <w:tcPr/>
          <w:p>
            <w:pPr>
              <w:pStyle w:val="Compact"/>
            </w:pPr>
            <w:r>
              <w:t xml:space="preserve">RCP 8.5</w:t>
            </w:r>
          </w:p>
        </w:tc>
        <w:tc>
          <w:tcPr/>
          <w:p>
            <w:pPr>
              <w:pStyle w:val="Compact"/>
            </w:pPr>
            <w:r>
              <w:t xml:space="preserve">-5%</w:t>
            </w:r>
          </w:p>
        </w:tc>
        <w:tc>
          <w:tcPr/>
          <w:p>
            <w:pPr>
              <w:pStyle w:val="Compact"/>
            </w:pPr>
            <w:r>
              <w:t xml:space="preserve">+3.0°C</w:t>
            </w:r>
          </w:p>
        </w:tc>
        <w:tc>
          <w:tcPr/>
          <w:p>
            <w:pPr>
              <w:pStyle w:val="Compact"/>
            </w:pPr>
            <w:r>
              <w:t xml:space="preserve">0.8% cumulative</w:t>
            </w:r>
          </w:p>
        </w:tc>
      </w:tr>
    </w:tbl>
    <w:tbl>
      <w:tblPr>
        <w:tblStyle w:val="Table"/>
        <w:tblW w:type="pct" w:w="5000"/>
        <w:tblLayout w:type="fixed"/>
        <w:tblLook w:firstRow="0" w:lastRow="0" w:firstColumn="0" w:lastColumn="0" w:noHBand="0" w:noVBand="0" w:val="0000"/>
      </w:tblPr>
      <w:tblGrid>
        <w:gridCol w:w="7920"/>
      </w:tblGrid>
      <w:tr>
        <w:tc>
          <w:tcPr/>
          <w:bookmarkStart w:id="353" w:name="fig-climate-trajectory"/>
          <w:p>
            <w:pPr>
              <w:pStyle w:val="SourceCode"/>
              <w:jc w:val="center"/>
            </w:pPr>
            <w:r>
              <w:rPr>
                <w:rStyle w:val="VerbatimChar"/>
              </w:rPr>
              <w:t xml:space="preserve">Unable to display output for mime type(s): text/html</w:t>
            </w:r>
          </w:p>
          <w:p>
            <w:pPr>
              <w:jc w:val="center"/>
            </w:pPr>
            <w:pPr>
              <w:jc w:val="start"/>
              <w:spacing w:before="200"/>
              <w:pStyle w:val="ImageCaption"/>
            </w:pPr>
            <w:r>
              <w:t xml:space="preserve">Figure 23.3: Solar generation under climate scenarios</w:t>
            </w:r>
          </w:p>
          <w:bookmarkEnd w:id="353"/>
        </w:tc>
      </w:tr>
    </w:tbl>
    <w:p>
      <w:pPr>
        <w:pStyle w:val="BodyText"/>
      </w:pPr>
      <w:hyperlink w:anchor="fig-climate-trajectory">
        <w:r>
          <w:rPr>
            <w:rStyle w:val="Hyperlink"/>
          </w:rPr>
          <w:t xml:space="preserve">Figure 23.3</w:t>
        </w:r>
      </w:hyperlink>
      <w:r>
        <w:t xml:space="preserve"> </w:t>
      </w:r>
      <w:r>
        <w:t xml:space="preserve">shows the solar generation trajectories under the three climate scenarios. The baseline (green) represents generation without climate change impacts beyond the temperature derating already embedded in the main model. RCP 4.5 (orange) represents a moderate climate pathway with global warming held to approximately two degrees Celsius by 2100, while RCP 8.5 (red, dashed) represents a high-emissions pathway with substantially greater warming.</w:t>
      </w:r>
    </w:p>
    <w:p>
      <w:pPr>
        <w:pStyle w:val="BodyText"/>
      </w:pPr>
      <w:r>
        <w:t xml:space="preserve">The central finding is reassuring for policymakers: solar energy is robust to climate change. Even under the pessimistic RCP 8.5 scenario, the cumulative generation loss over thirty years is less than one percent. The temperature derating effect (higher ambient temperatures reduce panel efficiency through increased cell temperature) is real but modest in magnitude, and it is partially offset by the fact that panel degradation — already modelled in the main CBA at 0.5% per year — accounts for a much larger source of output decline than climate change. The 7.5% climate adaptation premium embedded in CAPEX estimates across the main CBA more than compensates for any climate-driven output reduction, providing a substantial buffer for infrastructure hardening against extreme weather events that are not captured in the GHI and temperature projections.</w:t>
      </w:r>
    </w:p>
    <w:p>
      <w:r>
        <w:pict>
          <v:rect style="width:0;height:1.5pt" o:hralign="center" o:hrstd="t" o:hr="t"/>
        </w:pict>
      </w:r>
    </w:p>
    <w:bookmarkEnd w:id="354"/>
    <w:bookmarkStart w:id="356" w:name="sec-transport"/>
    <w:p>
      <w:pPr>
        <w:pStyle w:val="Heading2"/>
      </w:pPr>
      <w:r>
        <w:t xml:space="preserve">23.3 C.3 Transport Electrification (P8)</w:t>
      </w:r>
    </w:p>
    <w:p>
      <w:pPr>
        <w:pStyle w:val="FirstParagraph"/>
      </w:pPr>
      <w:r>
        <w:t xml:space="preserve">This supplementary module analyses the electrification of the Maldives’ land transport fleet as an adjacent benefit of grid decarbonisation. Transport electrification is treated separately from the electricity CBA because it depends on vehicle fleet turnover dynamics, consumer adoption behaviour, and fuel pricing decisions that are largely independent of the utility-sector planning addressed in the main analysis. Nevertheless, the synergy between the two sectors is significant: electric vehicles charged from a decarbonised grid deliver both transport emissions reductions and electricity demand growth that improves the utilisation of renewable energy assets.</w:t>
      </w:r>
    </w:p>
    <w:p>
      <w:pPr>
        <w:pStyle w:val="BodyText"/>
      </w:pPr>
      <w:r>
        <w:rPr>
          <w:b/>
          <w:bCs/>
        </w:rPr>
        <w:t xml:space="preserve">Fleet:</w:t>
      </w:r>
      <w:r>
        <w:t xml:space="preserve"> </w:t>
      </w:r>
      <w:r>
        <w:t xml:space="preserve">131,000 registered vehicles, 92% motorcycles.</w:t>
      </w:r>
    </w:p>
    <w:p>
      <w:pPr>
        <w:pStyle w:val="BodyText"/>
      </w:pPr>
      <w:r>
        <w:rPr>
          <w:b/>
          <w:bCs/>
        </w:rPr>
        <w:t xml:space="preserve">Adoption model:</w:t>
      </w:r>
      <w:r>
        <w:t xml:space="preserve"> </w:t>
      </w:r>
      <w:r>
        <w:t xml:space="preserve">Logistic S-curve with three scenarios:</w:t>
      </w:r>
    </w:p>
    <w:tbl>
      <w:tblPr>
        <w:tblStyle w:val="Table"/>
        <w:tblW w:type="pct" w:w="5000"/>
        <w:tblLayout w:type="fixed"/>
        <w:tblLook w:firstRow="0" w:lastRow="0" w:firstColumn="0" w:lastColumn="0" w:noHBand="0" w:noVBand="0" w:val="0000"/>
      </w:tblPr>
      <w:tblGrid>
        <w:gridCol w:w="7920"/>
      </w:tblGrid>
      <w:tr>
        <w:tc>
          <w:tcPr/>
          <w:bookmarkStart w:id="355" w:name="fig-ev-adoption"/>
          <w:p>
            <w:pPr>
              <w:pStyle w:val="SourceCode"/>
              <w:jc w:val="center"/>
            </w:pPr>
            <w:r>
              <w:rPr>
                <w:rStyle w:val="VerbatimChar"/>
              </w:rPr>
              <w:t xml:space="preserve">Unable to display output for mime type(s): text/html</w:t>
            </w:r>
          </w:p>
          <w:p>
            <w:pPr>
              <w:jc w:val="center"/>
            </w:pPr>
            <w:pPr>
              <w:jc w:val="start"/>
              <w:spacing w:before="200"/>
              <w:pStyle w:val="ImageCaption"/>
            </w:pPr>
            <w:r>
              <w:t xml:space="preserve">Figure 23.4: EV adoption curves by scenario</w:t>
            </w:r>
          </w:p>
          <w:bookmarkEnd w:id="355"/>
        </w:tc>
      </w:tr>
    </w:tbl>
    <w:p>
      <w:pPr>
        <w:pStyle w:val="BodyText"/>
      </w:pPr>
      <w:hyperlink w:anchor="fig-ev-adoption">
        <w:r>
          <w:rPr>
            <w:rStyle w:val="Hyperlink"/>
          </w:rPr>
          <w:t xml:space="preserve">Figure 23.4</w:t>
        </w:r>
      </w:hyperlink>
      <w:r>
        <w:t xml:space="preserve"> </w:t>
      </w:r>
      <w:r>
        <w:t xml:space="preserve">illustrates the three logistic S-curve adoption scenarios. The S-curve shape reflects the typical pattern of technology diffusion: slow initial adoption as early adopters take up the technology, rapid acceleration as costs fall and charging infrastructure expands, and eventual saturation as the remaining fleet turns over naturally. The three scenarios bracket a wide range of policy ambition, from minimal intervention (low) to aggressive incentives and infrastructure investment (high).</w:t>
      </w:r>
    </w:p>
    <w:p>
      <w:pPr>
        <w:pStyle w:val="BodyText"/>
      </w:pPr>
      <w:r>
        <w:t xml:space="preserve">The transport scenarios table above shows that even the medium adoption scenario generates substantial economic benefits. The positive NPV and BCR above one indicate that transport electrification is economically worthwhile in its own right, independent of the electricity sector transition — although the benefits are substantially larger when EVs are charged from renewable rather than diesel electricity. The CO₂ savings reflect the combined effect of more efficient electric drivetrains (which use approximately three to four times less energy per kilometre than internal combustion engines) and cleaner electricity generation. The health co-benefits from reduced urban air pollution — particularly important on the densely populated islands of Greater Malé — are captured in the NPV through the same health damage valuation methodology used in the main electricity CBA.</w:t>
      </w:r>
    </w:p>
    <w:p>
      <w:pPr>
        <w:pStyle w:val="BodyText"/>
      </w:pPr>
      <w:r>
        <w:t xml:space="preserve">The fundamental insight is one of cross-sectoral synergy: electricity decarbonisation and transport electrification are mutually reinforcing. A decarbonised grid makes EV adoption more environmentally beneficial, while EV adoption increases electricity demand and improves the utilisation of renewable energy assets, potentially shifting demand to periods of peak solar generation through smart charging. This</w:t>
      </w:r>
      <w:r>
        <w:t xml:space="preserve"> </w:t>
      </w:r>
      <w:r>
        <w:t xml:space="preserve">“double decarbonisation dividend”</w:t>
      </w:r>
      <w:r>
        <w:t xml:space="preserve"> </w:t>
      </w:r>
      <w:r>
        <w:t xml:space="preserve">strengthens the economic case for both transitions and argues for coordinated rather than siloed policy planning.</w:t>
      </w:r>
    </w:p>
    <w:p>
      <w:r>
        <w:pict>
          <v:rect style="width:0;height:1.5pt" o:hralign="center" o:hrstd="t" o:hr="t"/>
        </w:pict>
      </w:r>
    </w:p>
    <w:bookmarkEnd w:id="356"/>
    <w:bookmarkStart w:id="360" w:name="sec-real-options"/>
    <w:p>
      <w:pPr>
        <w:pStyle w:val="Heading2"/>
      </w:pPr>
      <w:r>
        <w:t xml:space="preserve">23.4 C.4 Real Options Analysis</w:t>
      </w:r>
    </w:p>
    <w:p>
      <w:pPr>
        <w:pStyle w:val="FirstParagraph"/>
      </w:pPr>
      <w:r>
        <w:t xml:space="preserve">Standard NPV analysis treats each investment decision as a</w:t>
      </w:r>
      <w:r>
        <w:t xml:space="preserve"> </w:t>
      </w:r>
      <w:r>
        <w:t xml:space="preserve">“now-or-never”</w:t>
      </w:r>
      <w:r>
        <w:t xml:space="preserve"> </w:t>
      </w:r>
      <w:r>
        <w:t xml:space="preserve">proposition: the project is either undertaken immediately at today’s estimated costs, or it is foregone entirely. Real options theory, as developed by Dixit and Pindyck (1994), recognises that this framing ignores a valuable asset that decision-makers actually possess — the ability to</w:t>
      </w:r>
      <w:r>
        <w:t xml:space="preserve"> </w:t>
      </w:r>
      <w:r>
        <w:rPr>
          <w:b/>
          <w:bCs/>
        </w:rPr>
        <w:t xml:space="preserve">wait and learn</w:t>
      </w:r>
      <w:r>
        <w:t xml:space="preserve"> </w:t>
      </w:r>
      <w:r>
        <w:t xml:space="preserve">before committing irreversible capital. This option to wait has quantifiable economic value when three conditions hold simultaneously: the investment is substantially irreversible, the future is genuinely uncertain, and the decision can be deferred without prohibitive cost. All three conditions apply to the India submarine cable.</w:t>
      </w:r>
    </w:p>
    <w:bookmarkStart w:id="357" w:name="option-value-of-waiting"/>
    <w:p>
      <w:pPr>
        <w:pStyle w:val="Heading3"/>
      </w:pPr>
      <w:r>
        <w:t xml:space="preserve">23.4.1 Option Value of Waiting</w:t>
      </w:r>
    </w:p>
    <w:p>
      <w:pPr>
        <w:pStyle w:val="FirstParagraph"/>
      </w:pPr>
      <w:r>
        <w:t xml:space="preserve">A submarine cable, once laid, cannot be redeployed to another location or repurposed for another function. The two-and-a-half billion dollars committed to the cable is effectively sunk from the moment construction begins. Meanwhile, the key determinants of the cable’s value — battery storage costs, India’s electricity export capacity and willingness, bilateral political relations, and the Maldives’ own renewable energy performance — are all evolving rapidly and will be substantially clearer five to ten years from now than they are today.</w:t>
      </w:r>
    </w:p>
    <w:p>
      <w:pPr>
        <w:pStyle w:val="BodyText"/>
      </w:pPr>
      <w:r>
        <w:t xml:space="preserve">The cable’s marginal BCR versus domestic renewable energy is below one, meaning that the additional investment beyond what a domestic renewable energy pathway would require does not generate commensurate additional benefits at current cost estimates. Each year of delay resolves additional uncertainty: battery costs decline at eighteen percent per capacity doubling (Wright’s Law), revealing whether domestic storage can substitute for imported baseload power; India’s export policies and grid composition become clearer; and the Maldives’ own renewable energy deployment generates performance data that reduces projection uncertainty.</w:t>
      </w:r>
    </w:p>
    <w:p>
      <w:pPr>
        <w:pStyle w:val="BodyText"/>
      </w:pPr>
      <w:r>
        <w:t xml:space="preserve">The cost of delay is the foregone cable benefits — approximately one hundred and fifty to two hundred million dollars per year in fuel savings that could have been captured earlier. But these foregone benefits are substantially offset by the fuel savings captured through domestic renewable energy deployment, which can proceed in parallel with the cable deferral and which the model shows to be highly cost-effective in its own right.</w:t>
      </w:r>
    </w:p>
    <w:bookmarkEnd w:id="357"/>
    <w:bookmarkStart w:id="358" w:name="staging-strategy"/>
    <w:p>
      <w:pPr>
        <w:pStyle w:val="Heading3"/>
      </w:pPr>
      <w:r>
        <w:t xml:space="preserve">23.4.2 Staging Strategy</w:t>
      </w:r>
    </w:p>
    <w:p>
      <w:pPr>
        <w:pStyle w:val="FirstParagraph"/>
      </w:pPr>
      <w:r>
        <w:t xml:space="preserve">Rather than a binary invest-or-abandon decision, the real options framework recommends a staged approach that preserves flexibility while capturing immediate value. The first phase (2026–2030) deploys outer-island solar-battery systems, which capture approximately sixty percent of total available fuel savings without any international infrastructure commitment. The second phase (2030–2035) commissions a detailed cable feasibility study while monitoring battery cost trajectories and bilateral diplomatic progress. The critical decision point arrives around 2035, by which time the government will have sufficient information to make a well-informed commitment. If battery costs have fallen faster than expected, domestic renewable energy dominates and the cable is unnecessary. If battery cost declines have stalled or demand growth has exceeded projections, the cable becomes the marginal investment worth pursuing.</w:t>
      </w:r>
    </w:p>
    <w:bookmarkEnd w:id="358"/>
    <w:bookmarkStart w:id="359" w:name="implications-for-scenario-ranking"/>
    <w:p>
      <w:pPr>
        <w:pStyle w:val="Heading3"/>
      </w:pPr>
      <w:r>
        <w:t xml:space="preserve">23.4.3 Implications for Scenario Ranking</w:t>
      </w:r>
    </w:p>
    <w:p>
      <w:pPr>
        <w:pStyle w:val="FirstParagraph"/>
      </w:pPr>
      <w:r>
        <w:t xml:space="preserve">The real options perspective strengthens the case for S3 (National Grid) and S4 (Islanded Green), both of which preserve maximum future flexibility by avoiding large irreversible commitments to international infrastructure. S2 (Full Integration) requires the largest irreversible commitment earliest and therefore carries the highest opportunity cost of premature commitment. The option value of waiting is estimated at two hundred to five hundred million dollars — three to eight percent of cable CAPEX — depending on assumed cost volatility, a significant sum that standard NPV analysis entirely overlooks.</w:t>
      </w:r>
    </w:p>
    <w:p>
      <w:r>
        <w:pict>
          <v:rect style="width:0;height:1.5pt" o:hralign="center" o:hrstd="t" o:hr="t"/>
        </w:pict>
      </w:r>
    </w:p>
    <w:bookmarkEnd w:id="359"/>
    <w:bookmarkEnd w:id="360"/>
    <w:bookmarkStart w:id="417" w:name="sec-benchmarks"/>
    <w:p>
      <w:pPr>
        <w:pStyle w:val="Heading2"/>
      </w:pPr>
      <w:r>
        <w:t xml:space="preserve">23.5 C.5 International Benchmarking</w:t>
      </w:r>
    </w:p>
    <w:p>
      <w:pPr>
        <w:pStyle w:val="FirstParagraph"/>
      </w:pPr>
      <w:r>
        <w:t xml:space="preserve">Situating this study within the broader landscape of published SIDS energy analyses serves two purposes. First, it validates the model’s parameter choices and methodological framework against established practice, ensuring that the analysis is neither an outlier nor methodologically idiosyncratic. Second, it identifies where this study advances beyond existing work, contributing to the global evidence base that informs energy transition policy in small island developing states. The following table summarises ten published studies against which this analysis is benchmarked.</w:t>
      </w:r>
    </w:p>
    <w:tbl>
      <w:tblPr>
        <w:tblStyle w:val="Table"/>
        <w:tblW w:type="pct" w:w="5000"/>
        <w:tblLayout w:type="fixed"/>
        <w:tblLook w:firstRow="0" w:lastRow="0" w:firstColumn="0" w:lastColumn="0" w:noHBand="0" w:noVBand="0" w:val="0000"/>
      </w:tblPr>
      <w:tblGrid>
        <w:gridCol w:w="7920"/>
      </w:tblGrid>
      <w:tr>
        <w:tc>
          <w:tcPr/>
          <w:bookmarkStart w:id="361" w:name="tbl-benchmarks"/>
          <w:p>
            <w:pPr>
              <w:jc w:val="center"/>
            </w:pPr>
            <w:pPr>
              <w:jc w:val="start"/>
              <w:spacing w:before="200"/>
              <w:pStyle w:val="ImageCaption"/>
            </w:pPr>
            <w:r>
              <w:t xml:space="preserve">Table 23.1: Comparison with published SIDS energy studies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Study</w:t>
                  </w:r>
                </w:p>
              </w:tc>
              <w:tc>
                <w:tcPr/>
                <w:p>
                  <w:pPr>
                    <w:pStyle w:val="Compact"/>
                    <w:jc w:val="center"/>
                  </w:pPr>
                  <w:r>
                    <w:t xml:space="preserve">Region</w:t>
                  </w:r>
                </w:p>
              </w:tc>
              <w:tc>
                <w:tcPr/>
                <w:p>
                  <w:pPr>
                    <w:pStyle w:val="Compact"/>
                    <w:jc w:val="center"/>
                  </w:pPr>
                  <w:r>
                    <w:t xml:space="preserve">Discount Rate</w:t>
                  </w:r>
                </w:p>
              </w:tc>
              <w:tc>
                <w:tcPr/>
                <w:p>
                  <w:pPr>
                    <w:pStyle w:val="Compact"/>
                    <w:jc w:val="center"/>
                  </w:pPr>
                  <w:r>
                    <w:t xml:space="preserve">Solar CAPEX</w:t>
                  </w:r>
                </w:p>
              </w:tc>
              <w:tc>
                <w:tcPr/>
                <w:p>
                  <w:pPr>
                    <w:pStyle w:val="Compact"/>
                    <w:jc w:val="center"/>
                  </w:pPr>
                  <w:r>
                    <w:t xml:space="preserve">LCOE Range</w:t>
                  </w:r>
                </w:p>
              </w:tc>
              <w:tc>
                <w:tcPr/>
                <w:p>
                  <w:pPr>
                    <w:pStyle w:val="Compact"/>
                    <w:jc w:val="center"/>
                  </w:pPr>
                  <w:r>
                    <w:t xml:space="preserve">Sensitivity</w:t>
                  </w:r>
                </w:p>
              </w:tc>
            </w:tr>
            <w:tr>
              <w:tc>
                <w:tcPr/>
                <w:p>
                  <w:pPr>
                    <w:pStyle w:val="Compact"/>
                    <w:jc w:val="center"/>
                  </w:pPr>
                  <w:r>
                    <w:t xml:space="preserve">Dornan &amp; Jotzo (2015)</w:t>
                  </w:r>
                </w:p>
              </w:tc>
              <w:tc>
                <w:tcPr/>
                <w:p>
                  <w:pPr>
                    <w:pStyle w:val="Compact"/>
                    <w:jc w:val="center"/>
                  </w:pPr>
                  <w:r>
                    <w:t xml:space="preserve">Fiji</w:t>
                  </w:r>
                </w:p>
              </w:tc>
              <w:tc>
                <w:tcPr/>
                <w:p>
                  <w:pPr>
                    <w:pStyle w:val="Compact"/>
                    <w:jc w:val="center"/>
                  </w:pPr>
                  <w:r>
                    <w:t xml:space="preserve">10%</w:t>
                  </w:r>
                </w:p>
              </w:tc>
              <w:tc>
                <w:tcPr/>
                <w:p>
                  <w:pPr>
                    <w:pStyle w:val="Compact"/>
                    <w:jc w:val="center"/>
                  </w:pPr>
                  <w:r>
                    <w:t xml:space="preserve">n/a</w:t>
                  </w:r>
                </w:p>
              </w:tc>
              <w:tc>
                <w:tcPr/>
                <w:p>
                  <w:pPr>
                    <w:pStyle w:val="Compact"/>
                    <w:jc w:val="center"/>
                  </w:pPr>
                  <w:r>
                    <w:t xml:space="preserve">Fig-based</w:t>
                  </w:r>
                </w:p>
              </w:tc>
              <w:tc>
                <w:tcPr/>
                <w:p>
                  <w:pPr>
                    <w:pStyle w:val="Compact"/>
                    <w:jc w:val="center"/>
                  </w:pPr>
                  <w:r>
                    <w:t xml:space="preserve">Monte Carlo portfolio</w:t>
                  </w:r>
                </w:p>
              </w:tc>
            </w:tr>
            <w:tr>
              <w:tc>
                <w:tcPr/>
                <w:p>
                  <w:pPr>
                    <w:pStyle w:val="Compact"/>
                    <w:jc w:val="center"/>
                  </w:pPr>
                  <w:r>
                    <w:t xml:space="preserve">Timilsina &amp; Shah (2016)</w:t>
                  </w:r>
                </w:p>
              </w:tc>
              <w:tc>
                <w:tcPr/>
                <w:p>
                  <w:pPr>
                    <w:pStyle w:val="Compact"/>
                    <w:jc w:val="center"/>
                  </w:pPr>
                  <w:r>
                    <w:t xml:space="preserve">38 SIDS</w:t>
                  </w:r>
                </w:p>
              </w:tc>
              <w:tc>
                <w:tcPr/>
                <w:p>
                  <w:pPr>
                    <w:pStyle w:val="Compact"/>
                    <w:jc w:val="center"/>
                  </w:pPr>
                  <w:r>
                    <w:t xml:space="preserve">—</w:t>
                  </w:r>
                </w:p>
              </w:tc>
              <w:tc>
                <w:tcPr/>
                <w:p>
                  <w:pPr>
                    <w:pStyle w:val="Compact"/>
                    <w:jc w:val="center"/>
                  </w:pPr>
                  <w:r>
                    <w:t xml:space="preserve">Policy review</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Blechinger et al. (2016)</w:t>
                  </w:r>
                </w:p>
              </w:tc>
              <w:tc>
                <w:tcPr/>
                <w:p>
                  <w:pPr>
                    <w:pStyle w:val="Compact"/>
                    <w:jc w:val="center"/>
                  </w:pPr>
                  <w:r>
                    <w:t xml:space="preserve">Philippines</w:t>
                  </w:r>
                </w:p>
              </w:tc>
              <w:tc>
                <w:tcPr/>
                <w:p>
                  <w:pPr>
                    <w:pStyle w:val="Compact"/>
                    <w:jc w:val="center"/>
                  </w:pPr>
                  <w:r>
                    <w:t xml:space="preserve">6%</w:t>
                  </w:r>
                </w:p>
              </w:tc>
              <w:tc>
                <w:tcPr/>
                <w:p>
                  <w:pPr>
                    <w:pStyle w:val="Compact"/>
                    <w:jc w:val="center"/>
                  </w:pPr>
                  <w:r>
                    <w:t xml:space="preserve">$1,500–2,500</w:t>
                  </w:r>
                </w:p>
              </w:tc>
              <w:tc>
                <w:tcPr/>
                <w:p>
                  <w:pPr>
                    <w:pStyle w:val="Compact"/>
                    <w:jc w:val="center"/>
                  </w:pPr>
                  <w:r>
                    <w:t xml:space="preserve">$0.30–0.60</w:t>
                  </w:r>
                </w:p>
              </w:tc>
              <w:tc>
                <w:tcPr/>
                <w:p>
                  <w:pPr>
                    <w:pStyle w:val="Compact"/>
                    <w:jc w:val="center"/>
                  </w:pPr>
                  <w:r>
                    <w:t xml:space="preserve">One-way</w:t>
                  </w:r>
                </w:p>
              </w:tc>
            </w:tr>
            <w:tr>
              <w:tc>
                <w:tcPr/>
                <w:p>
                  <w:pPr>
                    <w:pStyle w:val="Compact"/>
                    <w:jc w:val="center"/>
                  </w:pPr>
                  <w:r>
                    <w:t xml:space="preserve">Aderinto &amp; Li (2020)</w:t>
                  </w:r>
                </w:p>
              </w:tc>
              <w:tc>
                <w:tcPr/>
                <w:p>
                  <w:pPr>
                    <w:pStyle w:val="Compact"/>
                    <w:jc w:val="center"/>
                  </w:pPr>
                  <w:r>
                    <w:t xml:space="preserve">General SIDS</w:t>
                  </w:r>
                </w:p>
              </w:tc>
              <w:tc>
                <w:tcPr/>
                <w:p>
                  <w:pPr>
                    <w:pStyle w:val="Compact"/>
                    <w:jc w:val="center"/>
                  </w:pPr>
                  <w:r>
                    <w:t xml:space="preserve">—</w:t>
                  </w:r>
                </w:p>
              </w:tc>
              <w:tc>
                <w:tcPr/>
                <w:p>
                  <w:pPr>
                    <w:pStyle w:val="Compact"/>
                    <w:jc w:val="center"/>
                  </w:pPr>
                  <w:r>
                    <w:t xml:space="preserve">$1,200–2,000</w:t>
                  </w:r>
                </w:p>
              </w:tc>
              <w:tc>
                <w:tcPr/>
                <w:p>
                  <w:pPr>
                    <w:pStyle w:val="Compact"/>
                    <w:jc w:val="center"/>
                  </w:pPr>
                  <w:r>
                    <w:t xml:space="preserve">$0.20–0.45</w:t>
                  </w:r>
                </w:p>
              </w:tc>
              <w:tc>
                <w:tcPr/>
                <w:p>
                  <w:pPr>
                    <w:pStyle w:val="Compact"/>
                    <w:jc w:val="center"/>
                  </w:pPr>
                  <w:r>
                    <w:t xml:space="preserve">—</w:t>
                  </w:r>
                </w:p>
              </w:tc>
            </w:tr>
            <w:tr>
              <w:tc>
                <w:tcPr/>
                <w:p>
                  <w:pPr>
                    <w:pStyle w:val="Compact"/>
                    <w:jc w:val="center"/>
                  </w:pPr>
                  <w:r>
                    <w:t xml:space="preserve">Lucas et al. (2017)</w:t>
                  </w:r>
                </w:p>
              </w:tc>
              <w:tc>
                <w:tcPr/>
                <w:p>
                  <w:pPr>
                    <w:pStyle w:val="Compact"/>
                    <w:jc w:val="center"/>
                  </w:pPr>
                  <w:r>
                    <w:t xml:space="preserve">São Tomé</w:t>
                  </w:r>
                </w:p>
              </w:tc>
              <w:tc>
                <w:tcPr/>
                <w:p>
                  <w:pPr>
                    <w:pStyle w:val="Compact"/>
                    <w:jc w:val="center"/>
                  </w:pPr>
                  <w:r>
                    <w:t xml:space="preserve">3–10%</w:t>
                  </w:r>
                </w:p>
              </w:tc>
              <w:tc>
                <w:tcPr/>
                <w:p>
                  <w:pPr>
                    <w:pStyle w:val="Compact"/>
                    <w:jc w:val="center"/>
                  </w:pPr>
                  <w:r>
                    <w:t xml:space="preserve">$1,800</w:t>
                  </w:r>
                </w:p>
              </w:tc>
              <w:tc>
                <w:tcPr/>
                <w:p>
                  <w:pPr>
                    <w:pStyle w:val="Compact"/>
                    <w:jc w:val="center"/>
                  </w:pPr>
                  <w:r>
                    <w:t xml:space="preserve">$0.25–0.40</w:t>
                  </w:r>
                </w:p>
              </w:tc>
              <w:tc>
                <w:tcPr/>
                <w:p>
                  <w:pPr>
                    <w:pStyle w:val="Compact"/>
                    <w:jc w:val="center"/>
                  </w:pPr>
                  <w:r>
                    <w:t xml:space="preserve">Scenario-based</w:t>
                  </w:r>
                </w:p>
              </w:tc>
            </w:tr>
            <w:tr>
              <w:tc>
                <w:tcPr/>
                <w:p>
                  <w:pPr>
                    <w:pStyle w:val="Compact"/>
                    <w:jc w:val="center"/>
                  </w:pPr>
                  <w:r>
                    <w:t xml:space="preserve">Surroop et al. (2018)</w:t>
                  </w:r>
                </w:p>
              </w:tc>
              <w:tc>
                <w:tcPr/>
                <w:p>
                  <w:pPr>
                    <w:pStyle w:val="Compact"/>
                    <w:jc w:val="center"/>
                  </w:pPr>
                  <w:r>
                    <w:t xml:space="preserve">Mauritius</w:t>
                  </w:r>
                </w:p>
              </w:tc>
              <w:tc>
                <w:tcPr/>
                <w:p>
                  <w:pPr>
                    <w:pStyle w:val="Compact"/>
                    <w:jc w:val="center"/>
                  </w:pPr>
                  <w:r>
                    <w:t xml:space="preserve">6–12%</w:t>
                  </w:r>
                </w:p>
              </w:tc>
              <w:tc>
                <w:tcPr/>
                <w:p>
                  <w:pPr>
                    <w:pStyle w:val="Compact"/>
                    <w:jc w:val="center"/>
                  </w:pPr>
                  <w:r>
                    <w:t xml:space="preserve">$1,600</w:t>
                  </w:r>
                </w:p>
              </w:tc>
              <w:tc>
                <w:tcPr/>
                <w:p>
                  <w:pPr>
                    <w:pStyle w:val="Compact"/>
                    <w:jc w:val="center"/>
                  </w:pPr>
                  <w:r>
                    <w:t xml:space="preserve">$0.15–0.30</w:t>
                  </w:r>
                </w:p>
              </w:tc>
              <w:tc>
                <w:tcPr/>
                <w:p>
                  <w:pPr>
                    <w:pStyle w:val="Compact"/>
                    <w:jc w:val="center"/>
                  </w:pPr>
                  <w:r>
                    <w:t xml:space="preserve">One-way</w:t>
                  </w:r>
                </w:p>
              </w:tc>
            </w:tr>
            <w:tr>
              <w:tc>
                <w:tcPr/>
                <w:p>
                  <w:pPr>
                    <w:pStyle w:val="Compact"/>
                    <w:jc w:val="center"/>
                  </w:pPr>
                  <w:r>
                    <w:t xml:space="preserve">Meschede et al. (2019)</w:t>
                  </w:r>
                </w:p>
              </w:tc>
              <w:tc>
                <w:tcPr/>
                <w:p>
                  <w:pPr>
                    <w:pStyle w:val="Compact"/>
                    <w:jc w:val="center"/>
                  </w:pPr>
                  <w:r>
                    <w:t xml:space="preserve">Multiple SIDS</w:t>
                  </w:r>
                </w:p>
              </w:tc>
              <w:tc>
                <w:tcPr/>
                <w:p>
                  <w:pPr>
                    <w:pStyle w:val="Compact"/>
                    <w:jc w:val="center"/>
                  </w:pPr>
                  <w:r>
                    <w:t xml:space="preserve">8%</w:t>
                  </w:r>
                </w:p>
              </w:tc>
              <w:tc>
                <w:tcPr/>
                <w:p>
                  <w:pPr>
                    <w:pStyle w:val="Compact"/>
                    <w:jc w:val="center"/>
                  </w:pPr>
                  <w:r>
                    <w:t xml:space="preserve">$1,400–2,200</w:t>
                  </w:r>
                </w:p>
              </w:tc>
              <w:tc>
                <w:tcPr/>
                <w:p>
                  <w:pPr>
                    <w:pStyle w:val="Compact"/>
                    <w:jc w:val="center"/>
                  </w:pPr>
                  <w:r>
                    <w:t xml:space="preserve">$0.25–0.55</w:t>
                  </w:r>
                </w:p>
              </w:tc>
              <w:tc>
                <w:tcPr/>
                <w:p>
                  <w:pPr>
                    <w:pStyle w:val="Compact"/>
                    <w:jc w:val="center"/>
                  </w:pPr>
                  <w:r>
                    <w:t xml:space="preserve">—</w:t>
                  </w:r>
                </w:p>
              </w:tc>
            </w:tr>
            <w:tr>
              <w:tc>
                <w:tcPr/>
                <w:p>
                  <w:pPr>
                    <w:pStyle w:val="Compact"/>
                    <w:jc w:val="center"/>
                  </w:pPr>
                  <w:r>
                    <w:t xml:space="preserve">GIZ (2021)</w:t>
                  </w:r>
                </w:p>
              </w:tc>
              <w:tc>
                <w:tcPr/>
                <w:p>
                  <w:pPr>
                    <w:pStyle w:val="Compact"/>
                    <w:jc w:val="center"/>
                  </w:pPr>
                  <w:r>
                    <w:t xml:space="preserve">Pacific SIDS</w:t>
                  </w:r>
                </w:p>
              </w:tc>
              <w:tc>
                <w:tcPr/>
                <w:p>
                  <w:pPr>
                    <w:pStyle w:val="Compact"/>
                    <w:jc w:val="center"/>
                  </w:pPr>
                  <w:r>
                    <w:t xml:space="preserve">5–7%</w:t>
                  </w:r>
                </w:p>
              </w:tc>
              <w:tc>
                <w:tcPr/>
                <w:p>
                  <w:pPr>
                    <w:pStyle w:val="Compact"/>
                    <w:jc w:val="center"/>
                  </w:pPr>
                  <w:r>
                    <w:t xml:space="preserve">$1,500</w:t>
                  </w:r>
                </w:p>
              </w:tc>
              <w:tc>
                <w:tcPr/>
                <w:p>
                  <w:pPr>
                    <w:pStyle w:val="Compact"/>
                    <w:jc w:val="center"/>
                  </w:pPr>
                  <w:r>
                    <w:t xml:space="preserve">$0.18–0.35</w:t>
                  </w:r>
                </w:p>
              </w:tc>
              <w:tc>
                <w:tcPr/>
                <w:p>
                  <w:pPr>
                    <w:pStyle w:val="Compact"/>
                    <w:jc w:val="center"/>
                  </w:pPr>
                  <w:r>
                    <w:t xml:space="preserve">Monte Carlo</w:t>
                  </w:r>
                </w:p>
              </w:tc>
            </w:tr>
            <w:tr>
              <w:tc>
                <w:tcPr/>
                <w:p>
                  <w:pPr>
                    <w:pStyle w:val="Compact"/>
                    <w:jc w:val="center"/>
                  </w:pPr>
                  <w:r>
                    <w:t xml:space="preserve">ADB (2022)</w:t>
                  </w:r>
                </w:p>
              </w:tc>
              <w:tc>
                <w:tcPr/>
                <w:p>
                  <w:pPr>
                    <w:pStyle w:val="Compact"/>
                    <w:jc w:val="center"/>
                  </w:pPr>
                  <w:r>
                    <w:t xml:space="preserve">Pacific SIDS</w:t>
                  </w:r>
                </w:p>
              </w:tc>
              <w:tc>
                <w:tcPr/>
                <w:p>
                  <w:pPr>
                    <w:pStyle w:val="Compact"/>
                    <w:jc w:val="center"/>
                  </w:pPr>
                  <w:r>
                    <w:t xml:space="preserve">6%</w:t>
                  </w:r>
                </w:p>
              </w:tc>
              <w:tc>
                <w:tcPr/>
                <w:p>
                  <w:pPr>
                    <w:pStyle w:val="Compact"/>
                    <w:jc w:val="center"/>
                  </w:pPr>
                  <w:r>
                    <w:t xml:space="preserve">$1,200–1,800</w:t>
                  </w:r>
                </w:p>
              </w:tc>
              <w:tc>
                <w:tcPr/>
                <w:p>
                  <w:pPr>
                    <w:pStyle w:val="Compact"/>
                    <w:jc w:val="center"/>
                  </w:pPr>
                  <w:r>
                    <w:t xml:space="preserve">$0.15–0.30</w:t>
                  </w:r>
                </w:p>
              </w:tc>
              <w:tc>
                <w:tcPr/>
                <w:p>
                  <w:pPr>
                    <w:pStyle w:val="Compact"/>
                    <w:jc w:val="center"/>
                  </w:pPr>
                  <w:r>
                    <w:t xml:space="preserve">Switching value</w:t>
                  </w:r>
                </w:p>
              </w:tc>
            </w:tr>
            <w:tr>
              <w:tc>
                <w:tcPr/>
                <w:p>
                  <w:pPr>
                    <w:pStyle w:val="Compact"/>
                    <w:jc w:val="center"/>
                  </w:pPr>
                  <w:r>
                    <w:t xml:space="preserve">IRENA (2024)</w:t>
                  </w:r>
                </w:p>
              </w:tc>
              <w:tc>
                <w:tcPr/>
                <w:p>
                  <w:pPr>
                    <w:pStyle w:val="Compact"/>
                    <w:jc w:val="center"/>
                  </w:pPr>
                  <w:r>
                    <w:t xml:space="preserve">Global/SIDS</w:t>
                  </w:r>
                </w:p>
              </w:tc>
              <w:tc>
                <w:tcPr/>
                <w:p>
                  <w:pPr>
                    <w:pStyle w:val="Compact"/>
                    <w:jc w:val="center"/>
                  </w:pPr>
                  <w:r>
                    <w:t xml:space="preserve">7.5%</w:t>
                  </w:r>
                </w:p>
              </w:tc>
              <w:tc>
                <w:tcPr/>
                <w:p>
                  <w:pPr>
                    <w:pStyle w:val="Compact"/>
                    <w:jc w:val="center"/>
                  </w:pPr>
                  <w:r>
                    <w:t xml:space="preserve">$1,000–1,500</w:t>
                  </w:r>
                </w:p>
              </w:tc>
              <w:tc>
                <w:tcPr/>
                <w:p>
                  <w:pPr>
                    <w:pStyle w:val="Compact"/>
                    <w:jc w:val="center"/>
                  </w:pPr>
                  <w:r>
                    <w:t xml:space="preserve">$0.10–0.25</w:t>
                  </w:r>
                </w:p>
              </w:tc>
              <w:tc>
                <w:tcPr/>
                <w:p>
                  <w:pPr>
                    <w:pStyle w:val="Compact"/>
                    <w:jc w:val="center"/>
                  </w:pPr>
                  <w:r>
                    <w:t xml:space="preserve">—</w:t>
                  </w:r>
                </w:p>
              </w:tc>
            </w:tr>
            <w:tr>
              <w:tc>
                <w:tcPr/>
                <w:p>
                  <w:pPr>
                    <w:pStyle w:val="Compact"/>
                    <w:jc w:val="center"/>
                  </w:pPr>
                  <w:r>
                    <w:rPr>
                      <w:b/>
                      <w:bCs/>
                    </w:rPr>
                    <w:t xml:space="preserve">This study</w:t>
                  </w:r>
                </w:p>
              </w:tc>
              <w:tc>
                <w:tcPr/>
                <w:p>
                  <w:pPr>
                    <w:pStyle w:val="Compact"/>
                    <w:jc w:val="center"/>
                  </w:pPr>
                  <w:r>
                    <w:rPr>
                      <w:b/>
                      <w:bCs/>
                    </w:rPr>
                    <w:t xml:space="preserve">Maldives</w:t>
                  </w:r>
                </w:p>
              </w:tc>
              <w:tc>
                <w:tcPr/>
                <w:p>
                  <w:pPr>
                    <w:pStyle w:val="Compact"/>
                    <w:jc w:val="center"/>
                  </w:pPr>
                  <w:r>
                    <w:rPr>
                      <w:b/>
                      <w:bCs/>
                    </w:rPr>
                    <w:t xml:space="preserve">6%</w:t>
                  </w:r>
                </w:p>
              </w:tc>
              <w:tc>
                <w:tcPr/>
                <w:p>
                  <w:pPr>
                    <w:pStyle w:val="Compact"/>
                    <w:jc w:val="center"/>
                  </w:pPr>
                  <w:r>
                    <w:rPr>
                      <w:b/>
                      <w:bCs/>
                    </w:rPr>
                    <w:t xml:space="preserve">$1,500</w:t>
                  </w:r>
                </w:p>
              </w:tc>
              <w:tc>
                <w:tcPr/>
                <w:p>
                  <w:pPr>
                    <w:pStyle w:val="Compact"/>
                    <w:jc w:val="center"/>
                  </w:pPr>
                  <w:r>
                    <w:rPr>
                      <w:b/>
                      <w:bCs/>
                    </w:rPr>
                    <w:t xml:space="preserve">$0.09–0.34</w:t>
                  </w:r>
                </w:p>
              </w:tc>
              <w:tc>
                <w:tcPr/>
                <w:p>
                  <w:pPr>
                    <w:pStyle w:val="Compact"/>
                    <w:jc w:val="center"/>
                  </w:pPr>
                  <w:r>
                    <w:rPr>
                      <w:b/>
                      <w:bCs/>
                    </w:rPr>
                    <w:t xml:space="preserve">MC + tornado + switching</w:t>
                  </w:r>
                </w:p>
              </w:tc>
            </w:tr>
          </w:tbl>
          <w:bookmarkEnd w:id="361"/>
          <w:p/>
        </w:tc>
      </w:tr>
    </w:tbl>
    <w:p>
      <w:pPr>
        <w:pStyle w:val="BodyText"/>
      </w:pPr>
      <w:r>
        <w:t xml:space="preserve">This study’s parameter values fall comfortably within the published ranges for SIDS energy analyses. The six-percent discount rate follows ADB SIDS practice and is consistent with the central tendency of the studies reviewed. The solar CAPEX of fifteen hundred dollars per kilowatt reflects the installation premium characteristic of island environments — above global utility-scale costs but below the upper end of the range observed in smaller Pacific island installations. The model’s LCOE range of nine to thirty-four cents per kilowatt-hour spans the full spectrum from the most cost-effective outer-island solar-battery installations to the most expensive diesel generation on remote islands, consistent with the ranges reported across the benchmarked studies.</w:t>
      </w:r>
    </w:p>
    <w:p>
      <w:pPr>
        <w:pStyle w:val="BodyText"/>
      </w:pPr>
      <w:r>
        <w:t xml:space="preserve">Where this study makes its most distinctive contribution is in the breadth and depth of its uncertainty analysis and supplementary frameworks. The combination of Monte Carlo simulation, tornado diagrams, switching value analysis, multi-horizon sensitivity, and declining discount rate sensitivity provides a more comprehensive robustness assessment than any single published SIDS CBA identified in the literature review. The seven-scenario comparison exceeds the typical two-to-three scenario framework found in most SIDS energy studies, enabling robust ranking rather than binary comparison. The island-level least-cost engine with explicit land constraints provides spatial granularity that aggregate national models cannot capture. The distributional analysis using household-level microdata, the multi-criteria assessment, the real options framing, the endogenous learning curves, and the climate damage scenarios each address dimensions of the investment decision that standard CBA overlooks. Together, these extensions position the analysis at the frontier of SIDS energy CBA methodology while maintaining the transparency and reproducibility that publication-quality research demands.</w:t>
      </w:r>
    </w:p>
    <w:bookmarkStart w:id="416" w:name="refs"/>
    <w:bookmarkStart w:id="362" w:name="ref-osowog2023"/>
    <w:p>
      <w:pPr>
        <w:pStyle w:val="Bibliography"/>
      </w:pPr>
      <w:r>
        <w:t xml:space="preserve">Ahluwalia, M. S., &amp; Patel, U. R. (2023). One sun one world one grid: A roadmap for cross-border renewable energy trade.</w:t>
      </w:r>
      <w:r>
        <w:t xml:space="preserve"> </w:t>
      </w:r>
      <w:r>
        <w:rPr>
          <w:i/>
          <w:iCs/>
        </w:rPr>
        <w:t xml:space="preserve">IRADe Working Paper</w:t>
      </w:r>
      <w:r>
        <w:t xml:space="preserve">.</w:t>
      </w:r>
    </w:p>
    <w:bookmarkEnd w:id="362"/>
    <w:bookmarkStart w:id="364" w:name="ref-adb_guidelines2017"/>
    <w:p>
      <w:pPr>
        <w:pStyle w:val="Bibliography"/>
      </w:pPr>
      <w:r>
        <w:t xml:space="preserve">Asian Development Bank. (2017).</w:t>
      </w:r>
      <w:r>
        <w:t xml:space="preserve"> </w:t>
      </w:r>
      <w:r>
        <w:rPr>
          <w:i/>
          <w:iCs/>
        </w:rPr>
        <w:t xml:space="preserve">Guidelines for the economic analysis of projects</w:t>
      </w:r>
      <w:r>
        <w:t xml:space="preserve">. Asian Development Bank.</w:t>
      </w:r>
      <w:r>
        <w:t xml:space="preserve"> </w:t>
      </w:r>
      <w:hyperlink r:id="rId363">
        <w:r>
          <w:rPr>
            <w:rStyle w:val="Hyperlink"/>
          </w:rPr>
          <w:t xml:space="preserve">https://www.adb.org/documents/guidelines-economic-analysis-projects</w:t>
        </w:r>
      </w:hyperlink>
    </w:p>
    <w:bookmarkEnd w:id="364"/>
    <w:bookmarkStart w:id="366" w:name="ref-adb_assure2023"/>
    <w:p>
      <w:pPr>
        <w:pStyle w:val="Bibliography"/>
      </w:pPr>
      <w:r>
        <w:t xml:space="preserve">Asian Development Bank. (2023).</w:t>
      </w:r>
      <w:r>
        <w:t xml:space="preserve"> </w:t>
      </w:r>
      <w:r>
        <w:rPr>
          <w:i/>
          <w:iCs/>
        </w:rPr>
        <w:t xml:space="preserve">Accelerating sustainable system development using renewable energy project (55191-001)</w:t>
      </w:r>
      <w:r>
        <w:t xml:space="preserve">. ADB.</w:t>
      </w:r>
      <w:r>
        <w:t xml:space="preserve"> </w:t>
      </w:r>
      <w:hyperlink r:id="rId365">
        <w:r>
          <w:rPr>
            <w:rStyle w:val="Hyperlink"/>
          </w:rPr>
          <w:t xml:space="preserve">https://www.adb.org/projects/55191-001/main</w:t>
        </w:r>
      </w:hyperlink>
    </w:p>
    <w:bookmarkEnd w:id="366"/>
    <w:bookmarkStart w:id="367" w:name="ref-adb_lending2026"/>
    <w:p>
      <w:pPr>
        <w:pStyle w:val="Bibliography"/>
      </w:pPr>
      <w:r>
        <w:t xml:space="preserve">Asian Development Bank. (2026).</w:t>
      </w:r>
      <w:r>
        <w:t xml:space="preserve"> </w:t>
      </w:r>
      <w:r>
        <w:rPr>
          <w:i/>
          <w:iCs/>
        </w:rPr>
        <w:t xml:space="preserve">ADB lending policies for concessional assistance</w:t>
      </w:r>
      <w:r>
        <w:t xml:space="preserve">. Asian Development Bank.</w:t>
      </w:r>
    </w:p>
    <w:bookmarkEnd w:id="367"/>
    <w:bookmarkStart w:id="369" w:name="ref-atlantic_council2024"/>
    <w:p>
      <w:pPr>
        <w:pStyle w:val="Bibliography"/>
      </w:pPr>
      <w:r>
        <w:t xml:space="preserve">Atlantic Council. (2024).</w:t>
      </w:r>
      <w:r>
        <w:t xml:space="preserve"> </w:t>
      </w:r>
      <w:r>
        <w:rPr>
          <w:i/>
          <w:iCs/>
        </w:rPr>
        <w:t xml:space="preserve">A roadmap for the caribbean’s energy transition</w:t>
      </w:r>
      <w:r>
        <w:t xml:space="preserve">. Atlantic Council.</w:t>
      </w:r>
      <w:r>
        <w:t xml:space="preserve"> </w:t>
      </w:r>
      <w:hyperlink r:id="rId368">
        <w:r>
          <w:rPr>
            <w:rStyle w:val="Hyperlink"/>
          </w:rPr>
          <w:t xml:space="preserve">https://www.atlanticcouncil.org/in-depth-research-reports/issue-brief/a-roadmap-for-the-caribbeans-energy-transition/</w:t>
        </w:r>
      </w:hyperlink>
    </w:p>
    <w:bookmarkEnd w:id="369"/>
    <w:bookmarkStart w:id="370" w:name="ref-bnef_battery2025"/>
    <w:p>
      <w:pPr>
        <w:pStyle w:val="Bibliography"/>
      </w:pPr>
      <w:r>
        <w:t xml:space="preserve">Bloomberg New Energy Finance. (2025).</w:t>
      </w:r>
      <w:r>
        <w:t xml:space="preserve"> </w:t>
      </w:r>
      <w:r>
        <w:rPr>
          <w:i/>
          <w:iCs/>
        </w:rPr>
        <w:t xml:space="preserve">Lithium-ion battery pack and cell prices survey 2025</w:t>
      </w:r>
      <w:r>
        <w:t xml:space="preserve">. BNEF.</w:t>
      </w:r>
    </w:p>
    <w:bookmarkEnd w:id="370"/>
    <w:bookmarkStart w:id="371" w:name="ref-boardman2018"/>
    <w:p>
      <w:pPr>
        <w:pStyle w:val="Bibliography"/>
      </w:pPr>
      <w:r>
        <w:t xml:space="preserve">Boardman, A. E., Greenberg, D. H., Vining, A. R., &amp; Weimer, D. L. (2018).</w:t>
      </w:r>
      <w:r>
        <w:t xml:space="preserve"> </w:t>
      </w:r>
      <w:r>
        <w:rPr>
          <w:i/>
          <w:iCs/>
        </w:rPr>
        <w:t xml:space="preserve">Cost-benefit analysis: Concepts and practice</w:t>
      </w:r>
      <w:r>
        <w:t xml:space="preserve"> </w:t>
      </w:r>
      <w:r>
        <w:t xml:space="preserve">(5th ed.). Cambridge University Press.</w:t>
      </w:r>
    </w:p>
    <w:bookmarkEnd w:id="371"/>
    <w:bookmarkStart w:id="372" w:name="ref-dixit_pindyck1994"/>
    <w:p>
      <w:pPr>
        <w:pStyle w:val="Bibliography"/>
      </w:pPr>
      <w:r>
        <w:t xml:space="preserve">Dixit, A. K., &amp; Pindyck, R. S. (1994).</w:t>
      </w:r>
      <w:r>
        <w:t xml:space="preserve"> </w:t>
      </w:r>
      <w:r>
        <w:rPr>
          <w:i/>
          <w:iCs/>
        </w:rPr>
        <w:t xml:space="preserve">Investment under uncertainty</w:t>
      </w:r>
      <w:r>
        <w:t xml:space="preserve">. Princeton University Press.</w:t>
      </w:r>
    </w:p>
    <w:bookmarkEnd w:id="372"/>
    <w:bookmarkStart w:id="374" w:name="ref-dodgson2009"/>
    <w:p>
      <w:pPr>
        <w:pStyle w:val="Bibliography"/>
      </w:pPr>
      <w:r>
        <w:t xml:space="preserve">Dodgson, J. S., Spackman, M., Pearman, A., &amp; Phillips, L. D. (2009).</w:t>
      </w:r>
      <w:r>
        <w:t xml:space="preserve"> </w:t>
      </w:r>
      <w:r>
        <w:rPr>
          <w:i/>
          <w:iCs/>
        </w:rPr>
        <w:t xml:space="preserve">Multi-criteria analysis: A manual</w:t>
      </w:r>
      <w:r>
        <w:t xml:space="preserve">. Department for Communities; Local Government, United Kingdom.</w:t>
      </w:r>
      <w:r>
        <w:t xml:space="preserve"> </w:t>
      </w:r>
      <w:hyperlink r:id="rId373">
        <w:r>
          <w:rPr>
            <w:rStyle w:val="Hyperlink"/>
          </w:rPr>
          <w:t xml:space="preserve">https://www.gov.uk/government/publications/multi-criteria-analysis-manual-for-making-government-policy</w:t>
        </w:r>
      </w:hyperlink>
    </w:p>
    <w:bookmarkEnd w:id="374"/>
    <w:bookmarkStart w:id="376" w:name="ref-drupp2018"/>
    <w:p>
      <w:pPr>
        <w:pStyle w:val="Bibliography"/>
      </w:pPr>
      <w:r>
        <w:t xml:space="preserve">Drupp, M. A., Freeman, M. C., Groom, B., &amp; Nesje, F. (2018). Discounting disentangled.</w:t>
      </w:r>
      <w:r>
        <w:t xml:space="preserve"> </w:t>
      </w:r>
      <w:r>
        <w:rPr>
          <w:i/>
          <w:iCs/>
        </w:rPr>
        <w:t xml:space="preserve">American Economic Journal: Economic Policy</w:t>
      </w:r>
      <w:r>
        <w:t xml:space="preserve">,</w:t>
      </w:r>
      <w:r>
        <w:t xml:space="preserve"> </w:t>
      </w:r>
      <w:r>
        <w:rPr>
          <w:i/>
          <w:iCs/>
        </w:rPr>
        <w:t xml:space="preserve">10</w:t>
      </w:r>
      <w:r>
        <w:t xml:space="preserve">(4), 109–134.</w:t>
      </w:r>
      <w:r>
        <w:t xml:space="preserve"> </w:t>
      </w:r>
      <w:hyperlink r:id="rId375">
        <w:r>
          <w:rPr>
            <w:rStyle w:val="Hyperlink"/>
          </w:rPr>
          <w:t xml:space="preserve">https://doi.org/10.1257/pol.20160240</w:t>
        </w:r>
      </w:hyperlink>
    </w:p>
    <w:bookmarkEnd w:id="376"/>
    <w:bookmarkStart w:id="378" w:name="ref-gca2025"/>
    <w:p>
      <w:pPr>
        <w:pStyle w:val="Bibliography"/>
      </w:pPr>
      <w:r>
        <w:t xml:space="preserve">Global Center on Adaptation. (2025).</w:t>
      </w:r>
      <w:r>
        <w:t xml:space="preserve"> </w:t>
      </w:r>
      <w:r>
        <w:rPr>
          <w:i/>
          <w:iCs/>
        </w:rPr>
        <w:t xml:space="preserve">State and trends in adaptation report 2024–2025</w:t>
      </w:r>
      <w:r>
        <w:t xml:space="preserve">. Global Center on Adaptation.</w:t>
      </w:r>
      <w:r>
        <w:t xml:space="preserve"> </w:t>
      </w:r>
      <w:hyperlink r:id="rId377">
        <w:r>
          <w:rPr>
            <w:rStyle w:val="Hyperlink"/>
          </w:rPr>
          <w:t xml:space="preserve">https://gca.org/reports/state-and-trends-in-adaptation/</w:t>
        </w:r>
      </w:hyperlink>
    </w:p>
    <w:bookmarkEnd w:id="378"/>
    <w:bookmarkStart w:id="380" w:name="ref-maldives_ndc2020"/>
    <w:p>
      <w:pPr>
        <w:pStyle w:val="Bibliography"/>
      </w:pPr>
      <w:r>
        <w:t xml:space="preserve">Government of Maldives. (2020).</w:t>
      </w:r>
      <w:r>
        <w:t xml:space="preserve"> </w:t>
      </w:r>
      <w:r>
        <w:rPr>
          <w:i/>
          <w:iCs/>
        </w:rPr>
        <w:t xml:space="preserve">Nationally determined contribution</w:t>
      </w:r>
      <w:r>
        <w:t xml:space="preserve">. Ministry of Environment.</w:t>
      </w:r>
      <w:r>
        <w:t xml:space="preserve"> </w:t>
      </w:r>
      <w:hyperlink r:id="rId379">
        <w:r>
          <w:rPr>
            <w:rStyle w:val="Hyperlink"/>
          </w:rPr>
          <w:t xml:space="preserve">https://unfccc.int</w:t>
        </w:r>
      </w:hyperlink>
    </w:p>
    <w:bookmarkEnd w:id="380"/>
    <w:bookmarkStart w:id="382" w:name="ref-hm_treasury2022"/>
    <w:p>
      <w:pPr>
        <w:pStyle w:val="Bibliography"/>
      </w:pPr>
      <w:r>
        <w:t xml:space="preserve">HM Treasury. (2022).</w:t>
      </w:r>
      <w:r>
        <w:t xml:space="preserve"> </w:t>
      </w:r>
      <w:r>
        <w:rPr>
          <w:i/>
          <w:iCs/>
        </w:rPr>
        <w:t xml:space="preserve">The green book: Central government guidance on appraisal and evaluation</w:t>
      </w:r>
      <w:r>
        <w:t xml:space="preserve">. HM Treasury, United Kingdom.</w:t>
      </w:r>
      <w:r>
        <w:t xml:space="preserve"> </w:t>
      </w:r>
      <w:hyperlink r:id="rId381">
        <w:r>
          <w:rPr>
            <w:rStyle w:val="Hyperlink"/>
          </w:rPr>
          <w:t xml:space="preserve">https://www.gov.uk/government/publications/the-green-book-appraisal-and-evaluation-in-central-governent</w:t>
        </w:r>
      </w:hyperlink>
    </w:p>
    <w:bookmarkEnd w:id="382"/>
    <w:bookmarkStart w:id="383" w:name="ref-ipcc2006"/>
    <w:p>
      <w:pPr>
        <w:pStyle w:val="Bibliography"/>
      </w:pPr>
      <w:r>
        <w:t xml:space="preserve">Intergovernmental Panel on Climate Change. (2006).</w:t>
      </w:r>
      <w:r>
        <w:t xml:space="preserve"> </w:t>
      </w:r>
      <w:r>
        <w:rPr>
          <w:i/>
          <w:iCs/>
        </w:rPr>
        <w:t xml:space="preserve">2006 IPCC guidelines for national greenhouse gas inventories</w:t>
      </w:r>
      <w:r>
        <w:t xml:space="preserve">. IPCC.</w:t>
      </w:r>
    </w:p>
    <w:bookmarkEnd w:id="383"/>
    <w:bookmarkStart w:id="385" w:name="ref-iea_india2023"/>
    <w:p>
      <w:pPr>
        <w:pStyle w:val="Bibliography"/>
      </w:pPr>
      <w:r>
        <w:t xml:space="preserve">International Energy Agency. (2023).</w:t>
      </w:r>
      <w:r>
        <w:t xml:space="preserve"> </w:t>
      </w:r>
      <w:r>
        <w:rPr>
          <w:i/>
          <w:iCs/>
        </w:rPr>
        <w:t xml:space="preserve">India energy outlook 2023</w:t>
      </w:r>
      <w:r>
        <w:t xml:space="preserve">. IEA.</w:t>
      </w:r>
      <w:r>
        <w:t xml:space="preserve"> </w:t>
      </w:r>
      <w:hyperlink r:id="rId384">
        <w:r>
          <w:rPr>
            <w:rStyle w:val="Hyperlink"/>
          </w:rPr>
          <w:t xml:space="preserve">https://www.iea.org/reports/india-energy-outlook-2023</w:t>
        </w:r>
      </w:hyperlink>
    </w:p>
    <w:bookmarkEnd w:id="385"/>
    <w:bookmarkStart w:id="387" w:name="ref-imf_dst2023"/>
    <w:p>
      <w:pPr>
        <w:pStyle w:val="Bibliography"/>
      </w:pPr>
      <w:r>
        <w:t xml:space="preserve">International Monetary Fund. (2023).</w:t>
      </w:r>
      <w:r>
        <w:t xml:space="preserve"> </w:t>
      </w:r>
      <w:r>
        <w:rPr>
          <w:i/>
          <w:iCs/>
        </w:rPr>
        <w:t xml:space="preserve">Debt sustainability analysis framework for low-income countries</w:t>
      </w:r>
      <w:r>
        <w:t xml:space="preserve">. IMF.</w:t>
      </w:r>
      <w:r>
        <w:t xml:space="preserve"> </w:t>
      </w:r>
      <w:hyperlink r:id="rId386">
        <w:r>
          <w:rPr>
            <w:rStyle w:val="Hyperlink"/>
          </w:rPr>
          <w:t xml:space="preserve">https://www.imf.org/en/Topics/Sovereign-Debt/Debt-Sustainability-Analysis</w:t>
        </w:r>
      </w:hyperlink>
    </w:p>
    <w:bookmarkEnd w:id="387"/>
    <w:bookmarkStart w:id="389" w:name="ref-irena_roadmap_maldives2015"/>
    <w:p>
      <w:pPr>
        <w:pStyle w:val="Bibliography"/>
      </w:pPr>
      <w:r>
        <w:t xml:space="preserve">International Renewable Energy Agency. (2015).</w:t>
      </w:r>
      <w:r>
        <w:t xml:space="preserve"> </w:t>
      </w:r>
      <w:r>
        <w:rPr>
          <w:i/>
          <w:iCs/>
        </w:rPr>
        <w:t xml:space="preserve">Renewable energy roadmap for the republic of maldives</w:t>
      </w:r>
      <w:r>
        <w:t xml:space="preserve">. IRENA.</w:t>
      </w:r>
      <w:r>
        <w:t xml:space="preserve"> </w:t>
      </w:r>
      <w:hyperlink r:id="rId388">
        <w:r>
          <w:rPr>
            <w:rStyle w:val="Hyperlink"/>
          </w:rPr>
          <w:t xml:space="preserve">https://www.irena.org/publications/2015/Sep/Renewable-Energy-Roadmap-for-The-Republic-of-Maldives</w:t>
        </w:r>
      </w:hyperlink>
    </w:p>
    <w:bookmarkEnd w:id="389"/>
    <w:bookmarkStart w:id="391" w:name="ref-irena_sids2023"/>
    <w:p>
      <w:pPr>
        <w:pStyle w:val="Bibliography"/>
      </w:pPr>
      <w:r>
        <w:t xml:space="preserve">International Renewable Energy Agency. (2023).</w:t>
      </w:r>
      <w:r>
        <w:t xml:space="preserve"> </w:t>
      </w:r>
      <w:r>
        <w:rPr>
          <w:i/>
          <w:iCs/>
        </w:rPr>
        <w:t xml:space="preserve">Renewable energy in small island developing states</w:t>
      </w:r>
      <w:r>
        <w:t xml:space="preserve">. IRENA.</w:t>
      </w:r>
      <w:r>
        <w:t xml:space="preserve"> </w:t>
      </w:r>
      <w:hyperlink r:id="rId390">
        <w:r>
          <w:rPr>
            <w:rStyle w:val="Hyperlink"/>
          </w:rPr>
          <w:t xml:space="preserve">https://www.irena.org/publications</w:t>
        </w:r>
      </w:hyperlink>
    </w:p>
    <w:bookmarkEnd w:id="391"/>
    <w:bookmarkStart w:id="393" w:name="ref-irena_costs2024"/>
    <w:p>
      <w:pPr>
        <w:pStyle w:val="Bibliography"/>
      </w:pPr>
      <w:r>
        <w:t xml:space="preserve">International Renewable Energy Agency. (2024).</w:t>
      </w:r>
      <w:r>
        <w:t xml:space="preserve"> </w:t>
      </w:r>
      <w:r>
        <w:rPr>
          <w:i/>
          <w:iCs/>
        </w:rPr>
        <w:t xml:space="preserve">Renewable power generation costs in 2023</w:t>
      </w:r>
      <w:r>
        <w:t xml:space="preserve">. IRENA.</w:t>
      </w:r>
      <w:r>
        <w:t xml:space="preserve"> </w:t>
      </w:r>
      <w:hyperlink r:id="rId392">
        <w:r>
          <w:rPr>
            <w:rStyle w:val="Hyperlink"/>
          </w:rPr>
          <w:t xml:space="preserve">https://www.irena.org/Publications/2024/Sep/Renewable-Power-Generation-Costs-in-2023</w:t>
        </w:r>
      </w:hyperlink>
    </w:p>
    <w:bookmarkEnd w:id="393"/>
    <w:bookmarkStart w:id="395" w:name="ref-jordan2013"/>
    <w:p>
      <w:pPr>
        <w:pStyle w:val="Bibliography"/>
      </w:pPr>
      <w:r>
        <w:t xml:space="preserve">Jordan, D. C., &amp; Kurtz, S. R. (2013). Photovoltaic degradation rates — an analytical review.</w:t>
      </w:r>
      <w:r>
        <w:t xml:space="preserve"> </w:t>
      </w:r>
      <w:r>
        <w:rPr>
          <w:i/>
          <w:iCs/>
        </w:rPr>
        <w:t xml:space="preserve">Progress in Photovoltaics: Research and Applications</w:t>
      </w:r>
      <w:r>
        <w:t xml:space="preserve">,</w:t>
      </w:r>
      <w:r>
        <w:t xml:space="preserve"> </w:t>
      </w:r>
      <w:r>
        <w:rPr>
          <w:i/>
          <w:iCs/>
        </w:rPr>
        <w:t xml:space="preserve">21</w:t>
      </w:r>
      <w:r>
        <w:t xml:space="preserve">(1), 12–29.</w:t>
      </w:r>
      <w:r>
        <w:t xml:space="preserve"> </w:t>
      </w:r>
      <w:hyperlink r:id="rId394">
        <w:r>
          <w:rPr>
            <w:rStyle w:val="Hyperlink"/>
          </w:rPr>
          <w:t xml:space="preserve">https://doi.org/10.1002/pip.1182</w:t>
        </w:r>
      </w:hyperlink>
    </w:p>
    <w:bookmarkEnd w:id="395"/>
    <w:bookmarkStart w:id="396" w:name="ref-gom_roadmap2024"/>
    <w:p>
      <w:pPr>
        <w:pStyle w:val="Bibliography"/>
      </w:pPr>
      <w:r>
        <w:t xml:space="preserve">Ministry of Climate Change, Environment and Energy, Republic of Maldives. (2024).</w:t>
      </w:r>
      <w:r>
        <w:t xml:space="preserve"> </w:t>
      </w:r>
      <w:r>
        <w:rPr>
          <w:i/>
          <w:iCs/>
        </w:rPr>
        <w:t xml:space="preserve">Paving the way for a just energy transition in maldives — road map for the energy sector 2024–2033</w:t>
      </w:r>
      <w:r>
        <w:t xml:space="preserve">. Government of Maldives.</w:t>
      </w:r>
    </w:p>
    <w:bookmarkEnd w:id="396"/>
    <w:bookmarkStart w:id="398" w:name="ref-maldives_srep"/>
    <w:p>
      <w:pPr>
        <w:pStyle w:val="Bibliography"/>
      </w:pPr>
      <w:r>
        <w:t xml:space="preserve">Ministry of Environment and Energy, Republic of Maldives. (2016).</w:t>
      </w:r>
      <w:r>
        <w:t xml:space="preserve"> </w:t>
      </w:r>
      <w:r>
        <w:rPr>
          <w:i/>
          <w:iCs/>
        </w:rPr>
        <w:t xml:space="preserve">Energy sector overview: SREP</w:t>
      </w:r>
      <w:r>
        <w:t xml:space="preserve">. Government of Maldives.</w:t>
      </w:r>
      <w:r>
        <w:t xml:space="preserve"> </w:t>
      </w:r>
      <w:hyperlink r:id="rId397">
        <w:r>
          <w:rPr>
            <w:rStyle w:val="Hyperlink"/>
          </w:rPr>
          <w:t xml:space="preserve">https://www.cif.org/sites/default/files/maldives_energy_sector_srep_-_nigeria_.pdf</w:t>
        </w:r>
      </w:hyperlink>
    </w:p>
    <w:bookmarkEnd w:id="398"/>
    <w:bookmarkStart w:id="399" w:name="ref-maldives_iedb2018"/>
    <w:p>
      <w:pPr>
        <w:pStyle w:val="Bibliography"/>
      </w:pPr>
      <w:r>
        <w:t xml:space="preserve">Ministry of Environment, Republic of Maldives. (2018).</w:t>
      </w:r>
      <w:r>
        <w:t xml:space="preserve"> </w:t>
      </w:r>
      <w:r>
        <w:rPr>
          <w:i/>
          <w:iCs/>
        </w:rPr>
        <w:t xml:space="preserve">Island electricity data book 2018</w:t>
      </w:r>
      <w:r>
        <w:t xml:space="preserve">. Government of Maldives.</w:t>
      </w:r>
    </w:p>
    <w:bookmarkEnd w:id="399"/>
    <w:bookmarkStart w:id="400" w:name="ref-hies2019"/>
    <w:p>
      <w:pPr>
        <w:pStyle w:val="Bibliography"/>
      </w:pPr>
      <w:r>
        <w:t xml:space="preserve">National Bureau of Statistics, Republic of Maldives. (2019).</w:t>
      </w:r>
      <w:r>
        <w:t xml:space="preserve"> </w:t>
      </w:r>
      <w:r>
        <w:rPr>
          <w:i/>
          <w:iCs/>
        </w:rPr>
        <w:t xml:space="preserve">Household income and expenditure survey 2019</w:t>
      </w:r>
      <w:r>
        <w:t xml:space="preserve">. Government of Maldives.</w:t>
      </w:r>
    </w:p>
    <w:bookmarkEnd w:id="400"/>
    <w:bookmarkStart w:id="402" w:name="ref-maldives_census2022"/>
    <w:p>
      <w:pPr>
        <w:pStyle w:val="Bibliography"/>
      </w:pPr>
      <w:r>
        <w:t xml:space="preserve">National Bureau of Statistics, Republic of Maldives. (2022).</w:t>
      </w:r>
      <w:r>
        <w:t xml:space="preserve"> </w:t>
      </w:r>
      <w:r>
        <w:rPr>
          <w:i/>
          <w:iCs/>
        </w:rPr>
        <w:t xml:space="preserve">Population and housing census 2022</w:t>
      </w:r>
      <w:r>
        <w:t xml:space="preserve">. Government of Maldives.</w:t>
      </w:r>
      <w:r>
        <w:t xml:space="preserve"> </w:t>
      </w:r>
      <w:hyperlink r:id="rId401">
        <w:r>
          <w:rPr>
            <w:rStyle w:val="Hyperlink"/>
          </w:rPr>
          <w:t xml:space="preserve">https://census.gov.mv/</w:t>
        </w:r>
      </w:hyperlink>
    </w:p>
    <w:bookmarkEnd w:id="402"/>
    <w:bookmarkStart w:id="403" w:name="ref-parry2014"/>
    <w:p>
      <w:pPr>
        <w:pStyle w:val="Bibliography"/>
      </w:pPr>
      <w:r>
        <w:t xml:space="preserve">Parry, I., Heine, D., Lis, E., &amp; Li, S. (2014).</w:t>
      </w:r>
      <w:r>
        <w:t xml:space="preserve"> </w:t>
      </w:r>
      <w:r>
        <w:rPr>
          <w:i/>
          <w:iCs/>
        </w:rPr>
        <w:t xml:space="preserve">Getting energy prices right: From principle to practice</w:t>
      </w:r>
      <w:r>
        <w:t xml:space="preserve"> </w:t>
      </w:r>
      <w:r>
        <w:t xml:space="preserve">(IMF Working Paper WP/14/199). International Monetary Fund.</w:t>
      </w:r>
    </w:p>
    <w:bookmarkEnd w:id="403"/>
    <w:bookmarkStart w:id="405" w:name="ref-reglobal2023"/>
    <w:p>
      <w:pPr>
        <w:pStyle w:val="Bibliography"/>
      </w:pPr>
      <w:r>
        <w:t xml:space="preserve">REGlobal. (2023).</w:t>
      </w:r>
      <w:r>
        <w:t xml:space="preserve"> </w:t>
      </w:r>
      <w:r>
        <w:rPr>
          <w:i/>
          <w:iCs/>
        </w:rPr>
        <w:t xml:space="preserve">Embracing renewables: Overview of the clean energy sector in maldives</w:t>
      </w:r>
      <w:r>
        <w:t xml:space="preserve">. REGlobal.</w:t>
      </w:r>
      <w:r>
        <w:t xml:space="preserve"> </w:t>
      </w:r>
      <w:hyperlink r:id="rId404">
        <w:r>
          <w:rPr>
            <w:rStyle w:val="Hyperlink"/>
          </w:rPr>
          <w:t xml:space="preserve">https://reglobal.org/embracing-renewables-overview-of-the-clean-energy-sector-in-maldives/</w:t>
        </w:r>
      </w:hyperlink>
    </w:p>
    <w:bookmarkEnd w:id="405"/>
    <w:bookmarkStart w:id="406" w:name="ref-stern2006"/>
    <w:p>
      <w:pPr>
        <w:pStyle w:val="Bibliography"/>
      </w:pPr>
      <w:r>
        <w:t xml:space="preserve">Stern, N. (2006).</w:t>
      </w:r>
      <w:r>
        <w:t xml:space="preserve"> </w:t>
      </w:r>
      <w:r>
        <w:rPr>
          <w:i/>
          <w:iCs/>
        </w:rPr>
        <w:t xml:space="preserve">The economics of climate change: The stern review</w:t>
      </w:r>
      <w:r>
        <w:t xml:space="preserve">. HM Treasury, United Kingdom; Cambridge University Press.</w:t>
      </w:r>
    </w:p>
    <w:bookmarkEnd w:id="406"/>
    <w:bookmarkStart w:id="408" w:name="ref-epa_scc2023"/>
    <w:p>
      <w:pPr>
        <w:pStyle w:val="Bibliography"/>
      </w:pPr>
      <w:r>
        <w:t xml:space="preserve">US Environmental Protection Agency. (2023).</w:t>
      </w:r>
      <w:r>
        <w:t xml:space="preserve"> </w:t>
      </w:r>
      <w:r>
        <w:rPr>
          <w:i/>
          <w:iCs/>
        </w:rPr>
        <w:t xml:space="preserve">Report on the social cost of greenhouse gases: Estimates incorporating recent scientific advances</w:t>
      </w:r>
      <w:r>
        <w:t xml:space="preserve">. EPA.</w:t>
      </w:r>
      <w:r>
        <w:t xml:space="preserve"> </w:t>
      </w:r>
      <w:hyperlink r:id="rId407">
        <w:r>
          <w:rPr>
            <w:rStyle w:val="Hyperlink"/>
          </w:rPr>
          <w:t xml:space="preserve">https://www.epa.gov/environmental-economics/scghg</w:t>
        </w:r>
      </w:hyperlink>
    </w:p>
    <w:bookmarkEnd w:id="408"/>
    <w:bookmarkStart w:id="410" w:name="ref-weitzman2001"/>
    <w:p>
      <w:pPr>
        <w:pStyle w:val="Bibliography"/>
      </w:pPr>
      <w:r>
        <w:t xml:space="preserve">Weitzman, M. L. (2001). Gamma discounting.</w:t>
      </w:r>
      <w:r>
        <w:t xml:space="preserve"> </w:t>
      </w:r>
      <w:r>
        <w:rPr>
          <w:i/>
          <w:iCs/>
        </w:rPr>
        <w:t xml:space="preserve">American Economic Review</w:t>
      </w:r>
      <w:r>
        <w:t xml:space="preserve">,</w:t>
      </w:r>
      <w:r>
        <w:t xml:space="preserve"> </w:t>
      </w:r>
      <w:r>
        <w:rPr>
          <w:i/>
          <w:iCs/>
        </w:rPr>
        <w:t xml:space="preserve">91</w:t>
      </w:r>
      <w:r>
        <w:t xml:space="preserve">(1), 260–271.</w:t>
      </w:r>
      <w:r>
        <w:t xml:space="preserve"> </w:t>
      </w:r>
      <w:hyperlink r:id="rId409">
        <w:r>
          <w:rPr>
            <w:rStyle w:val="Hyperlink"/>
          </w:rPr>
          <w:t xml:space="preserve">https://doi.org/10.1257/aer.91.1.260</w:t>
        </w:r>
      </w:hyperlink>
    </w:p>
    <w:bookmarkEnd w:id="410"/>
    <w:bookmarkStart w:id="412" w:name="ref-worldbank2023"/>
    <w:p>
      <w:pPr>
        <w:pStyle w:val="Bibliography"/>
      </w:pPr>
      <w:r>
        <w:t xml:space="preserve">World Bank. (2023).</w:t>
      </w:r>
      <w:r>
        <w:t xml:space="preserve"> </w:t>
      </w:r>
      <w:r>
        <w:rPr>
          <w:i/>
          <w:iCs/>
        </w:rPr>
        <w:t xml:space="preserve">State and trends of carbon pricing 2023</w:t>
      </w:r>
      <w:r>
        <w:t xml:space="preserve">. World Bank Group.</w:t>
      </w:r>
      <w:r>
        <w:t xml:space="preserve"> </w:t>
      </w:r>
      <w:hyperlink r:id="rId411">
        <w:r>
          <w:rPr>
            <w:rStyle w:val="Hyperlink"/>
          </w:rPr>
          <w:t xml:space="preserve">https://doi.org/10.1596/39796</w:t>
        </w:r>
      </w:hyperlink>
    </w:p>
    <w:bookmarkEnd w:id="412"/>
    <w:bookmarkStart w:id="414" w:name="ref-gsa2023_atlas"/>
    <w:p>
      <w:pPr>
        <w:pStyle w:val="Bibliography"/>
      </w:pPr>
      <w:r>
        <w:t xml:space="preserve">World Bank Group. (2023).</w:t>
      </w:r>
      <w:r>
        <w:t xml:space="preserve"> </w:t>
      </w:r>
      <w:r>
        <w:rPr>
          <w:i/>
          <w:iCs/>
        </w:rPr>
        <w:t xml:space="preserve">Global solar atlas 2.0</w:t>
      </w:r>
      <w:r>
        <w:t xml:space="preserve">. World Bank / Solargis.</w:t>
      </w:r>
      <w:r>
        <w:t xml:space="preserve"> </w:t>
      </w:r>
      <w:hyperlink r:id="rId413">
        <w:r>
          <w:rPr>
            <w:rStyle w:val="Hyperlink"/>
          </w:rPr>
          <w:t xml:space="preserve">https://globalsolaratlas.info/</w:t>
        </w:r>
      </w:hyperlink>
    </w:p>
    <w:bookmarkEnd w:id="414"/>
    <w:bookmarkStart w:id="415" w:name="ref-znes_flensburg"/>
    <w:p>
      <w:pPr>
        <w:pStyle w:val="Bibliography"/>
      </w:pPr>
      <w:r>
        <w:t xml:space="preserve">Zentrum für Nachhaltige Energiesysteme (ZNES), Europa-Universität Flensburg. (2020).</w:t>
      </w:r>
      <w:r>
        <w:t xml:space="preserve"> </w:t>
      </w:r>
      <w:r>
        <w:rPr>
          <w:i/>
          <w:iCs/>
        </w:rPr>
        <w:t xml:space="preserve">Rooftop solar potential assessment for mal</w:t>
      </w:r>
      <w:r>
        <w:rPr>
          <w:i/>
          <w:iCs/>
        </w:rPr>
        <w:t xml:space="preserve">é</w:t>
      </w:r>
      <w:r>
        <w:t xml:space="preserve">. ZNES Flensburg.</w:t>
      </w:r>
    </w:p>
    <w:bookmarkEnd w:id="415"/>
    <w:bookmarkEnd w:id="416"/>
    <w:bookmarkEnd w:id="417"/>
    <w:bookmarkEnd w:id="4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Government of Maldives,</w:t>
      </w:r>
      <w:r>
        <w:t xml:space="preserve"> </w:t>
      </w:r>
      <w:r>
        <w:rPr>
          <w:i/>
          <w:iCs/>
        </w:rPr>
        <w:t xml:space="preserve">Road Map for the Energy Sector 2024–2033</w:t>
      </w:r>
      <w:r>
        <w:t xml:space="preserve"> </w:t>
      </w:r>
      <w:r>
        <w:t xml:space="preserve">(2024)</w:t>
      </w:r>
      <w:r>
        <w:t xml:space="preserve">; confirmed by</w:t>
      </w:r>
      <w:r>
        <w:t xml:space="preserve"> </w:t>
      </w:r>
      <w:r>
        <w:t xml:space="preserve">REGlobal (2023)</w:t>
      </w:r>
      <w:r>
        <w:t xml:space="preserve"> </w:t>
      </w:r>
      <w:r>
        <w:t xml:space="preserve">and</w:t>
      </w:r>
      <w:r>
        <w:t xml:space="preserve"> </w:t>
      </w:r>
      <w:r>
        <w:t xml:space="preserve">International Renewable Energy Agency (2015)</w:t>
      </w:r>
      <w:r>
        <w:t xml:space="preserve">.</w:t>
      </w:r>
    </w:p>
  </w:footnote>
  <w:footnote w:id="35">
    <w:p>
      <w:pPr>
        <w:pStyle w:val="FootnoteText"/>
      </w:pPr>
      <w:r>
        <w:rPr>
          <w:rStyle w:val="FootnoteReference"/>
        </w:rPr>
        <w:footnoteRef/>
      </w:r>
      <w:r>
        <w:t xml:space="preserve"> </w:t>
      </w:r>
      <w:r>
        <w:t xml:space="preserve">Ministry of Climate Change, Environment and Energy, Republic of Maldives (2024)</w:t>
      </w:r>
      <w:r>
        <w:t xml:space="preserve">;</w:t>
      </w:r>
      <w:r>
        <w:t xml:space="preserve"> </w:t>
      </w:r>
      <w:r>
        <w:t xml:space="preserve">National Bureau of Statistics, Republic of Maldives (2022)</w:t>
      </w:r>
      <w:r>
        <w:t xml:space="preserve">.</w:t>
      </w:r>
    </w:p>
  </w:footnote>
  <w:footnote w:id="58">
    <w:p>
      <w:pPr>
        <w:pStyle w:val="FootnoteText"/>
      </w:pPr>
      <w:r>
        <w:rPr>
          <w:rStyle w:val="FootnoteReference"/>
        </w:rPr>
        <w:footnoteRef/>
      </w:r>
      <w:r>
        <w:t xml:space="preserve"> </w:t>
      </w:r>
      <w:r>
        <w:t xml:space="preserve">Ministry of Climate Change, Environment and Energy, Republic of Maldives (2024)</w:t>
      </w:r>
      <w:r>
        <w:t xml:space="preserve">; confirmed by</w:t>
      </w:r>
      <w:r>
        <w:t xml:space="preserve"> </w:t>
      </w:r>
      <w:r>
        <w:t xml:space="preserve">REGlobal (2023)</w:t>
      </w:r>
      <w:r>
        <w:t xml:space="preserve"> </w:t>
      </w:r>
      <w:r>
        <w:t xml:space="preserve">and STELCO operational data.</w:t>
      </w:r>
    </w:p>
  </w:footnote>
  <w:footnote w:id="59">
    <w:p>
      <w:pPr>
        <w:pStyle w:val="FootnoteText"/>
      </w:pPr>
      <w:r>
        <w:rPr>
          <w:rStyle w:val="FootnoteReference"/>
        </w:rPr>
        <w:footnoteRef/>
      </w:r>
      <w:r>
        <w:t xml:space="preserve"> </w:t>
      </w:r>
      <w:r>
        <w:t xml:space="preserve">World Bank Group (2023)</w:t>
      </w:r>
      <w:r>
        <w:t xml:space="preserve">.</w:t>
      </w:r>
    </w:p>
  </w:footnote>
  <w:footnote w:id="60">
    <w:p>
      <w:pPr>
        <w:pStyle w:val="FootnoteText"/>
      </w:pPr>
      <w:r>
        <w:rPr>
          <w:rStyle w:val="FootnoteReference"/>
        </w:rPr>
        <w:footnoteRef/>
      </w:r>
      <w:r>
        <w:t xml:space="preserve"> </w:t>
      </w:r>
      <w:r>
        <w:t xml:space="preserve">Ministry of Environment, Republic of Maldives (2018)</w:t>
      </w:r>
      <w:r>
        <w:t xml:space="preserve">; STELCO Annual Report.</w:t>
      </w:r>
    </w:p>
  </w:footnote>
  <w:footnote w:id="61">
    <w:p>
      <w:pPr>
        <w:pStyle w:val="FootnoteText"/>
      </w:pPr>
      <w:r>
        <w:rPr>
          <w:rStyle w:val="FootnoteReference"/>
        </w:rPr>
        <w:footnoteRef/>
      </w:r>
      <w:r>
        <w:t xml:space="preserve"> </w:t>
      </w:r>
      <w:r>
        <w:t xml:space="preserve">Asian Development Bank (2023)</w:t>
      </w:r>
      <w:r>
        <w:t xml:space="preserve">;</w:t>
      </w:r>
      <w:r>
        <w:t xml:space="preserve"> </w:t>
      </w:r>
      <w:r>
        <w:t xml:space="preserve">Ministry of Environment and Energy, Republic of Maldives (2016)</w:t>
      </w:r>
      <w:r>
        <w:t xml:space="preserve">.</w:t>
      </w:r>
    </w:p>
  </w:footnote>
  <w:footnote w:id="62">
    <w:p>
      <w:pPr>
        <w:pStyle w:val="FootnoteText"/>
      </w:pPr>
      <w:r>
        <w:rPr>
          <w:rStyle w:val="FootnoteReference"/>
        </w:rPr>
        <w:footnoteRef/>
      </w:r>
      <w:r>
        <w:t xml:space="preserve"> </w:t>
      </w:r>
      <w:r>
        <w:t xml:space="preserve">Ministry of Climate Change, Environment and Energy, Republic of Maldives (2024)</w:t>
      </w:r>
      <w:r>
        <w:t xml:space="preserve">; the Roadmap reports over $200 million in annual electricity subsidies.</w:t>
      </w:r>
    </w:p>
  </w:footnote>
  <w:footnote w:id="64">
    <w:p>
      <w:pPr>
        <w:pStyle w:val="FootnoteText"/>
      </w:pPr>
      <w:r>
        <w:rPr>
          <w:rStyle w:val="FootnoteReference"/>
        </w:rPr>
        <w:footnoteRef/>
      </w:r>
      <w:r>
        <w:t xml:space="preserve"> </w:t>
      </w:r>
      <w:r>
        <w:t xml:space="preserve">Government of Maldives (2020)</w:t>
      </w:r>
      <w:r>
        <w:t xml:space="preserve">.</w:t>
      </w:r>
    </w:p>
  </w:footnote>
  <w:footnote w:id="65">
    <w:p>
      <w:pPr>
        <w:pStyle w:val="FootnoteText"/>
      </w:pPr>
      <w:r>
        <w:rPr>
          <w:rStyle w:val="FootnoteReference"/>
        </w:rPr>
        <w:footnoteRef/>
      </w:r>
      <w:r>
        <w:t xml:space="preserve"> </w:t>
      </w:r>
      <w:r>
        <w:t xml:space="preserve">Government of Maldives (2020)</w:t>
      </w:r>
      <w:r>
        <w:t xml:space="preserve">.</w:t>
      </w:r>
    </w:p>
  </w:footnote>
  <w:footnote w:id="66">
    <w:p>
      <w:pPr>
        <w:pStyle w:val="FootnoteText"/>
      </w:pPr>
      <w:r>
        <w:rPr>
          <w:rStyle w:val="FootnoteReference"/>
        </w:rPr>
        <w:footnoteRef/>
      </w:r>
      <w:r>
        <w:t xml:space="preserve"> </w:t>
      </w:r>
      <w:r>
        <w:t xml:space="preserve">International Renewable Energy Agency (2024)</w:t>
      </w:r>
      <w:r>
        <w:t xml:space="preserve">.</w:t>
      </w:r>
    </w:p>
  </w:footnote>
  <w:footnote w:id="67">
    <w:p>
      <w:pPr>
        <w:pStyle w:val="FootnoteText"/>
      </w:pPr>
      <w:r>
        <w:rPr>
          <w:rStyle w:val="FootnoteReference"/>
        </w:rPr>
        <w:footnoteRef/>
      </w:r>
      <w:r>
        <w:t xml:space="preserve"> </w:t>
      </w:r>
      <w:r>
        <w:t xml:space="preserve">Bloomberg New Energy Finance (2025)</w:t>
      </w:r>
      <w:r>
        <w:t xml:space="preserve">.</w:t>
      </w:r>
    </w:p>
  </w:footnote>
  <w:footnote w:id="70">
    <w:p>
      <w:pPr>
        <w:pStyle w:val="FootnoteText"/>
      </w:pPr>
      <w:r>
        <w:rPr>
          <w:rStyle w:val="FootnoteReference"/>
        </w:rPr>
        <w:footnoteRef/>
      </w:r>
      <w:r>
        <w:t xml:space="preserve"> </w:t>
      </w:r>
      <w:r>
        <w:t xml:space="preserve">US Environmental Protection Agency (2023)</w:t>
      </w:r>
      <w:r>
        <w:t xml:space="preserve">.</w:t>
      </w:r>
    </w:p>
  </w:footnote>
  <w:footnote w:id="71">
    <w:p>
      <w:pPr>
        <w:pStyle w:val="FootnoteText"/>
      </w:pPr>
      <w:r>
        <w:rPr>
          <w:rStyle w:val="FootnoteReference"/>
        </w:rPr>
        <w:footnoteRef/>
      </w:r>
      <w:r>
        <w:t xml:space="preserve"> </w:t>
      </w:r>
      <w:r>
        <w:t xml:space="preserve">Conservative aggregate estimate from the environmental economics literature; individual components: noise $5/MWh, fuel spill risk $3/MWh, biodiversity impacts $2/MWh.</w:t>
      </w:r>
    </w:p>
  </w:footnote>
  <w:footnote w:id="76">
    <w:p>
      <w:pPr>
        <w:pStyle w:val="FootnoteText"/>
      </w:pPr>
      <w:r>
        <w:rPr>
          <w:rStyle w:val="FootnoteReference"/>
        </w:rPr>
        <w:footnoteRef/>
      </w:r>
      <w:r>
        <w:t xml:space="preserve"> </w:t>
      </w:r>
      <w:r>
        <w:t xml:space="preserve">National Bureau of Statistics, Republic of Maldives (2022)</w:t>
      </w:r>
      <w:r>
        <w:t xml:space="preserve">.</w:t>
      </w:r>
    </w:p>
  </w:footnote>
  <w:footnote w:id="77">
    <w:p>
      <w:pPr>
        <w:pStyle w:val="FootnoteText"/>
      </w:pPr>
      <w:r>
        <w:rPr>
          <w:rStyle w:val="FootnoteReference"/>
        </w:rPr>
        <w:footnoteRef/>
      </w:r>
      <w:r>
        <w:t xml:space="preserve"> </w:t>
      </w:r>
      <w:r>
        <w:t xml:space="preserve">Ministry of Environment, Republic of Maldives (2018)</w:t>
      </w:r>
      <w:r>
        <w:t xml:space="preserve">.</w:t>
      </w:r>
    </w:p>
  </w:footnote>
  <w:footnote w:id="78">
    <w:p>
      <w:pPr>
        <w:pStyle w:val="FootnoteText"/>
      </w:pPr>
      <w:r>
        <w:rPr>
          <w:rStyle w:val="FootnoteReference"/>
        </w:rPr>
        <w:footnoteRef/>
      </w:r>
      <w:r>
        <w:t xml:space="preserve"> </w:t>
      </w:r>
      <w:r>
        <w:t xml:space="preserve">Ministry of Climate Change, Environment and Energy, Republic of Maldives (2024)</w:t>
      </w:r>
      <w:r>
        <w:t xml:space="preserve">; derived from resort capacity data and typical load factors.</w:t>
      </w:r>
    </w:p>
  </w:footnote>
  <w:footnote w:id="87">
    <w:p>
      <w:pPr>
        <w:pStyle w:val="FootnoteText"/>
      </w:pPr>
      <w:r>
        <w:rPr>
          <w:rStyle w:val="FootnoteReference"/>
        </w:rPr>
        <w:footnoteRef/>
      </w:r>
      <w:r>
        <w:t xml:space="preserve"> </w:t>
      </w:r>
      <w:r>
        <w:t xml:space="preserve">Based on recent Maldives import parity price data; see</w:t>
      </w:r>
      <w:r>
        <w:t xml:space="preserve"> </w:t>
      </w:r>
      <w:hyperlink r:id="rId81">
        <w:r>
          <w:rPr>
            <w:rStyle w:val="Hyperlink"/>
          </w:rPr>
          <w:t xml:space="preserve">Appendix B</w:t>
        </w:r>
      </w:hyperlink>
      <w:r>
        <w:t xml:space="preserve"> </w:t>
      </w:r>
      <w:r>
        <w:t xml:space="preserve">for sources and sensitivity ranges.</w:t>
      </w:r>
    </w:p>
  </w:footnote>
  <w:footnote w:id="88">
    <w:p>
      <w:pPr>
        <w:pStyle w:val="FootnoteText"/>
      </w:pPr>
      <w:r>
        <w:rPr>
          <w:rStyle w:val="FootnoteReference"/>
        </w:rPr>
        <w:footnoteRef/>
      </w:r>
      <w:r>
        <w:t xml:space="preserve"> </w:t>
      </w:r>
      <w:r>
        <w:t xml:space="preserve">Value of Lost Load (VOLL) estimate consistent with developing-country electricity valuation literature; see</w:t>
      </w:r>
      <w:r>
        <w:t xml:space="preserve"> </w:t>
      </w:r>
      <w:hyperlink r:id="rId81">
        <w:r>
          <w:rPr>
            <w:rStyle w:val="Hyperlink"/>
          </w:rPr>
          <w:t xml:space="preserve">Appendix B</w:t>
        </w:r>
      </w:hyperlink>
      <w:r>
        <w:t xml:space="preserve">.</w:t>
      </w:r>
    </w:p>
  </w:footnote>
  <w:footnote w:id="89">
    <w:p>
      <w:pPr>
        <w:pStyle w:val="FootnoteText"/>
      </w:pPr>
      <w:r>
        <w:rPr>
          <w:rStyle w:val="FootnoteReference"/>
        </w:rPr>
        <w:footnoteRef/>
      </w:r>
      <w:r>
        <w:t xml:space="preserve"> </w:t>
      </w:r>
      <w:r>
        <w:t xml:space="preserve">See</w:t>
      </w:r>
      <w:r>
        <w:t xml:space="preserve"> </w:t>
      </w:r>
      <w:hyperlink r:id="rId81">
        <w:r>
          <w:rPr>
            <w:rStyle w:val="Hyperlink"/>
          </w:rPr>
          <w:t xml:space="preserve">Appendix B</w:t>
        </w:r>
      </w:hyperlink>
      <w:r>
        <w:t xml:space="preserve"> </w:t>
      </w:r>
      <w:r>
        <w:t xml:space="preserve">for individual component sources and sensitivity ranges.</w:t>
      </w:r>
    </w:p>
  </w:footnote>
  <w:footnote w:id="93">
    <w:p>
      <w:pPr>
        <w:pStyle w:val="FootnoteText"/>
      </w:pPr>
      <w:r>
        <w:rPr>
          <w:rStyle w:val="FootnoteReference"/>
        </w:rPr>
        <w:footnoteRef/>
      </w:r>
      <w:r>
        <w:t xml:space="preserve"> </w:t>
      </w:r>
      <w:r>
        <w:t xml:space="preserve">Ministry of Climate Change, Environment and Energy, Republic of Maldives (2024)</w:t>
      </w:r>
      <w:r>
        <w:t xml:space="preserve">; derived from resort capacity data and typical load factors.</w:t>
      </w:r>
    </w:p>
  </w:footnote>
  <w:footnote w:id="102">
    <w:p>
      <w:pPr>
        <w:pStyle w:val="FootnoteText"/>
      </w:pPr>
      <w:r>
        <w:rPr>
          <w:rStyle w:val="FootnoteReference"/>
        </w:rPr>
        <w:footnoteRef/>
      </w:r>
      <w:r>
        <w:t xml:space="preserve"> </w:t>
      </w:r>
      <w:r>
        <w:t xml:space="preserve">International Renewable Energy Agency (2015)</w:t>
      </w:r>
      <w:r>
        <w:t xml:space="preserve">; STELCO Annual Reports confirm CAGR of approximately 5%.</w:t>
      </w:r>
    </w:p>
  </w:footnote>
  <w:footnote w:id="103">
    <w:p>
      <w:pPr>
        <w:pStyle w:val="FootnoteText"/>
      </w:pPr>
      <w:r>
        <w:rPr>
          <w:rStyle w:val="FootnoteReference"/>
        </w:rPr>
        <w:footnoteRef/>
      </w:r>
      <w:r>
        <w:t xml:space="preserve"> </w:t>
      </w:r>
      <w:r>
        <w:t xml:space="preserve">See</w:t>
      </w:r>
      <w:r>
        <w:t xml:space="preserve"> </w:t>
      </w:r>
      <w:hyperlink r:id="rId81">
        <w:r>
          <w:rPr>
            <w:rStyle w:val="Hyperlink"/>
          </w:rPr>
          <w:t xml:space="preserve">Appendix B</w:t>
        </w:r>
      </w:hyperlink>
      <w:r>
        <w:t xml:space="preserve"> </w:t>
      </w:r>
      <w:r>
        <w:t xml:space="preserve">for fuel price source and sensitivity range.</w:t>
      </w:r>
    </w:p>
  </w:footnote>
  <w:footnote w:id="105">
    <w:p>
      <w:pPr>
        <w:pStyle w:val="FootnoteText"/>
      </w:pPr>
      <w:r>
        <w:rPr>
          <w:rStyle w:val="FootnoteReference"/>
        </w:rPr>
        <w:footnoteRef/>
      </w:r>
      <w:r>
        <w:t xml:space="preserve"> </w:t>
      </w:r>
      <w:r>
        <w:t xml:space="preserve">Ahluwalia &amp; Patel (2023)</w:t>
      </w:r>
      <w:r>
        <w:t xml:space="preserve">; cable route distance estimated from Kanyakumari, India to Malé.</w:t>
      </w:r>
    </w:p>
  </w:footnote>
  <w:footnote w:id="106">
    <w:p>
      <w:pPr>
        <w:pStyle w:val="FootnoteText"/>
      </w:pPr>
      <w:r>
        <w:rPr>
          <w:rStyle w:val="FootnoteReference"/>
        </w:rPr>
        <w:footnoteRef/>
      </w:r>
      <w:r>
        <w:t xml:space="preserve"> </w:t>
      </w:r>
      <w:r>
        <w:t xml:space="preserve">International Energy Agency (2023)</w:t>
      </w:r>
      <w:r>
        <w:t xml:space="preserve">; reflecting the Indian wholesale electricity price plus a cross-border transmission premium.</w:t>
      </w:r>
    </w:p>
  </w:footnote>
  <w:footnote w:id="107">
    <w:p>
      <w:pPr>
        <w:pStyle w:val="FootnoteText"/>
      </w:pPr>
      <w:r>
        <w:rPr>
          <w:rStyle w:val="FootnoteReference"/>
        </w:rPr>
        <w:footnoteRef/>
      </w:r>
      <w:r>
        <w:t xml:space="preserve"> </w:t>
      </w:r>
      <w:r>
        <w:t xml:space="preserve">International Energy Agency (2023)</w:t>
      </w:r>
      <w:r>
        <w:t xml:space="preserve">.</w:t>
      </w:r>
    </w:p>
  </w:footnote>
  <w:footnote w:id="108">
    <w:p>
      <w:pPr>
        <w:pStyle w:val="FootnoteText"/>
      </w:pPr>
      <w:r>
        <w:rPr>
          <w:rStyle w:val="FootnoteReference"/>
        </w:rPr>
        <w:footnoteRef/>
      </w:r>
      <w:r>
        <w:t xml:space="preserve"> </w:t>
      </w:r>
      <w:r>
        <w:t xml:space="preserve">NorNed: 580 km North Sea cable, operational since 2008; Basslink: 290 km Bass Strait cable, operational since 2006. Combined operational record yields λ ≈ 0.15 faults per year.</w:t>
      </w:r>
    </w:p>
  </w:footnote>
  <w:footnote w:id="111">
    <w:p>
      <w:pPr>
        <w:pStyle w:val="FootnoteText"/>
      </w:pPr>
      <w:r>
        <w:rPr>
          <w:rStyle w:val="FootnoteReference"/>
        </w:rPr>
        <w:footnoteRef/>
      </w:r>
      <w:r>
        <w:t xml:space="preserve"> </w:t>
      </w:r>
      <w:r>
        <w:t xml:space="preserve">International Renewable Energy Agency (2023)</w:t>
      </w:r>
      <w:r>
        <w:t xml:space="preserve">;</w:t>
      </w:r>
      <w:r>
        <w:t xml:space="preserve"> </w:t>
      </w:r>
      <w:r>
        <w:t xml:space="preserve">Atlantic Council (2024)</w:t>
      </w:r>
      <w:r>
        <w:t xml:space="preserve"> </w:t>
      </w:r>
      <w:r>
        <w:t xml:space="preserve">confirm SIDS logistics premiums of 20–40%.</w:t>
      </w:r>
    </w:p>
  </w:footnote>
  <w:footnote w:id="115">
    <w:p>
      <w:pPr>
        <w:pStyle w:val="FootnoteText"/>
      </w:pPr>
      <w:r>
        <w:rPr>
          <w:rStyle w:val="FootnoteReference"/>
        </w:rPr>
        <w:footnoteRef/>
      </w:r>
      <w:r>
        <w:t xml:space="preserve"> </w:t>
      </w:r>
      <w:r>
        <w:t xml:space="preserve">Intergovernmental Panel on Climate Change (2006)</w:t>
      </w:r>
      <w:r>
        <w:t xml:space="preserve">; natural gas emission factor adjusted for combined-cycle efficiency.</w:t>
      </w:r>
    </w:p>
  </w:footnote>
  <w:footnote w:id="145">
    <w:p>
      <w:pPr>
        <w:pStyle w:val="FootnoteText"/>
      </w:pPr>
      <w:r>
        <w:rPr>
          <w:rStyle w:val="FootnoteReference"/>
        </w:rPr>
        <w:footnoteRef/>
      </w:r>
      <w:r>
        <w:t xml:space="preserve"> </w:t>
      </w:r>
      <w:r>
        <w:t xml:space="preserve">Asian Development Bank (2017)</w:t>
      </w:r>
      <w:r>
        <w:t xml:space="preserve">;</w:t>
      </w:r>
      <w:r>
        <w:t xml:space="preserve"> </w:t>
      </w:r>
      <w:r>
        <w:t xml:space="preserve">Boardman et al. (2018)</w:t>
      </w:r>
      <w:r>
        <w:t xml:space="preserve">.</w:t>
      </w:r>
    </w:p>
  </w:footnote>
  <w:footnote w:id="179">
    <w:p>
      <w:pPr>
        <w:pStyle w:val="FootnoteText"/>
      </w:pPr>
      <w:r>
        <w:rPr>
          <w:rStyle w:val="FootnoteReference"/>
        </w:rPr>
        <w:footnoteRef/>
      </w:r>
      <w:r>
        <w:t xml:space="preserve"> </w:t>
      </w:r>
      <w:r>
        <w:t xml:space="preserve">The 10% energy burden threshold follows Boardman (1991) and Hills (2012), widely adopted in energy poverty research. See</w:t>
      </w:r>
      <w:r>
        <w:t xml:space="preserve"> </w:t>
      </w:r>
      <w:hyperlink r:id="rId81">
        <w:r>
          <w:rPr>
            <w:rStyle w:val="Hyperlink"/>
          </w:rPr>
          <w:t xml:space="preserve">Appendix B</w:t>
        </w:r>
      </w:hyperlink>
      <w:r>
        <w:t xml:space="preserve">.</w:t>
      </w:r>
    </w:p>
  </w:footnote>
  <w:footnote w:id="188">
    <w:p>
      <w:pPr>
        <w:pStyle w:val="FootnoteText"/>
      </w:pPr>
      <w:r>
        <w:rPr>
          <w:rStyle w:val="FootnoteReference"/>
        </w:rPr>
        <w:footnoteRef/>
      </w:r>
      <w:r>
        <w:t xml:space="preserve"> </w:t>
      </w:r>
      <w:r>
        <w:t xml:space="preserve">Lifeline block threshold consistent with subsistence-level electricity consumption in tropical SIDS; see</w:t>
      </w:r>
      <w:r>
        <w:t xml:space="preserve"> </w:t>
      </w:r>
      <w:hyperlink r:id="rId81">
        <w:r>
          <w:rPr>
            <w:rStyle w:val="Hyperlink"/>
          </w:rPr>
          <w:t xml:space="preserve">Appendix B</w:t>
        </w:r>
      </w:hyperlink>
      <w:r>
        <w:t xml:space="preserve"> </w:t>
      </w:r>
      <w:r>
        <w:t xml:space="preserve">for parameterisation.</w:t>
      </w:r>
    </w:p>
  </w:footnote>
  <w:footnote w:id="189">
    <w:p>
      <w:pPr>
        <w:pStyle w:val="FootnoteText"/>
      </w:pPr>
      <w:r>
        <w:rPr>
          <w:rStyle w:val="FootnoteReference"/>
        </w:rPr>
        <w:footnoteRef/>
      </w:r>
      <w:r>
        <w:t xml:space="preserve"> </w:t>
      </w:r>
      <w:r>
        <w:t xml:space="preserve">See</w:t>
      </w:r>
      <w:r>
        <w:t xml:space="preserve"> </w:t>
      </w:r>
      <w:hyperlink r:id="rId81">
        <w:r>
          <w:rPr>
            <w:rStyle w:val="Hyperlink"/>
          </w:rPr>
          <w:t xml:space="preserve">Appendix B</w:t>
        </w:r>
      </w:hyperlink>
      <w:r>
        <w:t xml:space="preserve">; connection cost estimate based on</w:t>
      </w:r>
      <w:r>
        <w:t xml:space="preserve"> </w:t>
      </w:r>
      <w:r>
        <w:t xml:space="preserve">National Bureau of Statistics, Republic of Maldives (2022)</w:t>
      </w:r>
      <w:r>
        <w:t xml:space="preserve"> </w:t>
      </w:r>
      <w:r>
        <w:t xml:space="preserve">household count and SIDS electrification cost benchmarks.</w:t>
      </w:r>
    </w:p>
  </w:footnote>
  <w:footnote w:id="193">
    <w:p>
      <w:pPr>
        <w:pStyle w:val="FootnoteText"/>
      </w:pPr>
      <w:r>
        <w:rPr>
          <w:rStyle w:val="FootnoteReference"/>
        </w:rPr>
        <w:footnoteRef/>
      </w:r>
      <w:r>
        <w:t xml:space="preserve"> </w:t>
      </w:r>
      <w:r>
        <w:t xml:space="preserve">World Bank (2023)</w:t>
      </w:r>
      <w:r>
        <w:t xml:space="preserve">.</w:t>
      </w:r>
    </w:p>
  </w:footnote>
  <w:footnote w:id="198">
    <w:p>
      <w:pPr>
        <w:pStyle w:val="FootnoteText"/>
      </w:pPr>
      <w:r>
        <w:rPr>
          <w:rStyle w:val="FootnoteReference"/>
        </w:rPr>
        <w:footnoteRef/>
      </w:r>
      <w:r>
        <w:t xml:space="preserve"> </w:t>
      </w:r>
      <w:r>
        <w:t xml:space="preserve">Asian Development Bank (2026)</w:t>
      </w:r>
      <w:r>
        <w:t xml:space="preserve">.</w:t>
      </w:r>
    </w:p>
  </w:footnote>
  <w:footnote w:id="200">
    <w:p>
      <w:pPr>
        <w:pStyle w:val="FootnoteText"/>
      </w:pPr>
      <w:r>
        <w:rPr>
          <w:rStyle w:val="FootnoteReference"/>
        </w:rPr>
        <w:footnoteRef/>
      </w:r>
      <w:r>
        <w:t xml:space="preserve"> </w:t>
      </w:r>
      <w:r>
        <w:t xml:space="preserve">International Monetary Fund (2023)</w:t>
      </w:r>
      <w:r>
        <w:t xml:space="preserve">.</w:t>
      </w:r>
    </w:p>
  </w:footnote>
  <w:footnote w:id="204">
    <w:p>
      <w:pPr>
        <w:pStyle w:val="FootnoteText"/>
      </w:pPr>
      <w:r>
        <w:rPr>
          <w:rStyle w:val="FootnoteReference"/>
        </w:rPr>
        <w:footnoteRef/>
      </w:r>
      <w:r>
        <w:t xml:space="preserve"> </w:t>
      </w:r>
      <w:r>
        <w:t xml:space="preserve">Ministry of Climate Change, Environment and Energy, Republic of Maldives (2024)</w:t>
      </w:r>
      <w:r>
        <w:t xml:space="preserve"> </w:t>
      </w:r>
      <w:r>
        <w:t xml:space="preserve">reports over $200M in annual electricity subsidies; the per-kWh rate is derived from the subsidy bill and total generation.</w:t>
      </w:r>
    </w:p>
  </w:footnote>
  <w:footnote w:id="214">
    <w:p>
      <w:pPr>
        <w:pStyle w:val="FootnoteText"/>
      </w:pPr>
      <w:r>
        <w:rPr>
          <w:rStyle w:val="FootnoteReference"/>
        </w:rPr>
        <w:footnoteRef/>
      </w:r>
      <w:r>
        <w:t xml:space="preserve"> </w:t>
      </w:r>
      <w:r>
        <w:t xml:space="preserve">Standard EIA timeline for infrastructure projects in the Maldives; Environmental Protection Agency guidelines.</w:t>
      </w:r>
    </w:p>
  </w:footnote>
  <w:footnote w:id="217">
    <w:p>
      <w:pPr>
        <w:pStyle w:val="FootnoteText"/>
      </w:pPr>
      <w:r>
        <w:rPr>
          <w:rStyle w:val="FootnoteReference"/>
        </w:rPr>
        <w:footnoteRef/>
      </w:r>
      <w:r>
        <w:t xml:space="preserve"> </w:t>
      </w:r>
      <w:r>
        <w:t xml:space="preserve">Bloomberg New Energy Finance (2025)</w:t>
      </w:r>
      <w:r>
        <w:t xml:space="preserve">.</w:t>
      </w:r>
    </w:p>
  </w:footnote>
  <w:footnote w:id="218">
    <w:p>
      <w:pPr>
        <w:pStyle w:val="FootnoteText"/>
      </w:pPr>
      <w:r>
        <w:rPr>
          <w:rStyle w:val="FootnoteReference"/>
        </w:rPr>
        <w:footnoteRef/>
      </w:r>
      <w:r>
        <w:t xml:space="preserve"> </w:t>
      </w:r>
      <w:r>
        <w:t xml:space="preserve">Wright’s Law learning rate for lithium-ion batteries; see</w:t>
      </w:r>
      <w:r>
        <w:t xml:space="preserve"> </w:t>
      </w:r>
      <w:r>
        <w:t xml:space="preserve">International Renewable Energy Agency (2024)</w:t>
      </w:r>
      <w:r>
        <w:t xml:space="preserve"> </w:t>
      </w:r>
      <w:r>
        <w:t xml:space="preserve">and</w:t>
      </w:r>
      <w:r>
        <w:t xml:space="preserve"> </w:t>
      </w:r>
      <w:hyperlink r:id="rId82">
        <w:r>
          <w:rPr>
            <w:rStyle w:val="Hyperlink"/>
          </w:rPr>
          <w:t xml:space="preserve">Appendix C</w:t>
        </w:r>
      </w:hyperlink>
      <w:r>
        <w:t xml:space="preserve"> </w:t>
      </w:r>
      <w:r>
        <w:t xml:space="preserve">for endogenous learning curve analysis.</w:t>
      </w:r>
    </w:p>
  </w:footnote>
  <w:footnote w:id="220">
    <w:p>
      <w:pPr>
        <w:pStyle w:val="FootnoteText"/>
      </w:pPr>
      <w:r>
        <w:rPr>
          <w:rStyle w:val="FootnoteReference"/>
        </w:rPr>
        <w:footnoteRef/>
      </w:r>
      <w:r>
        <w:t xml:space="preserve"> </w:t>
      </w:r>
      <w:r>
        <w:t xml:space="preserve">Jordan &amp; Kurtz (2013)</w:t>
      </w:r>
      <w:r>
        <w:t xml:space="preserve">.</w:t>
      </w:r>
    </w:p>
  </w:footnote>
  <w:footnote w:id="227">
    <w:p>
      <w:pPr>
        <w:pStyle w:val="FootnoteText"/>
      </w:pPr>
      <w:r>
        <w:rPr>
          <w:rStyle w:val="FootnoteReference"/>
        </w:rPr>
        <w:footnoteRef/>
      </w:r>
      <w:r>
        <w:t xml:space="preserve"> </w:t>
      </w:r>
      <w:r>
        <w:t xml:space="preserve">Based on NorNed and Basslink operational records; see</w:t>
      </w:r>
      <w:r>
        <w:t xml:space="preserve"> </w:t>
      </w:r>
      <w:hyperlink w:anchor="sec-s2">
        <w:r>
          <w:rPr>
            <w:rStyle w:val="Hyperlink"/>
          </w:rPr>
          <w:t xml:space="preserve">Section 6.3</w:t>
        </w:r>
      </w:hyperlink>
      <w:r>
        <w:t xml:space="preserve"> </w:t>
      </w:r>
      <w:r>
        <w:t xml:space="preserve">for detail.</w:t>
      </w:r>
    </w:p>
  </w:footnote>
  <w:footnote w:id="230">
    <w:p>
      <w:pPr>
        <w:pStyle w:val="FootnoteText"/>
      </w:pPr>
      <w:r>
        <w:rPr>
          <w:rStyle w:val="FootnoteReference"/>
        </w:rPr>
        <w:footnoteRef/>
      </w:r>
      <w:r>
        <w:t xml:space="preserve"> </w:t>
      </w:r>
      <w:r>
        <w:t xml:space="preserve">Asian Development Bank (2026)</w:t>
      </w:r>
      <w:r>
        <w:t xml:space="preserve">.</w:t>
      </w:r>
    </w:p>
  </w:footnote>
  <w:footnote w:id="232">
    <w:p>
      <w:pPr>
        <w:pStyle w:val="FootnoteText"/>
      </w:pPr>
      <w:r>
        <w:rPr>
          <w:rStyle w:val="FootnoteReference"/>
        </w:rPr>
        <w:footnoteRef/>
      </w:r>
      <w:r>
        <w:t xml:space="preserve"> </w:t>
      </w:r>
      <w:r>
        <w:t xml:space="preserve">Zentrum für Nachhaltige Energiesysteme (ZNES), Europa-Universität Flensburg (2020)</w:t>
      </w:r>
      <w:r>
        <w:t xml:space="preserve">.</w:t>
      </w:r>
    </w:p>
  </w:footnote>
  <w:footnote w:id="235">
    <w:p>
      <w:pPr>
        <w:pStyle w:val="FootnoteText"/>
      </w:pPr>
      <w:r>
        <w:rPr>
          <w:rStyle w:val="FootnoteReference"/>
        </w:rPr>
        <w:footnoteRef/>
      </w:r>
      <w:r>
        <w:t xml:space="preserve"> </w:t>
      </w:r>
      <w:r>
        <w:t xml:space="preserve">International Renewable Energy Agency (2024)</w:t>
      </w:r>
      <w:r>
        <w:t xml:space="preserve">;</w:t>
      </w:r>
      <w:r>
        <w:t xml:space="preserve"> </w:t>
      </w:r>
      <w:r>
        <w:t xml:space="preserve">Bloomberg New Energy Finance (2025)</w:t>
      </w:r>
      <w:r>
        <w:t xml:space="preserve">. See</w:t>
      </w:r>
      <w:r>
        <w:t xml:space="preserve"> </w:t>
      </w:r>
      <w:hyperlink r:id="rId82">
        <w:r>
          <w:rPr>
            <w:rStyle w:val="Hyperlink"/>
          </w:rPr>
          <w:t xml:space="preserve">Appendix C</w:t>
        </w:r>
      </w:hyperlink>
      <w:r>
        <w:t xml:space="preserve"> </w:t>
      </w:r>
      <w:r>
        <w:t xml:space="preserve">for endogenous learning curve analysis.</w:t>
      </w:r>
    </w:p>
  </w:footnote>
  <w:footnote w:id="238">
    <w:p>
      <w:pPr>
        <w:pStyle w:val="FootnoteText"/>
      </w:pPr>
      <w:r>
        <w:rPr>
          <w:rStyle w:val="FootnoteReference"/>
        </w:rPr>
        <w:footnoteRef/>
      </w:r>
      <w:r>
        <w:t xml:space="preserve"> </w:t>
      </w:r>
      <w:r>
        <w:t xml:space="preserve">Ministry of Climate Change, Environment and Energy, Republic of Maldives (2024)</w:t>
      </w:r>
      <w:r>
        <w:t xml:space="preserve"> </w:t>
      </w:r>
      <w:r>
        <w:t xml:space="preserve">reports over $200M in annual electricity subsidies.</w:t>
      </w:r>
    </w:p>
  </w:footnote>
  <w:footnote w:id="240">
    <w:p>
      <w:pPr>
        <w:pStyle w:val="FootnoteText"/>
      </w:pPr>
      <w:r>
        <w:rPr>
          <w:rStyle w:val="FootnoteReference"/>
        </w:rPr>
        <w:footnoteRef/>
      </w:r>
      <w:r>
        <w:t xml:space="preserve"> </w:t>
      </w:r>
      <w:r>
        <w:t xml:space="preserve">Ministry of Climate Change, Environment and Energy, Republic of Maldives (2024)</w:t>
      </w:r>
      <w:r>
        <w:t xml:space="preserve">; derived from resort capacity data and typical load factors.</w:t>
      </w:r>
    </w:p>
  </w:footnote>
  <w:footnote w:id="241">
    <w:p>
      <w:pPr>
        <w:pStyle w:val="FootnoteText"/>
      </w:pPr>
      <w:r>
        <w:rPr>
          <w:rStyle w:val="FootnoteReference"/>
        </w:rPr>
        <w:footnoteRef/>
      </w:r>
      <w:r>
        <w:t xml:space="preserve"> </w:t>
      </w:r>
      <w:r>
        <w:t xml:space="preserve">See</w:t>
      </w:r>
      <w:r>
        <w:t xml:space="preserve"> </w:t>
      </w:r>
      <w:hyperlink r:id="rId82">
        <w:r>
          <w:rPr>
            <w:rStyle w:val="Hyperlink"/>
          </w:rPr>
          <w:t xml:space="preserve">Appendix C</w:t>
        </w:r>
      </w:hyperlink>
      <w:r>
        <w:t xml:space="preserve"> </w:t>
      </w:r>
      <w:r>
        <w:t xml:space="preserve">for the full climate scenario analysis.</w:t>
      </w:r>
    </w:p>
  </w:footnote>
  <w:footnote w:id="242">
    <w:p>
      <w:pPr>
        <w:pStyle w:val="FootnoteText"/>
      </w:pPr>
      <w:r>
        <w:rPr>
          <w:rStyle w:val="FootnoteReference"/>
        </w:rPr>
        <w:footnoteRef/>
      </w:r>
      <w:r>
        <w:t xml:space="preserve"> </w:t>
      </w:r>
      <w:r>
        <w:t xml:space="preserve">Global Center on Adaptation (2025)</w:t>
      </w:r>
      <w:r>
        <w:t xml:space="preserve">; 5–15% range tested in sensitivity analysis.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21" Target="media/rId21.png" /><Relationship Type="http://schemas.openxmlformats.org/officeDocument/2006/relationships/image" Id="rId146" Target="media/rId146.png" /><Relationship Type="http://schemas.openxmlformats.org/officeDocument/2006/relationships/image" Id="rId99" Target="media/rId99.png" /><Relationship Type="http://schemas.openxmlformats.org/officeDocument/2006/relationships/hyperlink" Id="rId80" Target="A-methodology-detail.qmd" TargetMode="External" /><Relationship Type="http://schemas.openxmlformats.org/officeDocument/2006/relationships/hyperlink" Id="rId81" Target="B-parameters.qmd" TargetMode="External" /><Relationship Type="http://schemas.openxmlformats.org/officeDocument/2006/relationships/hyperlink" Id="rId82" Target="C-supplementary.qmd" TargetMode="External" /><Relationship Type="http://schemas.openxmlformats.org/officeDocument/2006/relationships/hyperlink" Id="rId25" Target="executive-summary.qmd" TargetMode="External" /><Relationship Type="http://schemas.openxmlformats.org/officeDocument/2006/relationships/hyperlink" Id="rId401" Target="https://census.gov.mv/" TargetMode="External" /><Relationship Type="http://schemas.openxmlformats.org/officeDocument/2006/relationships/hyperlink" Id="rId394" Target="https://doi.org/10.1002/pip.1182" TargetMode="External" /><Relationship Type="http://schemas.openxmlformats.org/officeDocument/2006/relationships/hyperlink" Id="rId409" Target="https://doi.org/10.1257/aer.91.1.260" TargetMode="External" /><Relationship Type="http://schemas.openxmlformats.org/officeDocument/2006/relationships/hyperlink" Id="rId375" Target="https://doi.org/10.1257/pol.20160240" TargetMode="External" /><Relationship Type="http://schemas.openxmlformats.org/officeDocument/2006/relationships/hyperlink" Id="rId411" Target="https://doi.org/10.1596/39796" TargetMode="External" /><Relationship Type="http://schemas.openxmlformats.org/officeDocument/2006/relationships/hyperlink" Id="rId377" Target="https://gca.org/reports/state-and-trends-in-adaptation/" TargetMode="External" /><Relationship Type="http://schemas.openxmlformats.org/officeDocument/2006/relationships/hyperlink" Id="rId413" Target="https://globalsolaratlas.info/" TargetMode="External" /><Relationship Type="http://schemas.openxmlformats.org/officeDocument/2006/relationships/hyperlink" Id="rId404" Target="https://reglobal.org/embracing-renewables-overview-of-the-clean-energy-sector-in-maldives/" TargetMode="External" /><Relationship Type="http://schemas.openxmlformats.org/officeDocument/2006/relationships/hyperlink" Id="rId379" Target="https://unfccc.int" TargetMode="External" /><Relationship Type="http://schemas.openxmlformats.org/officeDocument/2006/relationships/hyperlink" Id="rId363" Target="https://www.adb.org/documents/guidelines-economic-analysis-projects" TargetMode="External" /><Relationship Type="http://schemas.openxmlformats.org/officeDocument/2006/relationships/hyperlink" Id="rId365" Target="https://www.adb.org/projects/55191-001/main" TargetMode="External" /><Relationship Type="http://schemas.openxmlformats.org/officeDocument/2006/relationships/hyperlink" Id="rId368" Target="https://www.atlanticcouncil.org/in-depth-research-reports/issue-brief/a-roadmap-for-the-caribbeans-energy-transition/" TargetMode="External" /><Relationship Type="http://schemas.openxmlformats.org/officeDocument/2006/relationships/hyperlink" Id="rId397" Target="https://www.cif.org/sites/default/files/maldives_energy_sector_srep_-_nigeria_.pdf" TargetMode="External" /><Relationship Type="http://schemas.openxmlformats.org/officeDocument/2006/relationships/hyperlink" Id="rId407" Target="https://www.epa.gov/environmental-economics/scghg" TargetMode="External" /><Relationship Type="http://schemas.openxmlformats.org/officeDocument/2006/relationships/hyperlink" Id="rId373" Target="https://www.gov.uk/government/publications/multi-criteria-analysis-manual-for-making-government-policy" TargetMode="External" /><Relationship Type="http://schemas.openxmlformats.org/officeDocument/2006/relationships/hyperlink" Id="rId381" Target="https://www.gov.uk/government/publications/the-green-book-appraisal-and-evaluation-in-central-governent" TargetMode="External" /><Relationship Type="http://schemas.openxmlformats.org/officeDocument/2006/relationships/hyperlink" Id="rId384" Target="https://www.iea.org/reports/india-energy-outlook-2023" TargetMode="External" /><Relationship Type="http://schemas.openxmlformats.org/officeDocument/2006/relationships/hyperlink" Id="rId386" Target="https://www.imf.org/en/Topics/Sovereign-Debt/Debt-Sustainability-Analysis" TargetMode="External" /><Relationship Type="http://schemas.openxmlformats.org/officeDocument/2006/relationships/hyperlink" Id="rId392" Target="https://www.irena.org/Publications/2024/Sep/Renewable-Power-Generation-Costs-in-2023" TargetMode="External" /><Relationship Type="http://schemas.openxmlformats.org/officeDocument/2006/relationships/hyperlink" Id="rId390" Target="https://www.irena.org/publications" TargetMode="External" /><Relationship Type="http://schemas.openxmlformats.org/officeDocument/2006/relationships/hyperlink" Id="rId388" Target="https://www.irena.org/publications/2015/Sep/Renewable-Energy-Roadmap-for-The-Republic-of-Maldives" TargetMode="External" /></Relationships>
</file>

<file path=word/_rels/footnotes.xml.rels><?xml version="1.0" encoding="UTF-8"?><Relationships xmlns="http://schemas.openxmlformats.org/package/2006/relationships"><Relationship Type="http://schemas.openxmlformats.org/officeDocument/2006/relationships/hyperlink" Id="rId80" Target="A-methodology-detail.qmd" TargetMode="External" /><Relationship Type="http://schemas.openxmlformats.org/officeDocument/2006/relationships/hyperlink" Id="rId81" Target="B-parameters.qmd" TargetMode="External" /><Relationship Type="http://schemas.openxmlformats.org/officeDocument/2006/relationships/hyperlink" Id="rId82" Target="C-supplementary.qmd" TargetMode="External" /><Relationship Type="http://schemas.openxmlformats.org/officeDocument/2006/relationships/hyperlink" Id="rId25" Target="executive-summary.qmd" TargetMode="External" /><Relationship Type="http://schemas.openxmlformats.org/officeDocument/2006/relationships/hyperlink" Id="rId401" Target="https://census.gov.mv/" TargetMode="External" /><Relationship Type="http://schemas.openxmlformats.org/officeDocument/2006/relationships/hyperlink" Id="rId394" Target="https://doi.org/10.1002/pip.1182" TargetMode="External" /><Relationship Type="http://schemas.openxmlformats.org/officeDocument/2006/relationships/hyperlink" Id="rId409" Target="https://doi.org/10.1257/aer.91.1.260" TargetMode="External" /><Relationship Type="http://schemas.openxmlformats.org/officeDocument/2006/relationships/hyperlink" Id="rId375" Target="https://doi.org/10.1257/pol.20160240" TargetMode="External" /><Relationship Type="http://schemas.openxmlformats.org/officeDocument/2006/relationships/hyperlink" Id="rId411" Target="https://doi.org/10.1596/39796" TargetMode="External" /><Relationship Type="http://schemas.openxmlformats.org/officeDocument/2006/relationships/hyperlink" Id="rId377" Target="https://gca.org/reports/state-and-trends-in-adaptation/" TargetMode="External" /><Relationship Type="http://schemas.openxmlformats.org/officeDocument/2006/relationships/hyperlink" Id="rId413" Target="https://globalsolaratlas.info/" TargetMode="External" /><Relationship Type="http://schemas.openxmlformats.org/officeDocument/2006/relationships/hyperlink" Id="rId404" Target="https://reglobal.org/embracing-renewables-overview-of-the-clean-energy-sector-in-maldives/" TargetMode="External" /><Relationship Type="http://schemas.openxmlformats.org/officeDocument/2006/relationships/hyperlink" Id="rId379" Target="https://unfccc.int" TargetMode="External" /><Relationship Type="http://schemas.openxmlformats.org/officeDocument/2006/relationships/hyperlink" Id="rId363" Target="https://www.adb.org/documents/guidelines-economic-analysis-projects" TargetMode="External" /><Relationship Type="http://schemas.openxmlformats.org/officeDocument/2006/relationships/hyperlink" Id="rId365" Target="https://www.adb.org/projects/55191-001/main" TargetMode="External" /><Relationship Type="http://schemas.openxmlformats.org/officeDocument/2006/relationships/hyperlink" Id="rId368" Target="https://www.atlanticcouncil.org/in-depth-research-reports/issue-brief/a-roadmap-for-the-caribbeans-energy-transition/" TargetMode="External" /><Relationship Type="http://schemas.openxmlformats.org/officeDocument/2006/relationships/hyperlink" Id="rId397" Target="https://www.cif.org/sites/default/files/maldives_energy_sector_srep_-_nigeria_.pdf" TargetMode="External" /><Relationship Type="http://schemas.openxmlformats.org/officeDocument/2006/relationships/hyperlink" Id="rId407" Target="https://www.epa.gov/environmental-economics/scghg" TargetMode="External" /><Relationship Type="http://schemas.openxmlformats.org/officeDocument/2006/relationships/hyperlink" Id="rId373" Target="https://www.gov.uk/government/publications/multi-criteria-analysis-manual-for-making-government-policy" TargetMode="External" /><Relationship Type="http://schemas.openxmlformats.org/officeDocument/2006/relationships/hyperlink" Id="rId381" Target="https://www.gov.uk/government/publications/the-green-book-appraisal-and-evaluation-in-central-governent" TargetMode="External" /><Relationship Type="http://schemas.openxmlformats.org/officeDocument/2006/relationships/hyperlink" Id="rId384" Target="https://www.iea.org/reports/india-energy-outlook-2023" TargetMode="External" /><Relationship Type="http://schemas.openxmlformats.org/officeDocument/2006/relationships/hyperlink" Id="rId386" Target="https://www.imf.org/en/Topics/Sovereign-Debt/Debt-Sustainability-Analysis" TargetMode="External" /><Relationship Type="http://schemas.openxmlformats.org/officeDocument/2006/relationships/hyperlink" Id="rId392" Target="https://www.irena.org/Publications/2024/Sep/Renewable-Power-Generation-Costs-in-2023" TargetMode="External" /><Relationship Type="http://schemas.openxmlformats.org/officeDocument/2006/relationships/hyperlink" Id="rId390" Target="https://www.irena.org/publications" TargetMode="External" /><Relationship Type="http://schemas.openxmlformats.org/officeDocument/2006/relationships/hyperlink" Id="rId388" Target="https://www.irena.org/publications/2015/Sep/Renewable-Energy-Roadmap-for-The-Republic-of-Maldiv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 Transition Pathways for the Maldives</dc:title>
  <dc:creator>Lucas Sempé</dc:creator>
  <cp:keywords/>
  <dcterms:created xsi:type="dcterms:W3CDTF">2026-02-11T09:15:47Z</dcterms:created>
  <dcterms:modified xsi:type="dcterms:W3CDTF">2026-02-11T09:15:47Z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csl">
    <vt:lpwstr>https://raw.githubusercontent.com/citation-style-language/styles/master/apa.csl</vt:lpwstr>
  </property>
  <property fmtid="{D5CDD505-2E9C-101B-9397-08002B2CF9AE}" pid="11" name="date">
    <vt:lpwstr>February 2026</vt:lpwstr>
  </property>
  <property fmtid="{D5CDD505-2E9C-101B-9397-08002B2CF9AE}" pid="12" name="date-format">
    <vt:lpwstr>MMMM YYYY</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jupyter">
    <vt:lpwstr>python3</vt:lpwstr>
  </property>
  <property fmtid="{D5CDD505-2E9C-101B-9397-08002B2CF9AE}" pid="17" name="labels">
    <vt:lpwstr/>
  </property>
  <property fmtid="{D5CDD505-2E9C-101B-9397-08002B2CF9AE}" pid="18" name="subtitle">
    <vt:lpwstr>A Cost-Benefit Analysis of Seven Electricity Scenarios, 2026–2056</vt:lpwstr>
  </property>
  <property fmtid="{D5CDD505-2E9C-101B-9397-08002B2CF9AE}" pid="19" name="template-partials">
    <vt:lpwstr/>
  </property>
  <property fmtid="{D5CDD505-2E9C-101B-9397-08002B2CF9AE}" pid="20" name="toc-title">
    <vt:lpwstr>Table of contents</vt:lpwstr>
  </property>
</Properties>
</file>