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single-sided: the next sheet is handed out later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decision rule for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First difference: each group's change over time. This change removes fixed differences between the groups, but it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Second difference: the difference between those two changes. This second subtraction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Is the saving at least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separate sheet; hand out at 'Running the regression', after the hand calculation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Circle the row that is the programme's effect. Is that row's coefficient the same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Two other rows are often reported as the effect by mistake. What does each of these two rows actually measure?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After (round 1) measures  __________________      Enrolled measures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Look at the end of the effect's confidence interval with the smallest saving:  ________ AED.  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4. Costs were measured only once before the programme and once after. Because of this, what can you not check about the two groups before the programme started?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pair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Underline the sentences that the table supports. Cross out the sentences that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With the second prompt, does the AI still claim that parallel trends were satisfied? Then paste the second answer into a new chat and ask the AI to check that answer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If you have time: a prompt that pushes the AI towards an answer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the AI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 DiD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Took part 1,449 to 784: change -665. Did not take part 2,079 to 2,230: change +151. Difference of the changes: -816 AED. It does not clear 1,000. Watch the sign: the comparison group went up, so the effect is bigger than the 665 fall in the top row.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After (round 1) x Enrolled, -816 AED: the same number as by hand. 2. After (round 1) (151) is the time trend, what happened to everyone; Enrolled (-630) is the baseline gap, how far apart the groups started. Many pick Enrolled because it is large and has the word in it. 3. 752 AED; the interval is -881 to -752, and even its most generous end (881) is short of 1,000. 4. Whether the groups were already moving in parallel: a pre-trend check needs at least two periods before the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Snapshot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Supported by the table: the 816 AED estimate and p &lt; 0.001. Not supported: "so the programme was a success" answers whether the effect is non-zero, not whether it clears 1,000. "Does not include zero, which confirms the finding is robust": not zero and big enough are different claims. "The parallel trends assumption has been satisfied" is the serious one: with one period before the programme it cannot be tested, so the model reported a test that was never run. "Clears the 1,000 AED threshold" is false: even the interval's most generous end is 881 AED.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With the second prompt, check whether the parallel-trends claim disappears. Supplying the constraint makes the error less likely; it does not rule it out.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2026-10-05T15:45:50Z</dcterms:modified>
  <cp:category/>
</cp:coreProperties>
</file>