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3,080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2,400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1,120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1,750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1,810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1,240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four different cards (A-D); give each pair one card, so neighbours hold different cards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4,010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2,830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the jump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pair next to you had a card with different businesses, and found a different jump. Why are the jumps different? What would you need before you trusted one jump as the effect of the programme?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Scorecard: can we trust the jump at 58?</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 mark each check as the trainer runs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trainer runs each check on screen. For each check, write pass, fail or unclear, and add a short note.</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Note</w:t>
            </w:r>
          </w:p>
        </w:tc>
      </w:tr>
      <w:tr>
        <w:trPr>
          <w:trHeight w:val="792" w:hRule="atLeast"/>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Only businesses in neighbourhoods where the programme was offered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A different window around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Does the decision against 1,000 AED change when the window is wider or narrower?</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1b. Placebo (fake)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jump at other cut-offs, where no rule applies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unusual crowding of businesses just below 58 (a sign that businesses changed their score to qualify)</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Characteristics such as size and manager age do not jump at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Who does the result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Are the businesses near 58 like the businesses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Overall: would you act on this estimate?   Act  /  Act with conditions  /  Send back to the evaluator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One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group</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that the study supports. Cross out every claim that the study does not support. What important information did the AI's answer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Run this prompt. Which businesses does the new answer say the result applies to? Then paste the answer into a new chat and ask the AI to check that answer for claims the study does not support.</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an RDD result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stay when the window is wider or narrower? Is there no jump at placebo (fake)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Are there about the same number of units just above and just below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 other characteristics (such as size or manager age) change suddenly at the cut-off?</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cut-off, and does the estimate meet our decision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I will ask these questions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trike w:val="fals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 jump by hand</w:t>
      </w:r>
    </w:p>
    <w:tbl xmlns:a="http://schemas.openxmlformats.org/drawingml/2006/main" xmlns:pic="http://schemas.openxmlformats.org/drawingml/2006/picture">
      <w:tblPr>
        <w:tblLayout w:type="fixed"/>
        <w:jc w:val="center"/>
        <w:tblLook w:firstRow="1" w:lastRow="0" w:firstColumn="0" w:lastColumn="0" w:noHBand="0" w:noVBand="1"/>
      </w:tblPr>
      <w:tblGrid>
        <w:gridCol w:w="1152"/>
        <w:gridCol w:w="2016"/>
        <w:gridCol w:w="2016"/>
        <w:gridCol w:w="1728"/>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Card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Below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Above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Jump</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A</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722</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-1,237</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B</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1,768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-1,108</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C</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853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2,110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-1,257</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1,883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2,055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-172</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Write the pairs' jumps on the flipchart. They spread widely because six businesses a side is too few; the regression uses the 773 businesses within two points and reports an interval (-791, from -1,084 to -498). The rough gap is also inflated by the slope of costs along the index, which the regression removes.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Scorecard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0: pass only with the offered neighbourhoods (pooling every neighbourhood waters the jump down to about -249). 1: the estimate moves between about 790 and 1,120; the least generous end never reaches 1,000 (verdict: does not clear). 1b: pass. 2: pass. 3: FAIL, manager age is 5 to 9 years younger just below the line at every window. 4: the 773 businesses near the line are smaller than the rest.</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AI Snapshot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Wrong: 'applies to all businesses', 'generalises to the wider population', 'basis for scaling to every business'. The estimate is local to the line. Left out: the manager-age jump, and the 1,000 AED rule.</w:t>
      </w:r>
    </w:p>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2026-10-05T15:45:43Z</dcterms:modified>
  <cp:category/>
</cp:coreProperties>
</file>