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Six pairs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Each section of this session shows the same data drawn two ways. For every pair, discuss in groups: what is the figure telling you, and what might be wrong or misleading about the figure?</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3456"/>
        <w:gridCol w:w="3456"/>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Pair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is the figure telling you?</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might be wrong or misleading?</w:t>
            </w:r>
          </w:p>
        </w:tc>
      </w:tr>
      <w:tr>
        <w:trPr>
          <w:trHeight w:val="1224"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The same gap, two axes</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A bar of means, then the distributions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Percentages: zero bases, biggest wins, two averages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After only, then before and after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 Savings added up, then discounted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224"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 The pie, then the counts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Predict before the reveal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Share of enrolled businesses that paid more than the average non-enrolled business:  ________ %</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percentage change in child collisions with all segments added together, and the average of each segment's own percentage change: are these two numbers close, or far apart?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discount rate at which five years of savings no longer cover the 1,800 AED cost:  ________ %</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which chart is fairer?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two GreenWaste baseline figures: the same gap between enrolled and not-enrolled businesses, drawn twice.</w:t>
      </w:r>
    </w:p>
    <w:p>
      <w:pPr>
        <w:pStyle w:val="Normal"/>
      </w:pPr>
      <w:r>
        <w:rPr/>
        <w:drawing>
          <wp:inline distT="0" distB="0" distL="0" distR="0">
            <wp:extent cx="5852160" cy="23774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852160" cy="237744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Give the model both figures and this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"Which of these two charts better represents the difference between the two groups, and why?"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Both charts present the same underlying data accurately. The truncated-axis chart is often preferable for a policy audience because it makes the difference visible, and a y-axis that starts at zero is not a requirement in professional data visualisation. On balance the truncated version communicates the finding more effectively, and a reader who wants the absolute values can consult the data labels.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Four minutes. Is the AI's answer correct? Does the answer respond to the question that was asked? What does the answer explain well?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will sit beside the claim 'the programme reduced costs substantially'. Is the axis appropriate for that claim, for a non-technical reader?"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What changes in the AI's answer with this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habits: ask the AI to ask you questions before it answers, and paste the AI's answer into a new chat and ask the AI to check that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rules for any figure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518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each bar is an average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what each percentage is a percentage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Show future savings at today's value (discounted).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next session (the QA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each bar is an average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what each percentage is a percentage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Show future savings at today's value (discounted).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next session (the QA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518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each bar is an average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what each percentage is a percentage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Show future savings at today's value (discounted).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next session (the QA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rules for any figure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Read the axis before the shape.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Ask what each bar is an average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Check what each percentage is a percentage of.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Compare changes, not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Show future savings at today's value (discounted).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The fastest check: read the y-axis, then the sentence under the figure. Large compared to what?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Questions I will bring to the next session (the QA clinic):</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2 · What Can You Read? What Might Be Wrong?</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six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The gap is 630 AED in both figures (30% of the non-enrolled mean, 1.13 standard deviations). The truncated axis starts at 1,300, so the gap fills the frame. Cover the bars, read the axis, uncover.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The two groups overlap very little: only 7.8% of enrolled businesses paid more than the average non-enrolled business. A bar of means cannot show that.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10 of the 200 package segments had no child collisions at baseline, so a percentage change is undefined for them. 33 package segments fell to zero, a 100% cut, 23 of them from four collisions or fewer. The two top-six lists share 1 segment and answer different questions: where the package worked best, and where it prevented the most harm (54 collisions removed).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After only, the gap is 1,447 AED. The comparison group started 630 AED worse off and its costs were rising anyway; the DiD estimate is 816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5. Added up, five years of savings reach 4,080 AED; discounted at 5%, 3,365. The 715 AED gap comes from the discount rate alone. Ratio 1.87.</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6. The slices overlap: every child collision is also an injury collision, so the percentages are wrong as drawn. The pie also pools both rounds and hides the counts (minor 12,935, injury 7,616, of which child 2,852).</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Predictions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7.8%. Pooled -51.5% against an average of -35.6% across the 190 package segments with a baseline: far apart, because the pooled figure weights segments by their collisions. About 24%.</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Each sentence is accurate. The answer skips who is reading the figure and the sentence beside it: a truncated axis suits "a difference exists", not "a large difference". It never checks either picture against the number (630 AED, 1.13 standard deviations), and it does not ask who the audience is. The better prompt names both.</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bc7f3aca9adabdbc7261e5e5de519f4155c1489.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2026-10-05T15:45:54Z</dcterms:modified>
  <cp:category/>
</cp:coreProperties>
</file>