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3, Session 3 · Interrogate the Analyst</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Sort these: strong or weak?</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set per group, cut into slips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Mark each question S or W. Strong (S): the analyst must give a fact or a number to answer the question. Weak (W): the analyst can answer with one word, such as "yes". Then sort the slips into two piles.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1584"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1</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Did the programme work?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2</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would have happened to these businesses without the programme?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r>
      <w:tr>
        <w:trPr>
          <w:trHeight w:val="1584"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3</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Was the sample large enough?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4</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How many businesses dropped out between the two survey rounds?</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r>
      <w:tr>
        <w:trPr>
          <w:trHeight w:val="1584"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5</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Were the results statistically significant?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6</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Which assumption, if wrong, would flip the finding?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r>
      <w:tr>
        <w:trPr>
          <w:trHeight w:val="1584"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7</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Is this good quality data?</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8</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If the effect were half this size, would you still recommend scale-up?</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3, Session 3 · Interrogate the Analyst</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Clinic record sheet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group</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Your area:   Methodology  /  Assumptions  /  Data quality  /  Conclusions</w:t>
      </w:r>
    </w:p>
    <w:tbl xmlns:a="http://schemas.openxmlformats.org/drawingml/2006/main" xmlns:pic="http://schemas.openxmlformats.org/drawingml/2006/picture">
      <w:tblPr>
        <w:tblLayout w:type="fixed"/>
        <w:jc w:val="center"/>
        <w:tblLook w:firstRow="1" w:lastRow="0" w:firstColumn="0" w:lastColumn="0" w:noHBand="0" w:noVBand="1"/>
      </w:tblPr>
      <w:tblGrid>
        <w:gridCol w:w="3456"/>
        <w:gridCol w:w="4032"/>
        <w:gridCol w:w="2592"/>
      </w:tblGrid>
      <w:tr>
        <w:trPr>
          <w:trHeight w:val="360" w:hRule="auto"/>
          <w:tblHeader/>
        </w:trPr>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Our question</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What the analyst said</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Answered / Admitted they do not know / Avoided the question / Cannot be answered with this data</w:t>
            </w:r>
          </w:p>
        </w:tc>
      </w:tr>
      <w:tr>
        <w:trPr>
          <w:trHeight w:val="1440" w:hRule="atLeast"/>
        </w:trPr>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3.</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Follow-up:</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After the clinic</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Which unanswered question matters most? If the answer to that question were bad news, would it change your decision?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Would you approve scale-up?   Before the clinic:  Yes / No / Not without more answers.     After the clinic:  Yes / No / Not without more answers.</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3, Session 3 · Interrogate the Analyst</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AI prompt card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group</w:t>
      </w:r>
    </w:p>
    <w:tbl xmlns:a="http://schemas.openxmlformats.org/drawingml/2006/main" xmlns:pic="http://schemas.openxmlformats.org/drawingml/2006/picture">
      <w:tblPr>
        <w:tblLayout w:type="fixed"/>
        <w:jc w:val="center"/>
        <w:tblLook w:firstRow="1" w:lastRow="0" w:firstColumn="0" w:lastColumn="0" w:noHBand="0" w:noVBand="1"/>
      </w:tblPr>
      <w:tblGrid>
        <w:gridCol w:w="9792"/>
      </w:tblGrid>
      <w:tr>
        <w:trPr>
          <w:trHeight w:val="3312"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Prompt A (the one people type)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"I have an evaluation of a programme that subsidised waste-management technology for businesses. It used difference-in-differences, regression discontinuity, a randomised comparison and matching. All four methods found a cost reduction of roughly 1,000 AED per business per year. List the critical questions a commissioner should ask before acting on this result."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How many of the AI's questions are strong (S) questions?</w:t>
            </w:r>
          </w:p>
        </w:tc>
      </w:tr>
      <w:tr>
        <w:trPr>
          <w:trHeight w:val="3312"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Prompt B (better)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"I am advising on whether to scale up a programme nationally. An evaluator reports a cost reduction of about 1,000 AED per business per year from difference-in-differences, with a decision threshold of 1,000 AED. First, tell me which single assumption this design rests on. Second, tell me what evidence would show that assumption holds, and what it would look like if it failed. Third, tell me what you cannot determine from the information I have given you."</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did the AI say it cannot know from the information you gave?</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3, Session 3 · Interrogate the Analyst</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Take-away card: three questions for any analyst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participant, cut into cards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2736"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3, Session 3 · Interrogate the Analyst</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Facilitator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trainer only</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Strong: 2, 4, 6, 8. Weak: 1, 3, 5, 7.</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analyst's answers with the data (section 4 of the deck): intervals DiD -873 to -760, RDD -992 to -818, randomised -1,093 to -935, none clears 1,000 at its least generous end; the discontinuity moves from about -790 to -1,080 with the window; no business dropped out, but recycling compliance is recorded only for eligible businesses (8,570 empty rows); only two rounds, so parallel trends cannot be checked.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AI list: none of its six questions needs a fact to answer, so all fail the sort. Its two flagged errors confuse sample size with selection bias.</w:t>
      </w:r>
    </w:p>
    <w:sectPr>
      <w:pgMar w:header="708" w:bottom="1008" w:top="1008" w:right="1152" w:left="1152"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2026-10-05T15:45:46Z</dcterms:modified>
  <cp:category/>
</cp:coreProperties>
</file>