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with the report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Work through the report one section at a time. For each section, circle a colour and write the main reason for your colour. Rate the executive summary first, on your own, before reading the rest of the report. Then rate Sections 3 to 7 in pairs. The Area to check column tells you which part of yesterday's QA checklist to use.</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it means</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as it stands. You can trust this section without asking for more information.</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but with one specific concern. Name the concern and say what information would remove that concern.</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Not credible. A problem in this section means you cannot trust a claim the section makes.</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Your reason for selecting this 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If amber or red: what would be needed to shift the colour to green?</w:t>
            </w:r>
          </w:p>
        </w:tc>
      </w:tr>
      <w:tr>
        <w:trPr>
          <w:trHeight w:val="1368"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on the back of the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Based on this evaluation, would you approve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After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strongest part of the report. Is that part strong enough to support the recommendation, despite the problems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1. Underline the two claims in the AI's response that the report does not support.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2. There is a bigger problem that the response never mentions. What is that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3. Compare this response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habits for reading a report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tbl xmlns:a="http://schemas.openxmlformats.org/drawingml/2006/main" xmlns:pic="http://schemas.openxmlformats.org/drawingml/2006/picture">
      <w:tblPr>
        <w:tblLayout w:type="fixed"/>
        <w:jc w:val="center"/>
        <w:tblLook w:firstRow="1" w:lastRow="0" w:firstColumn="0" w:lastColumn="0" w:noHBand="0" w:noVBand="1"/>
      </w:tblPr>
      <w:tblGrid>
        <w:gridCol w:w="1872"/>
        <w:gridCol w:w="3888"/>
        <w:gridCol w:w="403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is genuinely good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planted problem</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States the decision threshold up front and reports an estimate against it. The reader knows what is being claimed and by what standard.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It claims the programme “meets the threshold” and reports “approximately 1,000” as if all four methods agreed. Only the matched comparison gives 1,000, and the preferred specification gives 816.</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Four methods reported with their different target populations named. Most reports of this kind give one number and no way to interrogate 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It asserts that parallel trends is “satisfied by construction” because the neighbourhoods share an administrative area. That is not what the assumption requires, and no pre-trend test is reported. The defence is also about the wrong groups: the DiD compares enrolled with non-enrolled businesses inside treatment neighbourhoods, but the argument is about treatment and control neighbourhoods.</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Names the outcome, gives sample sizes, and discloses that the survey instrument changed between rounds. Disclosure is the right instinct.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Recycling compliance is missing for 8,570 of 19,826 observations, and the gap is put down to “the inspection schedule” without saying which businesses are missing. (In the data, it is every ineligible business.) The instrument change is called a refinement without any test that it did not shift the outcome.</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full table with confidence intervals for every method, plus an annex of robustness specifications. Nothing is hidden in a footnote.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headline result is the largest of the four estimates, chosen because of the population it covers rather than because the design is stronger. The preferred specification fails the threshold and the report does not say so.</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Three limitations stated plainly, and the offer-versus-enrolment and near-the-cut-off points are technically correct.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three are boilerplate that leave the conclusion intact. The problems raised in the data section (the instrument change and the unexplained gap in the compliance data) are never carried through to here.</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Recommendations are specific enough to act 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Recommendations 2 and 3 are not supported by anything in the evaluation: nothing was estimated about subsidy rates, and the cut-off finding is about a different population from the one being scaled up.</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most important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results section. The headline is the one estimate that clears the threshold, and the report never says that its own preferred specification, named in Section 3, does not. A reader who stops after the executive summary would conclude the programme pays for itself. It does not, on the evidence reported 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two unsupported claims: "the programme meets the criterion for scale-up" and "the recommendation is supported by the evidence". The larger problem: the response reads "approximately 1,000" as if all four methods agreed (only the matched comparison gives 1,000), and never notices that the preferred specification is 816, which fails the threshold, or asks whether 1,014 was chosen as the headline because it clears the bar. It also treats the compliance gap as evidence of honesty instead of asking which businesses are missing. What it did well: it found the real disclosures, described the offer-effect and locality limitations correctly, and reached a verdict. The better prompt asks for a comparison instead of a verdict, so the 816 is hard to miss.</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2026-10-05T15:45:56Z</dcterms:modified>
  <cp:category/>
</cp:coreProperties>
</file>