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By hand: four numbers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GreenWaste businesses in the neighbourhoods where the programme was offered. Average annual waste-management costs (AED), before and after. The decision rule for scale-up: the programme must save at least 1,000 AED per business.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4"/>
        <w:gridCol w:w="1728"/>
        <w:gridCol w:w="1728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 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Before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After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Change</w:t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Took part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1,449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784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not take 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2,079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2,230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Difference of the changes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Two subtractions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First difference: each group's change over time. This change removes fixed differences between the groups, but it still contains the general time trend.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Change for "took part":  ________      Change for "did not take part":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Second difference: the difference between those two changes. This second subtraction removes the time trend and leaves the estimated effect.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Difference-in-differences = (change for "took part") minus (change for "did not") =  ________ AED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Is the saving at least 1,000 AED?   Yes  /  No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Which row is the impact?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same data as a regression, the way an evaluator would report it. Standard errors are clustered by neighbourhood.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1584"/>
        <w:gridCol w:w="1440"/>
        <w:gridCol w:w="1008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 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Coefficient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Std. error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p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2,079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[2,044, 2,114]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After (round 1)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[79, 224]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Enrolled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-630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[-669, -591]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After (round 1) x Enrolled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-816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[-881, -752]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1. Circle the row that is the programme's effect. Is that row's coefficient the same number you got by hand?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2. Two other rows are often reported as the effect by mistake. What does each of these two rows actually measure?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After (round 1) measures  __________________      Enrolled measures 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3. Look at the end of the effect's confidence interval with the smallest saving:  ________ AED.   Is that saving at least 1,000 AED?   Yes  /  No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4. Costs were measured only once before the programme and once after. Because of this, what can you not check about the two groups before the programme started?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AI Snapshot: explaining the table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Paste the regression table into an AI tool with this prompt: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"Explain this regression table to a non-technical decision-maker, and say what should be checked before believing the result."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 response like this is possible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table reports a difference-in-differences estimate. The programme reduced costs by 816 AED, and the effect is highly statistically significant (p &lt; 0.001), so the programme was a success. The confidence interval does not include zero, which confirms the finding is robust.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parallel trends assumption has been satisfied. The result clears the 1,000 AED threshold required for scale-up.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Underline the sentences that the table supports. Cross out the sentences that the table does not support.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Then run this prompt instead, and compare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"We have a difference-in-differences table. The data has two waves only, one before and one after, so no pre-trend test is possible. The decision rule is 1,000 AED. Explain what the table supports and, separately, list what it cannot tell us. Ask me questions before you answer."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With the second prompt, does the AI still claim that parallel trends were satisfied? Then paste the second answer into a new chat and ask the AI to check that answer for claims about tests that were never run.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If you have time: a prompt that pushes the AI towards an answer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"Our DiD shows an 816 AED cut in costs (p&lt;0.001). Write two sentences for the minister recommending scale-up."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Does the AI mention the 1,000 AED rule or parallel trends without being asked?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three questions for a DiD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312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312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312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2026-10-05T15:46:00Z</dcterms:modified>
  <cp:category/>
</cp:coreProperties>
</file>