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3, Session 3 · Interrogate the Analyst</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Sort these: strong or weak?</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Mark each question S or W. Strong (S): the analyst must give a fact or a number to answer the question. Weak (W): the analyst can answer with one word, such as "yes". Then sort the slips into two piles.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1584"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1</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Did the programme work?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2</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would have happened to these businesses without the programme?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r>
      <w:tr>
        <w:trPr>
          <w:trHeight w:val="1584"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3</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Was the sample large enough?</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4</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How many businesses dropped out between the two survey rounds?</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r>
      <w:tr>
        <w:trPr>
          <w:trHeight w:val="1584"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5</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Were the results statistically significant?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6</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Which assumption, if wrong, would flip the finding?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r>
      <w:tr>
        <w:trPr>
          <w:trHeight w:val="1584"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7</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Is this good quality data?</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8</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If the effect were half this size, would you still recommend scale-up?</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S   /   W</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3, Session 3 · Interrogate the Analyst</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Clinic record sheet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Your area:   Methodology  /  Assumptions  /  Data quality  /  Conclusions</w:t>
      </w:r>
    </w:p>
    <w:tbl xmlns:a="http://schemas.openxmlformats.org/drawingml/2006/main" xmlns:pic="http://schemas.openxmlformats.org/drawingml/2006/picture">
      <w:tblPr>
        <w:tblLayout w:type="fixed"/>
        <w:jc w:val="center"/>
        <w:tblLook w:firstRow="1" w:lastRow="0" w:firstColumn="0" w:lastColumn="0" w:noHBand="0" w:noVBand="1"/>
      </w:tblPr>
      <w:tblGrid>
        <w:gridCol w:w="3456"/>
        <w:gridCol w:w="4032"/>
        <w:gridCol w:w="2592"/>
      </w:tblGrid>
      <w:tr>
        <w:trPr>
          <w:trHeight w:val="360" w:hRule="auto"/>
          <w:tblHeader/>
        </w:trPr>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Our question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What the analyst said</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Answered / Admitted they do not know / Avoided the question / Cannot be answered with this data</w:t>
            </w:r>
          </w:p>
        </w:tc>
      </w:tr>
      <w:tr>
        <w:trPr>
          <w:trHeight w:val="1440" w:hRule="atLeast"/>
        </w:trPr>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3.</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Follow-up:</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After the clinic</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Which unanswered question matters most? If the answer to that question were bad news, would it change your decision?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Would you approve scale-up?   Before the clinic:  Yes / No / Not without more answers.     After the clinic:  Yes / No / Not without more answers.</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3, Session 3 · Interrogate the Analyst</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prompt card</w:t>
      </w:r>
    </w:p>
    <w:tbl xmlns:a="http://schemas.openxmlformats.org/drawingml/2006/main" xmlns:pic="http://schemas.openxmlformats.org/drawingml/2006/picture">
      <w:tblPr>
        <w:tblLayout w:type="fixed"/>
        <w:jc w:val="center"/>
        <w:tblLook w:firstRow="1" w:lastRow="0" w:firstColumn="0" w:lastColumn="0" w:noHBand="0" w:noVBand="1"/>
      </w:tblPr>
      <w:tblGrid>
        <w:gridCol w:w="9792"/>
      </w:tblGrid>
      <w:tr>
        <w:trPr>
          <w:trHeight w:val="3312"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Prompt A (the one people type)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"I have an evaluation of a programme that subsidised waste-management technology for businesses. It used difference-in-differences, regression discontinuity, a randomised comparison and matching. All four methods found a cost reduction of roughly 1,000 AED per business per year. List the critical questions a commissioner should ask before acting on this result."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How many of the AI's questions are strong (S) questions?</w:t>
            </w:r>
          </w:p>
        </w:tc>
      </w:tr>
      <w:tr>
        <w:trPr>
          <w:trHeight w:val="3312"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Prompt B (better)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"I am advising on whether to scale up a programme nationally. An evaluator reports a cost reduction of about 1,000 AED per business per year from difference-in-differences, with a decision threshold of 1,000 AED. First, tell me which single assumption this design rests on. Second, tell me what evidence would show that assumption holds, and what it would look like if it failed. Third, tell me what you cannot determine from the information I have given you."</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did the AI say it cannot know from the information you gave?</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3, Session 3 · Interrogate the Analyst</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three questions for any analyst</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three you will use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comparison, and how was it chosen?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has to be true for this to be causal, and did you test that assumption?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Does the conclusion follow, or does it go beyond the evidence?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2026-10-05T15:46:02Z</dcterms:modified>
  <cp:category/>
</cp:coreProperties>
</file>