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1</w:t>
      </w:r>
    </w:p>
    <w:p>
      <w:pPr>
        <w:pStyle w:val="Title"/>
      </w:pPr>
      <w:r>
        <w:rPr>
          <w:rFonts w:ascii="Arial" w:hAnsi="Arial" w:eastAsia="Arial" w:cs="Arial"/>
          <w:i w:val="false"/>
          <w:b w:val="true"/>
          <w:u w:val="none"/>
          <w:strike w:val="false"/>
          <w:sz w:val="44"/>
          <w:szCs w:val="44"/>
          <w:color w:val="000000"/>
        </w:rPr>
        <w:t xml:space="preserve">Read the extra change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Compare changes in two groups, then decide what evidence you need before accepting the result as an effect.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Complete the four numbers</w:t>
      </w:r>
    </w:p>
    <w:tbl xmlns:a="http://schemas.openxmlformats.org/drawingml/2006/main" xmlns:pic="http://schemas.openxmlformats.org/drawingml/2006/picture">
      <w:tblPr>
        <w:tblLayout w:type="fixed"/>
        <w:jc w:val="start"/>
        <w:tblLook w:firstRow="1" w:lastRow="0" w:firstColumn="0" w:lastColumn="0" w:noHBand="0" w:noVBand="1"/>
      </w:tblPr>
      <w:tblGrid>
        <w:gridCol w:w="3024"/>
        <w:gridCol w:w="2016"/>
        <w:gridCol w:w="2016"/>
        <w:gridCol w:w="201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Group</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Before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After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Change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Took part</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763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Did not take part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2,258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2,401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Change = after minus before. Extra change = participants' change minus comparison change. The means are rounded.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Extra change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Read the result row</w:t>
      </w:r>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2160"/>
        <w:gridCol w:w="316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Extra change in participants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-833 to -792</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Decision rule: at least 1,000 AED annual saving per business after 12 months. Negative means lower costs. This fictional rule is not a full value-for-money test.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do the estimate and interval say about the rule?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Question the assumption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Without GreenWaste, the groups would have changed in similar ways. Reports call this parallel trends. Name one reason this might fail.</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1</w:t>
      </w:r>
    </w:p>
    <w:p>
      <w:pPr>
        <w:pStyle w:val="Title"/>
      </w:pPr>
      <w:r>
        <w:rPr>
          <w:rFonts w:ascii="Arial" w:hAnsi="Arial" w:eastAsia="Arial" w:cs="Arial"/>
          <w:i w:val="false"/>
          <w:b w:val="true"/>
          <w:u w:val="none"/>
          <w:strike w:val="false"/>
          <w:sz w:val="44"/>
          <w:szCs w:val="44"/>
          <w:color w:val="000000"/>
        </w:rPr>
        <w:t xml:space="preserve">Check the report conclusion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Report extract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city study compares annual waste costs before and 12 months after GreenWaste in participants and non-participants. The extra change is -812 AED per business, with a 95% confidence interval of -833 to -792 AED. A causal interpretation assumes that, without GreenWaste, costs would have changed similarly in the two groups. The file contains only one before measure, so it cannot show whether earlier trends were similar.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Circle the result and units. Underline the assumption. Write your question and explain how its answer could affect your decision.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draft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extra fall proves GreenWaste caused the saving. Parallel trends is satisfied. Scale-up meets the decision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and rewrite using the extract.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question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Write one question for the evaluator and its purpose.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1</w:t>
      </w:r>
    </w:p>
    <w:p>
      <w:pPr>
        <w:pStyle w:val="Title"/>
      </w:pPr>
      <w:r>
        <w:rPr>
          <w:rFonts w:ascii="Arial" w:hAnsi="Arial" w:eastAsia="Arial" w:cs="Arial"/>
          <w:i w:val="false"/>
          <w:b w:val="true"/>
          <w:u w:val="none"/>
          <w:strike w:val="false"/>
          <w:sz w:val="44"/>
          <w:szCs w:val="44"/>
          <w:color w:val="000000"/>
        </w:rPr>
        <w:t xml:space="preserve">Trainer key for extra change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pages 1 and 2 double-sided, one per participant. This page is trainer only.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Calculation and interpretation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Changes using unrounded means: participants -669 AED; comparison 143 AED; difference -812 AED. Allow a one-AED discrepancy from rounded printed means. The estimate and interval imply less saving than the 1,000 AED rule. Parallel trends is an assumption, not a finding established by this file.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feedback</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Printed regression: cost ~ after*took_part on two rows per city business, business-clustered robust standard errors (estimatr, se_type stata). The trainer arithmetic gives the same coefficient. Earlier hypothetical pictures are labelled hypothetical, not extra GreenWaste observations. Different levels can coexist with parallel trends; one before measure cannot check earlier trends.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Reading and AI</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Keep the estimated extra fall. Remove proof of cause, a satisfied assumption and the claim that the saving rule is met. Useful next requests include earlier periods, other policies or price changes, and stable group composition. Ask how the evidence could change a decision.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Delivery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One trainer demo after prediction; no participant coding. Use the printed result if webR fails. Protect individual reading and pair discussion. No restored AI wall board. Total 60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2026-10-06T22:39:00Z</dcterms:modified>
  <cp:category/>
</cp:coreProperties>
</file>