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Read a regression table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Read the five terms in the slides, then use this table to state what the report supports.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545860"/>
        </w:rPr>
        <w:t xml:space="preserve">GreenWaste is a fictional training case.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1 Mean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Ten selected businesses sent 3, 4, 5, 5, 6, 7, 7, 8, 9 and 46 tonnes to landfill in one year.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Find the mean. Explain why it does not describe every business.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Annual waste cost regression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same city participants before and 12 months later. Outcome: annual waste cost in AED per business. The starting mean and the change are different rows.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592"/>
        <w:gridCol w:w="1872"/>
        <w:gridCol w:w="3096"/>
        <w:gridCol w:w="2232"/>
      </w:tblGrid>
      <w:tr>
        <w:trPr>
          <w:trHeight w:val="360" w:hRule="auto"/>
          <w:tblHeader/>
        </w:trPr>
        header1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Result row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Coefficient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95% interval AED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0633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4"/>
                <w:szCs w:val="24"/>
                <w:color w:val="FFFFFF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Before GreenWaste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1,432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1,418 to 1,446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0.001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After minus before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-669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-684 to -654</w:t>
            </w:r>
          </w:p>
        </w:tc>
        <w:tc>
          <w:tcPr>
            <w:tcBorders>
              <w:bottom w:val="single" w:sz="6" w:space="0" w:color="D9D9D9"/>
              <w:top w:val="single" w:sz="6" w:space="0" w:color="D9D9D9"/>
              <w:left w:val="single" w:sz="6" w:space="0" w:color="D9D9D9"/>
              <w:right w:val="single" w:sz="6" w:space="0" w:color="D9D9D9"/>
            </w:tcBorders>
            <w:shd w:val="clear" w:color="auto" w:fill="F1F5F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40" w:before="140" w:line="240"/>
              <w:ind w:left="140" w:right="14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0.001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2 Coefficient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Circle the change row. Write its number, units and meaning of the sign.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/>
      <w:r>
        <w:br w:type="page"/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0"/>
          <w:szCs w:val="20"/>
          <w:color w:val="545860"/>
        </w:rPr>
        <w:t xml:space="preserve">GreenWaste reading workshop | Day 1 | Session 1</w:t>
      </w:r>
    </w:p>
    <w:p>
      <w:pPr>
        <w:pStyle w:val="Title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44"/>
          <w:szCs w:val="44"/>
          <w:color w:val="000000"/>
        </w:rPr>
        <w:t xml:space="preserve">Explain what the table supports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3 Treatment effect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Does the after/before change establish what GreenWaste caused? Explain the missing comparison.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4 Confidence interval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Box the interval for the change. What does it describe? Does it show the range for individual businesses?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5 P value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Find the change row p-value. Does it give the probability that GreenWaste works or establish cause?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6 Read and repair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The course rule is at least 1,000 AED annual saving per business. Repair this claim: The tiny p-value proves GreenWaste caused enough saving to expand.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00000"/>
        </w:rPr>
        <w:t xml:space="preserve">My independent reading and next question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6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000000"/>
        </w:rPr>
        <w:t xml:space="preserve">State the change, its interval and comparison. Ask for evidence needed before calling it a programme effect.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24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4"/>
          <w:szCs w:val="24"/>
          <w:color w:val="B5BEC9"/>
        </w:rPr>
        <w:t xml:space="preserve">_______________________________________________________</w:t>
      </w:r>
    </w:p>
    <w:sectPr>
      <w:pgMar w:header="708" w:bottom="936" w:top="936" w:right="1008" w:left="1008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w:type="paragraph" w:styleId="Title">
    <w:name w:val="Title"/>
    <w:basedOn w:val="Normal"/>
    <w:next w:val="Normal"/>
    <w:qFormat/>
    <w:rPr>
      <w:color w:val="000000"/>
      <w:sz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2026-10-06T22:45:41Z</dcterms:modified>
  <cp:category/>
</cp:coreProperties>
</file>