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3 | Session 1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Judge a value for money claim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the model inputs, predict what could change the ratio and ask for the evidence you would need before approving spending.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GreenWaste is a fictional training case.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Open the inputs behind the headline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168"/>
        <w:gridCol w:w="2160"/>
        <w:gridCol w:w="3744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Input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Value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Status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Annual saving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812 AED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Provisional DiD estimate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One-off cost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1,800 AED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Fictional cost assumption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When savings start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Year 2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Assumed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How long savings last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 years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Assumed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Discount rate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5%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Assumed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Modelled benefits at today's value: 3,350 AED per business. Included one-off cost: 1,800 AED. Benefits divided by costs: 1.86.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A ratio above 1 means modelled benefits exceed included costs. The benefit estimate still needs a credible causal interpretation; duration and costs are assumptions.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What would you ask about the inputs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3 What costs might be missing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A reviewer asks about staff time, administration and businesses' time. Request amounts and timing, and check what is already included.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3 | Session 1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Test the claim before approving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Your group scenario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Card number ______   The assumption changed 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Our prediction ______   The result ______   Above or below 1 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Is the scenario plausible? What evidence would establish that?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Repair an illustrative AI recommendation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"The ratio exceeds 1, so GreenWaste is proven to be good value. The savings will last five years. Approval is justified."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Keep supported claims. Cross out assurances and rewrite with a condition or evidence request.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Your question from memory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Close Sheet 1. Write one question and explain how its answer could affect your decision. Work alone.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2026-10-06T22:39:06Z</dcterms:modified>
  <cp:category/>
</cp:coreProperties>
</file>