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Policy Brief: Template</w:t>
      </w:r>
    </w:p>
    <w:p>
      <w:pPr>
        <w:pStyle w:val="Subtitle"/>
      </w:pPr>
      <w:r>
        <w:t xml:space="preserve">From Findings to Policy · Module 2, Day 4 Session 2</w:t>
      </w:r>
    </w:p>
    <w:p>
      <w:pPr>
        <w:pStyle w:val="Author"/>
      </w:pPr>
      <w:r>
        <w:t xml:space="preserve">3ie</w:t>
      </w:r>
    </w:p>
    <w:p>
      <w:pPr>
        <w:pStyle w:val="FirstParagraph"/>
      </w:pPr>
      <w:r>
        <w:t xml:space="preserve">Write your brief on this page. Four elements, in this order. Keep it to one side of A4:</w:t>
      </w:r>
      <w:r>
        <w:t xml:space="preserve"> </w:t>
      </w:r>
      <w:r>
        <w:t xml:space="preserve">a brief that needs a second page is not being read by the person who decides.</w:t>
      </w:r>
    </w:p>
    <w:bookmarkStart w:id="20" w:name="headline-finding-1-sentence"/>
    <w:p>
      <w:pPr>
        <w:pStyle w:val="Heading2"/>
      </w:pPr>
      <w:r>
        <w:t xml:space="preserve">1. Headline finding</w:t>
      </w:r>
      <w:r>
        <w:t xml:space="preserve"> </w:t>
      </w:r>
      <w:r>
        <w:rPr>
          <w:i/>
          <w:iCs/>
        </w:rPr>
        <w:t xml:space="preserve">(1 sentence)</w:t>
      </w:r>
    </w:p>
    <w:p>
      <w:pPr>
        <w:pStyle w:val="FirstParagraph"/>
      </w:pPr>
      <w:r>
        <w:rPr>
          <w:i/>
          <w:iCs/>
        </w:rPr>
        <w:t xml:space="preserve">What this element has to do.</w:t>
      </w:r>
      <w:r>
        <w:t xml:space="preserve"> </w:t>
      </w:r>
      <w:r>
        <w:t xml:space="preserve">One sentence, with the number in it, that a non-specialist would understand and would not misread.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r>
        <w:br w:type="page"/>
      </w:r>
    </w:p>
    <w:bookmarkEnd w:id="20"/>
    <w:bookmarkStart w:id="21" w:name="key-implications-23-sentences"/>
    <w:p>
      <w:pPr>
        <w:pStyle w:val="Heading2"/>
      </w:pPr>
      <w:r>
        <w:t xml:space="preserve">2. Key implications</w:t>
      </w:r>
      <w:r>
        <w:t xml:space="preserve"> </w:t>
      </w:r>
      <w:r>
        <w:rPr>
          <w:i/>
          <w:iCs/>
        </w:rPr>
        <w:t xml:space="preserve">(2–3 sentences)</w:t>
      </w:r>
    </w:p>
    <w:p>
      <w:pPr>
        <w:pStyle w:val="FirstParagraph"/>
      </w:pPr>
      <w:r>
        <w:rPr>
          <w:i/>
          <w:iCs/>
        </w:rPr>
        <w:t xml:space="preserve">What this element has to do.</w:t>
      </w:r>
      <w:r>
        <w:t xml:space="preserve"> </w:t>
      </w:r>
      <w:r>
        <w:t xml:space="preserve">Two or three sentences. What follows for the commissioning authority, given what the evaluation did and did not establish.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r>
        <w:br w:type="page"/>
      </w:r>
    </w:p>
    <w:bookmarkEnd w:id="21"/>
    <w:bookmarkStart w:id="22" w:name="recommendation-1-sentence"/>
    <w:p>
      <w:pPr>
        <w:pStyle w:val="Heading2"/>
      </w:pPr>
      <w:r>
        <w:t xml:space="preserve">3. Recommendation</w:t>
      </w:r>
      <w:r>
        <w:t xml:space="preserve"> </w:t>
      </w:r>
      <w:r>
        <w:rPr>
          <w:i/>
          <w:iCs/>
        </w:rPr>
        <w:t xml:space="preserve">(1 sentence)</w:t>
      </w:r>
    </w:p>
    <w:p>
      <w:pPr>
        <w:pStyle w:val="FirstParagraph"/>
      </w:pPr>
      <w:r>
        <w:rPr>
          <w:i/>
          <w:iCs/>
        </w:rPr>
        <w:t xml:space="preserve">What this element has to do.</w:t>
      </w:r>
      <w:r>
        <w:t xml:space="preserve"> </w:t>
      </w:r>
      <w:r>
        <w:t xml:space="preserve">One specific action. It must be something the authority can actually decide.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r>
        <w:br w:type="page"/>
      </w:r>
    </w:p>
    <w:bookmarkEnd w:id="22"/>
    <w:bookmarkStart w:id="23" w:name="one-risk-12-sentences"/>
    <w:p>
      <w:pPr>
        <w:pStyle w:val="Heading2"/>
      </w:pPr>
      <w:r>
        <w:t xml:space="preserve">4. One risk</w:t>
      </w:r>
      <w:r>
        <w:t xml:space="preserve"> </w:t>
      </w:r>
      <w:r>
        <w:rPr>
          <w:i/>
          <w:iCs/>
        </w:rPr>
        <w:t xml:space="preserve">(1–2 sentences)</w:t>
      </w:r>
    </w:p>
    <w:p>
      <w:pPr>
        <w:pStyle w:val="FirstParagraph"/>
      </w:pPr>
      <w:r>
        <w:rPr>
          <w:i/>
          <w:iCs/>
        </w:rPr>
        <w:t xml:space="preserve">What this element has to do.</w:t>
      </w:r>
      <w:r>
        <w:t xml:space="preserve"> </w:t>
      </w:r>
      <w:r>
        <w:t xml:space="preserve">The one thing most likely to make this recommendation wrong, stated so that it can be watched.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bookmarkEnd w:id="23"/>
    <w:bookmarkStart w:id="24" w:name="before-you-hand-it-over"/>
    <w:p>
      <w:pPr>
        <w:pStyle w:val="Heading1"/>
      </w:pPr>
      <w:r>
        <w:t xml:space="preserve">Before you hand it over</w:t>
      </w:r>
    </w:p>
    <w:p>
      <w:pPr>
        <w:pStyle w:val="FirstParagraph"/>
      </w:pPr>
      <w:r>
        <w:t xml:space="preserve">Check your own draft against the checklist. Each of these has caught somebody in this room.</w:t>
      </w:r>
    </w:p>
    <w:p>
      <w:pPr>
        <w:pStyle w:val="Compact"/>
        <w:numPr>
          <w:ilvl w:val="0"/>
          <w:numId w:val="1001"/>
        </w:numPr>
      </w:pPr>
      <w:r>
        <w:t xml:space="preserve">Does the headline sentence contain</w:t>
      </w:r>
      <w:r>
        <w:t xml:space="preserve"> </w:t>
      </w:r>
      <w:r>
        <w:rPr>
          <w:b/>
          <w:bCs/>
        </w:rPr>
        <w:t xml:space="preserve">the number</w:t>
      </w:r>
      <w:r>
        <w:t xml:space="preserve">? A reader who stops after one sentence</w:t>
      </w:r>
      <w:r>
        <w:t xml:space="preserve"> </w:t>
      </w:r>
      <w:r>
        <w:t xml:space="preserve">should not be able to conclude the opposite of what you found.</w:t>
      </w:r>
    </w:p>
    <w:p>
      <w:pPr>
        <w:pStyle w:val="Compact"/>
        <w:numPr>
          <w:ilvl w:val="0"/>
          <w:numId w:val="1001"/>
        </w:numPr>
      </w:pPr>
      <w:r>
        <w:t xml:space="preserve">Does the recommendation follow from the</w:t>
      </w:r>
      <w:r>
        <w:t xml:space="preserve"> </w:t>
      </w:r>
      <w:r>
        <w:rPr>
          <w:b/>
          <w:bCs/>
        </w:rPr>
        <w:t xml:space="preserve">finding you chose as headline</w:t>
      </w:r>
      <w:r>
        <w:t xml:space="preserve">, or from a</w:t>
      </w:r>
      <w:r>
        <w:t xml:space="preserve"> </w:t>
      </w:r>
      <w:r>
        <w:t xml:space="preserve">different one?</w:t>
      </w:r>
    </w:p>
    <w:p>
      <w:pPr>
        <w:pStyle w:val="Compact"/>
        <w:numPr>
          <w:ilvl w:val="0"/>
          <w:numId w:val="1001"/>
        </w:numPr>
      </w:pPr>
      <w:r>
        <w:t xml:space="preserve">Have you claimed anything that one of the findings</w:t>
      </w:r>
      <w:r>
        <w:t xml:space="preserve"> </w:t>
      </w:r>
      <w:r>
        <w:rPr>
          <w:b/>
          <w:bCs/>
        </w:rPr>
        <w:t xml:space="preserve">does not license</w:t>
      </w:r>
      <w:r>
        <w:t xml:space="preserve">? Check the last</w:t>
      </w:r>
      <w:r>
        <w:t xml:space="preserve"> </w:t>
      </w:r>
      <w:r>
        <w:t xml:space="preserve">page of the findings pack.</w:t>
      </w:r>
    </w:p>
    <w:p>
      <w:pPr>
        <w:pStyle w:val="Compact"/>
        <w:numPr>
          <w:ilvl w:val="0"/>
          <w:numId w:val="1001"/>
        </w:numPr>
      </w:pPr>
      <w:r>
        <w:t xml:space="preserve">Is the risk you named something that could actually happen, and could be watched? A risk</w:t>
      </w:r>
      <w:r>
        <w:t xml:space="preserve"> </w:t>
      </w:r>
      <w:r>
        <w:t xml:space="preserve">that cannot be observed is not a risk, it is a caveat.</w:t>
      </w:r>
    </w:p>
    <w:p>
      <w:pPr>
        <w:pStyle w:val="Compact"/>
        <w:numPr>
          <w:ilvl w:val="0"/>
          <w:numId w:val="1001"/>
        </w:numPr>
      </w:pPr>
      <w:r>
        <w:t xml:space="preserve">Would you sign this if your name were on it and the decision went wrong?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Brief: Template</dc:title>
  <dc:creator>3ie</dc:creator>
  <cp:keywords/>
  <dcterms:created xsi:type="dcterms:W3CDTF">2026-09-20T10:11:16Z</dcterms:created>
  <dcterms:modified xsi:type="dcterms:W3CDTF">2026-09-20T10:11:16Z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From Findings to Policy · Module 2, Day 4 Session 2</vt:lpwstr>
  </property>
  <property fmtid="{D5CDD505-2E9C-101B-9397-08002B2CF9AE}" pid="11" name="toc-title">
    <vt:lpwstr>Table of contents</vt:lpwstr>
  </property>
</Properties>
</file>